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GB"/>
        </w:rPr>
        <w:id w:val="-1636250267"/>
        <w:docPartObj>
          <w:docPartGallery w:val="Cover Pages"/>
          <w:docPartUnique/>
        </w:docPartObj>
      </w:sdtPr>
      <w:sdtContent>
        <w:p w14:paraId="0D8651EF" w14:textId="6FD398C3" w:rsidR="00F124B7" w:rsidRDefault="00F124B7">
          <w:pPr>
            <w:rPr>
              <w:lang w:val="en-GB"/>
            </w:rPr>
          </w:pPr>
          <w:r>
            <w:rPr>
              <w:noProof/>
              <w:lang w:val="en-GB"/>
            </w:rPr>
            <w:drawing>
              <wp:anchor distT="0" distB="0" distL="114300" distR="114300" simplePos="0" relativeHeight="251680768" behindDoc="1" locked="1" layoutInCell="1" allowOverlap="1" wp14:anchorId="0CA20842" wp14:editId="6C069DDE">
                <wp:simplePos x="859809" y="1705970"/>
                <wp:positionH relativeFrom="page">
                  <wp:align>left</wp:align>
                </wp:positionH>
                <wp:positionV relativeFrom="page">
                  <wp:align>top</wp:align>
                </wp:positionV>
                <wp:extent cx="7560000" cy="10695600"/>
                <wp:effectExtent l="0" t="0" r="0" b="0"/>
                <wp:wrapNone/>
                <wp:docPr id="309679144"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79144" name="Picture 2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360045" distL="114300" distR="114300" simplePos="0" relativeHeight="251679744" behindDoc="0" locked="1" layoutInCell="1" allowOverlap="1" wp14:anchorId="52139D56" wp14:editId="6F209A85">
                <wp:simplePos x="0" y="0"/>
                <wp:positionH relativeFrom="page">
                  <wp:posOffset>648335</wp:posOffset>
                </wp:positionH>
                <wp:positionV relativeFrom="page">
                  <wp:posOffset>648335</wp:posOffset>
                </wp:positionV>
                <wp:extent cx="1782000" cy="615600"/>
                <wp:effectExtent l="0" t="0" r="8890" b="0"/>
                <wp:wrapTopAndBottom/>
                <wp:docPr id="1921113218" name="Picture 21"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113218" name="Picture 21" descr="Australian Commission on Safety and Quality in Health Care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2000" cy="615600"/>
                        </a:xfrm>
                        <a:prstGeom prst="rect">
                          <a:avLst/>
                        </a:prstGeom>
                      </pic:spPr>
                    </pic:pic>
                  </a:graphicData>
                </a:graphic>
                <wp14:sizeRelH relativeFrom="margin">
                  <wp14:pctWidth>0</wp14:pctWidth>
                </wp14:sizeRelH>
                <wp14:sizeRelV relativeFrom="margin">
                  <wp14:pctHeight>0</wp14:pctHeight>
                </wp14:sizeRelV>
              </wp:anchor>
            </w:drawing>
          </w:r>
        </w:p>
        <w:p w14:paraId="7501EBC1" w14:textId="7556017A" w:rsidR="00F124B7" w:rsidRDefault="00F366A4" w:rsidP="00062BA3">
          <w:pPr>
            <w:pStyle w:val="Date"/>
            <w:framePr w:wrap="around"/>
            <w:rPr>
              <w:lang w:val="en-GB"/>
            </w:rPr>
          </w:pPr>
          <w:r>
            <w:rPr>
              <w:lang w:val="en-GB"/>
            </w:rPr>
            <w:t>September 2025</w:t>
          </w:r>
          <w:r w:rsidR="00F124B7">
            <w:rPr>
              <w:lang w:val="en-GB"/>
            </w:rPr>
            <w:tab/>
            <w:t>s</w:t>
          </w:r>
          <w:r w:rsidR="00F124B7" w:rsidRPr="00896871">
            <w:rPr>
              <w:lang w:val="en-GB"/>
            </w:rPr>
            <w:t>afetyandquality.gov.au</w:t>
          </w:r>
        </w:p>
        <w:sdt>
          <w:sdtPr>
            <w:rPr>
              <w:bCs/>
            </w:rPr>
            <w:id w:val="-919949614"/>
            <w:placeholder>
              <w:docPart w:val="347354C263054CD7AF4A85525CF9177A"/>
            </w:placeholder>
          </w:sdtPr>
          <w:sdtEndPr>
            <w:rPr>
              <w:bCs w:val="0"/>
            </w:rPr>
          </w:sdtEndPr>
          <w:sdtContent>
            <w:p w14:paraId="65BE3236" w14:textId="74C953CF" w:rsidR="00F124B7" w:rsidRPr="00F366A4" w:rsidRDefault="00F366A4" w:rsidP="004525FC">
              <w:pPr>
                <w:pStyle w:val="Title"/>
                <w:framePr w:wrap="around" w:x="1033" w:y="4815"/>
                <w:rPr>
                  <w:bCs/>
                </w:rPr>
              </w:pPr>
              <w:r w:rsidRPr="00F366A4">
                <w:rPr>
                  <w:bCs/>
                </w:rPr>
                <w:t xml:space="preserve">National </w:t>
              </w:r>
              <w:r>
                <w:rPr>
                  <w:bCs/>
                </w:rPr>
                <w:t>g</w:t>
              </w:r>
              <w:r w:rsidRPr="00F366A4">
                <w:rPr>
                  <w:bCs/>
                </w:rPr>
                <w:t xml:space="preserve">uidelines for </w:t>
              </w:r>
              <w:r>
                <w:rPr>
                  <w:bCs/>
                </w:rPr>
                <w:t>p</w:t>
              </w:r>
              <w:r w:rsidRPr="00F366A4">
                <w:rPr>
                  <w:bCs/>
                </w:rPr>
                <w:t xml:space="preserve">resentation of </w:t>
              </w:r>
              <w:r>
                <w:rPr>
                  <w:bCs/>
                </w:rPr>
                <w:t>e</w:t>
              </w:r>
              <w:r w:rsidRPr="00F366A4">
                <w:rPr>
                  <w:bCs/>
                </w:rPr>
                <w:t xml:space="preserve">lectronic </w:t>
              </w:r>
              <w:r>
                <w:rPr>
                  <w:bCs/>
                </w:rPr>
                <w:t>d</w:t>
              </w:r>
              <w:r w:rsidRPr="00F366A4">
                <w:rPr>
                  <w:bCs/>
                </w:rPr>
                <w:t xml:space="preserve">ischarge </w:t>
              </w:r>
              <w:r>
                <w:rPr>
                  <w:bCs/>
                </w:rPr>
                <w:t>s</w:t>
              </w:r>
              <w:r w:rsidRPr="00F366A4">
                <w:rPr>
                  <w:bCs/>
                </w:rPr>
                <w:t>ummaries</w:t>
              </w:r>
            </w:p>
          </w:sdtContent>
        </w:sdt>
        <w:p w14:paraId="4C993F6C" w14:textId="5D1F7475" w:rsidR="00F124B7" w:rsidRDefault="00F124B7" w:rsidP="004525FC">
          <w:pPr>
            <w:pStyle w:val="Subtitle"/>
            <w:framePr w:wrap="around" w:x="1033" w:y="4815"/>
          </w:pPr>
        </w:p>
        <w:p w14:paraId="2E22EB1A" w14:textId="77777777" w:rsidR="00F124B7" w:rsidRDefault="00F124B7">
          <w:pPr>
            <w:rPr>
              <w:lang w:val="en-GB"/>
            </w:rPr>
          </w:pPr>
        </w:p>
        <w:p w14:paraId="3ADEB9AF" w14:textId="24E7E89D" w:rsidR="00F124B7" w:rsidRDefault="00F124B7">
          <w:pPr>
            <w:rPr>
              <w:lang w:val="en-GB"/>
            </w:rPr>
          </w:pPr>
          <w:r>
            <w:rPr>
              <w:lang w:val="en-GB"/>
            </w:rPr>
            <w:br w:type="page"/>
          </w:r>
        </w:p>
      </w:sdtContent>
    </w:sdt>
    <w:p w14:paraId="4E268242" w14:textId="519ACE07" w:rsidR="007F1006" w:rsidRPr="007F1006" w:rsidRDefault="007F1006" w:rsidP="007F1006">
      <w:pPr>
        <w:rPr>
          <w:lang w:val="en-GB"/>
        </w:rPr>
      </w:pPr>
      <w:r w:rsidRPr="007F1006">
        <w:rPr>
          <w:lang w:val="en-GB"/>
        </w:rPr>
        <w:lastRenderedPageBreak/>
        <w:t>Published by the Australian Commission on Safety and Quality in Health Care</w:t>
      </w:r>
    </w:p>
    <w:p w14:paraId="365FEB14" w14:textId="77777777" w:rsidR="007F1006" w:rsidRPr="007F1006" w:rsidRDefault="007F1006" w:rsidP="003A5810">
      <w:pPr>
        <w:pStyle w:val="NoSpacing"/>
        <w:rPr>
          <w:lang w:val="en-GB"/>
        </w:rPr>
      </w:pPr>
      <w:r w:rsidRPr="007F1006">
        <w:rPr>
          <w:lang w:val="en-GB"/>
        </w:rPr>
        <w:t>Level 5, 255 Elizabeth Street, Sydney NSW 2000</w:t>
      </w:r>
    </w:p>
    <w:p w14:paraId="18CA3496" w14:textId="77777777" w:rsidR="007F1006" w:rsidRPr="007F1006" w:rsidRDefault="007F1006" w:rsidP="003A5810">
      <w:pPr>
        <w:pStyle w:val="NoSpacing"/>
        <w:rPr>
          <w:lang w:val="en-GB"/>
        </w:rPr>
      </w:pPr>
      <w:r w:rsidRPr="007F1006">
        <w:rPr>
          <w:lang w:val="en-GB"/>
        </w:rPr>
        <w:t xml:space="preserve">Phone: (02) 9126 3600 </w:t>
      </w:r>
    </w:p>
    <w:p w14:paraId="20501B90" w14:textId="77777777" w:rsidR="007F1006" w:rsidRPr="007F1006" w:rsidRDefault="007F1006" w:rsidP="003A5810">
      <w:pPr>
        <w:pStyle w:val="NoSpacing"/>
        <w:rPr>
          <w:lang w:val="en-GB"/>
        </w:rPr>
      </w:pPr>
      <w:r w:rsidRPr="007F1006">
        <w:rPr>
          <w:lang w:val="en-GB"/>
        </w:rPr>
        <w:t xml:space="preserve">Email: </w:t>
      </w:r>
      <w:hyperlink r:id="rId13" w:history="1">
        <w:r w:rsidRPr="007F1006">
          <w:rPr>
            <w:rStyle w:val="Hyperlink"/>
            <w:lang w:val="en-GB"/>
          </w:rPr>
          <w:t>mail@safetyandquality.gov.au</w:t>
        </w:r>
      </w:hyperlink>
      <w:r w:rsidRPr="007F1006">
        <w:rPr>
          <w:lang w:val="en-GB"/>
        </w:rPr>
        <w:t xml:space="preserve"> </w:t>
      </w:r>
    </w:p>
    <w:p w14:paraId="3C3E1836" w14:textId="10CD9178" w:rsidR="007F1006" w:rsidRDefault="007F1006" w:rsidP="006A2E6C">
      <w:pPr>
        <w:pStyle w:val="NoSpacing"/>
        <w:spacing w:after="120"/>
        <w:rPr>
          <w:lang w:val="en-GB"/>
        </w:rPr>
      </w:pPr>
      <w:r w:rsidRPr="007F1006">
        <w:rPr>
          <w:lang w:val="en-GB"/>
        </w:rPr>
        <w:t xml:space="preserve">Website: </w:t>
      </w:r>
      <w:hyperlink r:id="rId14" w:history="1">
        <w:r w:rsidRPr="007F1006">
          <w:rPr>
            <w:rStyle w:val="Hyperlink"/>
            <w:lang w:val="en-GB"/>
          </w:rPr>
          <w:t>safetyandquality.gov.au</w:t>
        </w:r>
      </w:hyperlink>
    </w:p>
    <w:p w14:paraId="3533B299" w14:textId="4EA39425" w:rsidR="007F1006" w:rsidRPr="007F1006" w:rsidRDefault="007F1006" w:rsidP="008F5915">
      <w:pPr>
        <w:spacing w:before="0"/>
        <w:rPr>
          <w:lang w:val="en-GB"/>
        </w:rPr>
      </w:pPr>
      <w:r w:rsidRPr="007F1006">
        <w:rPr>
          <w:lang w:val="en-GB"/>
        </w:rPr>
        <w:t xml:space="preserve">ISBN: </w:t>
      </w:r>
      <w:r w:rsidR="006A2E6C" w:rsidRPr="006A2E6C">
        <w:rPr>
          <w:lang w:val="en-GB"/>
        </w:rPr>
        <w:t>978-1-923353-22-0</w:t>
      </w:r>
    </w:p>
    <w:p w14:paraId="1B576F67" w14:textId="7FD0D016" w:rsidR="007F1006" w:rsidRPr="007F1006" w:rsidRDefault="007F1006" w:rsidP="007F1006">
      <w:pPr>
        <w:rPr>
          <w:lang w:val="en-GB"/>
        </w:rPr>
      </w:pPr>
      <w:r w:rsidRPr="007F1006">
        <w:rPr>
          <w:lang w:val="en-GB"/>
        </w:rPr>
        <w:t>© Australian Commission on Safety and Quality in Health Care</w:t>
      </w:r>
      <w:r w:rsidR="00F366A4">
        <w:rPr>
          <w:lang w:val="en-GB"/>
        </w:rPr>
        <w:t xml:space="preserve"> 2025</w:t>
      </w:r>
    </w:p>
    <w:p w14:paraId="04597167" w14:textId="08200D0F" w:rsidR="007F1006" w:rsidRPr="007F1006" w:rsidRDefault="007F1006" w:rsidP="007F1006">
      <w:pPr>
        <w:rPr>
          <w:lang w:val="en-GB"/>
        </w:rPr>
      </w:pPr>
      <w:r w:rsidRPr="007F1006">
        <w:rPr>
          <w:lang w:val="en-GB"/>
        </w:rPr>
        <w:t xml:space="preserve">All material and work produced by the Australian Commission on Safety and Quality in Health Care (the Commission) is protected by copyright. The Commission reserves the right to set out the terms and conditions for the use of such material. </w:t>
      </w:r>
    </w:p>
    <w:p w14:paraId="76602B9F" w14:textId="3B91A84B" w:rsidR="007F1006" w:rsidRPr="007F1006" w:rsidRDefault="007F1006" w:rsidP="007F1006">
      <w:pPr>
        <w:rPr>
          <w:lang w:val="en-GB"/>
        </w:rPr>
      </w:pPr>
      <w:r w:rsidRPr="007F1006">
        <w:rPr>
          <w:lang w:val="en-GB"/>
        </w:rPr>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62765D3C" w14:textId="5E76625B" w:rsidR="007F1006" w:rsidRPr="007F1006" w:rsidRDefault="007F1006" w:rsidP="007F1006">
      <w:pPr>
        <w:rPr>
          <w:lang w:val="en-GB"/>
        </w:rPr>
      </w:pPr>
      <w:r w:rsidRPr="00C263F4">
        <w:rPr>
          <w:spacing w:val="-2"/>
          <w:lang w:val="en-GB"/>
        </w:rPr>
        <w:t>With the exception of any material protected by a trademark, any content provided by third parties and where otherwise noted, all material presented in this publication is licensed under a</w:t>
      </w:r>
      <w:r w:rsidRPr="007F1006">
        <w:rPr>
          <w:lang w:val="en-GB"/>
        </w:rPr>
        <w:t xml:space="preserve"> </w:t>
      </w:r>
      <w:r w:rsidRPr="007F1006">
        <w:rPr>
          <w:lang w:val="en-GB"/>
        </w:rPr>
        <w:br/>
      </w:r>
      <w:hyperlink r:id="rId15" w:history="1">
        <w:r w:rsidRPr="007F1006">
          <w:rPr>
            <w:rStyle w:val="Hyperlink"/>
            <w:lang w:val="en-GB"/>
          </w:rPr>
          <w:t>Creative Commons Attribution-NonCommercial-NoDerivatives 4.0 International licence</w:t>
        </w:r>
      </w:hyperlink>
      <w:r w:rsidRPr="007F1006">
        <w:rPr>
          <w:lang w:val="en-GB"/>
        </w:rPr>
        <w:t>.</w:t>
      </w:r>
    </w:p>
    <w:p w14:paraId="71E3A4FB" w14:textId="3267466C" w:rsidR="007F1006" w:rsidRPr="007F1006" w:rsidRDefault="007F1006" w:rsidP="007F1006">
      <w:pPr>
        <w:rPr>
          <w:b/>
          <w:bCs/>
          <w:u w:val="thick"/>
          <w:lang w:val="en-GB"/>
        </w:rPr>
      </w:pPr>
      <w:r>
        <w:rPr>
          <w:b/>
          <w:bCs/>
          <w:noProof/>
          <w:u w:val="thick"/>
          <w:lang w:val="en-GB"/>
        </w:rPr>
        <w:drawing>
          <wp:inline distT="0" distB="0" distL="0" distR="0" wp14:anchorId="3F05605F" wp14:editId="6C1DBC1F">
            <wp:extent cx="576073" cy="201168"/>
            <wp:effectExtent l="0" t="0" r="0" b="8890"/>
            <wp:docPr id="142603590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35908" name="Picture 8">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3" cy="201168"/>
                    </a:xfrm>
                    <a:prstGeom prst="rect">
                      <a:avLst/>
                    </a:prstGeom>
                  </pic:spPr>
                </pic:pic>
              </a:graphicData>
            </a:graphic>
          </wp:inline>
        </w:drawing>
      </w:r>
    </w:p>
    <w:p w14:paraId="453D1763" w14:textId="787EA18A" w:rsidR="007F1006" w:rsidRPr="00C15DB5" w:rsidRDefault="005B6306" w:rsidP="007F1006">
      <w:pPr>
        <w:rPr>
          <w:color w:val="EE0000"/>
          <w:lang w:val="en-GB"/>
        </w:rPr>
      </w:pPr>
      <w:r>
        <w:rPr>
          <w:color w:val="auto"/>
          <w:lang w:val="en-GB"/>
        </w:rPr>
        <w:t xml:space="preserve">If you would like to reproduce all or part of this resource, please complete our online </w:t>
      </w:r>
      <w:r w:rsidR="00B70F22">
        <w:rPr>
          <w:color w:val="auto"/>
          <w:lang w:val="en-GB"/>
        </w:rPr>
        <w:t xml:space="preserve">form </w:t>
      </w:r>
      <w:r w:rsidR="000A6E98" w:rsidRPr="000A6E98">
        <w:rPr>
          <w:color w:val="auto"/>
          <w:lang w:val="en-GB"/>
        </w:rPr>
        <w:t xml:space="preserve">at </w:t>
      </w:r>
      <w:hyperlink r:id="rId17" w:history="1">
        <w:r w:rsidR="000A6E98" w:rsidRPr="000A6E98">
          <w:rPr>
            <w:rStyle w:val="Hyperlink"/>
            <w:lang w:val="en-GB"/>
          </w:rPr>
          <w:t>safetyandquality.gov.au/permission-request</w:t>
        </w:r>
      </w:hyperlink>
      <w:r w:rsidR="000A6E98" w:rsidRPr="000A6E98">
        <w:rPr>
          <w:color w:val="auto"/>
          <w:lang w:val="en-GB"/>
        </w:rPr>
        <w:t>.</w:t>
      </w:r>
    </w:p>
    <w:p w14:paraId="53B70183" w14:textId="77777777" w:rsidR="007F1006" w:rsidRPr="007F1006" w:rsidRDefault="007F1006" w:rsidP="007F1006">
      <w:pPr>
        <w:rPr>
          <w:lang w:val="en-GB"/>
        </w:rPr>
      </w:pPr>
      <w:r w:rsidRPr="007F1006">
        <w:rPr>
          <w:lang w:val="en-GB"/>
        </w:rPr>
        <w:t>The Commission’s preference is that you attribute this publication (and any material sourced from it) using the following citation:</w:t>
      </w:r>
    </w:p>
    <w:p w14:paraId="2EC1E28C" w14:textId="3020B639" w:rsidR="007F1006" w:rsidRPr="00F366A4" w:rsidRDefault="00F366A4" w:rsidP="007F1006">
      <w:pPr>
        <w:rPr>
          <w:color w:val="auto"/>
        </w:rPr>
      </w:pPr>
      <w:r w:rsidRPr="00F366A4">
        <w:rPr>
          <w:color w:val="auto"/>
        </w:rPr>
        <w:t>Australian Commission on Safety and Quality in Health Care. National Guidelines for Presentation of Electronic Discharge Summaries. Sydney; ACSQHC, 2025.</w:t>
      </w:r>
    </w:p>
    <w:p w14:paraId="5F1CD42C" w14:textId="2A0A6653" w:rsidR="007F1006" w:rsidRPr="007F1006" w:rsidRDefault="007F1006" w:rsidP="007F1006">
      <w:pPr>
        <w:rPr>
          <w:b/>
          <w:bCs/>
          <w:lang w:val="en-GB"/>
        </w:rPr>
      </w:pPr>
      <w:r w:rsidRPr="007F1006">
        <w:rPr>
          <w:b/>
          <w:bCs/>
          <w:lang w:val="en-GB"/>
        </w:rPr>
        <w:t>Disclaimer</w:t>
      </w:r>
    </w:p>
    <w:p w14:paraId="7004887A" w14:textId="6B0A5672" w:rsidR="007F1006" w:rsidRPr="007F1006" w:rsidRDefault="007F1006" w:rsidP="007F1006">
      <w:pPr>
        <w:rPr>
          <w:lang w:val="en-GB"/>
        </w:rPr>
      </w:pPr>
      <w:r w:rsidRPr="007F1006">
        <w:rPr>
          <w:lang w:val="en-GB"/>
        </w:rPr>
        <w:t>The content of this document is published in good faith by the Commission for information purposes. The document is not intended to provide guidance on particular healthcare choices. You should contact your health care provider for information or advice on particular healthcare</w:t>
      </w:r>
      <w:r w:rsidR="001A6649">
        <w:rPr>
          <w:lang w:val="en-GB"/>
        </w:rPr>
        <w:t> </w:t>
      </w:r>
      <w:r w:rsidRPr="007F1006">
        <w:rPr>
          <w:lang w:val="en-GB"/>
        </w:rPr>
        <w:t xml:space="preserve">choices. </w:t>
      </w:r>
    </w:p>
    <w:p w14:paraId="566CA601" w14:textId="73BFDFAB" w:rsidR="00062BA3" w:rsidRPr="00B90AE2" w:rsidRDefault="007F1006" w:rsidP="00444B74">
      <w:pPr>
        <w:rPr>
          <w:lang w:val="en-GB"/>
        </w:rPr>
      </w:pPr>
      <w:r w:rsidRPr="007F1006">
        <w:rPr>
          <w:lang w:val="en-GB"/>
        </w:rPr>
        <w:t>The Commission does not accept any legal liability for any injury, loss or damage incurred by the use of, or reliance on, this document.</w:t>
      </w:r>
      <w:r w:rsidR="00216854">
        <w:rPr>
          <w:lang w:val="en-GB"/>
        </w:rPr>
        <w:t xml:space="preserve"> </w:t>
      </w:r>
    </w:p>
    <w:p w14:paraId="43AD8061" w14:textId="77777777" w:rsidR="007F1006" w:rsidRDefault="007F1006" w:rsidP="00444B74">
      <w:pPr>
        <w:sectPr w:rsidR="007F1006" w:rsidSect="005719F2">
          <w:headerReference w:type="even" r:id="rId18"/>
          <w:headerReference w:type="default" r:id="rId19"/>
          <w:footerReference w:type="even" r:id="rId20"/>
          <w:footerReference w:type="default" r:id="rId21"/>
          <w:headerReference w:type="first" r:id="rId22"/>
          <w:footerReference w:type="first" r:id="rId23"/>
          <w:pgSz w:w="11906" w:h="16838" w:code="9"/>
          <w:pgMar w:top="1361" w:right="1361" w:bottom="1361" w:left="1361" w:header="567" w:footer="567" w:gutter="0"/>
          <w:pgNumType w:start="0"/>
          <w:cols w:space="708"/>
          <w:vAlign w:val="bottom"/>
          <w:titlePg/>
          <w:docGrid w:linePitch="360"/>
        </w:sectPr>
      </w:pPr>
    </w:p>
    <w:sdt>
      <w:sdtPr>
        <w:rPr>
          <w:rFonts w:asciiTheme="minorHAnsi" w:eastAsiaTheme="minorHAnsi" w:hAnsiTheme="minorHAnsi" w:cs="Times New Roman"/>
          <w:bCs w:val="0"/>
          <w:sz w:val="20"/>
          <w:szCs w:val="20"/>
        </w:rPr>
        <w:id w:val="-1516530368"/>
        <w:docPartObj>
          <w:docPartGallery w:val="Table of Contents"/>
          <w:docPartUnique/>
        </w:docPartObj>
      </w:sdtPr>
      <w:sdtEndPr>
        <w:rPr>
          <w:b/>
          <w:noProof/>
          <w:sz w:val="22"/>
          <w:szCs w:val="22"/>
        </w:rPr>
      </w:sdtEndPr>
      <w:sdtContent>
        <w:p w14:paraId="583A0C3C" w14:textId="05EF925A" w:rsidR="00444B74" w:rsidRDefault="00444B74">
          <w:pPr>
            <w:pStyle w:val="TOCHeading"/>
          </w:pPr>
          <w:r>
            <w:t>Contents</w:t>
          </w:r>
        </w:p>
        <w:p w14:paraId="5D6E3142" w14:textId="66C59E2E" w:rsidR="00C20F7C" w:rsidRDefault="005F36C3">
          <w:pPr>
            <w:pStyle w:val="TOC1"/>
            <w:rPr>
              <w:rFonts w:eastAsiaTheme="minorEastAsia" w:cstheme="minorBidi"/>
              <w:b w:val="0"/>
              <w:color w:val="auto"/>
              <w:kern w:val="2"/>
              <w:sz w:val="24"/>
              <w:szCs w:val="24"/>
              <w:lang w:val="en-AU" w:eastAsia="en-GB"/>
              <w14:ligatures w14:val="standardContextual"/>
            </w:rPr>
          </w:pPr>
          <w:r>
            <w:fldChar w:fldCharType="begin"/>
          </w:r>
          <w:r>
            <w:instrText xml:space="preserve"> TOC \o "1-2" \h \z \u </w:instrText>
          </w:r>
          <w:r>
            <w:fldChar w:fldCharType="separate"/>
          </w:r>
          <w:hyperlink w:anchor="_Toc209177870" w:history="1">
            <w:r w:rsidR="00C20F7C" w:rsidRPr="00AF2A64">
              <w:rPr>
                <w:rStyle w:val="Hyperlink"/>
              </w:rPr>
              <w:t>Executive summary</w:t>
            </w:r>
            <w:r w:rsidR="00C20F7C">
              <w:rPr>
                <w:webHidden/>
              </w:rPr>
              <w:tab/>
            </w:r>
            <w:r w:rsidR="00C20F7C">
              <w:rPr>
                <w:webHidden/>
              </w:rPr>
              <w:fldChar w:fldCharType="begin"/>
            </w:r>
            <w:r w:rsidR="00C20F7C">
              <w:rPr>
                <w:webHidden/>
              </w:rPr>
              <w:instrText xml:space="preserve"> PAGEREF _Toc209177870 \h </w:instrText>
            </w:r>
            <w:r w:rsidR="00C20F7C">
              <w:rPr>
                <w:webHidden/>
              </w:rPr>
            </w:r>
            <w:r w:rsidR="00C20F7C">
              <w:rPr>
                <w:webHidden/>
              </w:rPr>
              <w:fldChar w:fldCharType="separate"/>
            </w:r>
            <w:r w:rsidR="0032430C">
              <w:rPr>
                <w:webHidden/>
              </w:rPr>
              <w:t>3</w:t>
            </w:r>
            <w:r w:rsidR="00C20F7C">
              <w:rPr>
                <w:webHidden/>
              </w:rPr>
              <w:fldChar w:fldCharType="end"/>
            </w:r>
          </w:hyperlink>
        </w:p>
        <w:p w14:paraId="67648C50" w14:textId="0CDDB5B4" w:rsidR="00C20F7C" w:rsidRDefault="00C20F7C">
          <w:pPr>
            <w:pStyle w:val="TOC1"/>
            <w:rPr>
              <w:rFonts w:eastAsiaTheme="minorEastAsia" w:cstheme="minorBidi"/>
              <w:b w:val="0"/>
              <w:color w:val="auto"/>
              <w:kern w:val="2"/>
              <w:sz w:val="24"/>
              <w:szCs w:val="24"/>
              <w:lang w:val="en-AU" w:eastAsia="en-GB"/>
              <w14:ligatures w14:val="standardContextual"/>
            </w:rPr>
          </w:pPr>
          <w:hyperlink w:anchor="_Toc209177871" w:history="1">
            <w:r w:rsidRPr="00AF2A64">
              <w:rPr>
                <w:rStyle w:val="Hyperlink"/>
              </w:rPr>
              <w:t>Introduction</w:t>
            </w:r>
            <w:r>
              <w:rPr>
                <w:webHidden/>
              </w:rPr>
              <w:tab/>
            </w:r>
            <w:r>
              <w:rPr>
                <w:webHidden/>
              </w:rPr>
              <w:fldChar w:fldCharType="begin"/>
            </w:r>
            <w:r>
              <w:rPr>
                <w:webHidden/>
              </w:rPr>
              <w:instrText xml:space="preserve"> PAGEREF _Toc209177871 \h </w:instrText>
            </w:r>
            <w:r>
              <w:rPr>
                <w:webHidden/>
              </w:rPr>
            </w:r>
            <w:r>
              <w:rPr>
                <w:webHidden/>
              </w:rPr>
              <w:fldChar w:fldCharType="separate"/>
            </w:r>
            <w:r w:rsidR="0032430C">
              <w:rPr>
                <w:webHidden/>
              </w:rPr>
              <w:t>4</w:t>
            </w:r>
            <w:r>
              <w:rPr>
                <w:webHidden/>
              </w:rPr>
              <w:fldChar w:fldCharType="end"/>
            </w:r>
          </w:hyperlink>
        </w:p>
        <w:p w14:paraId="1767C304" w14:textId="2F18D7BA" w:rsidR="00C20F7C" w:rsidRDefault="00C20F7C">
          <w:pPr>
            <w:pStyle w:val="TOC2"/>
            <w:rPr>
              <w:rFonts w:eastAsiaTheme="minorEastAsia" w:cstheme="minorBidi"/>
              <w:color w:val="auto"/>
              <w:kern w:val="2"/>
              <w:sz w:val="24"/>
              <w:szCs w:val="24"/>
              <w:lang w:eastAsia="en-GB"/>
              <w14:ligatures w14:val="standardContextual"/>
            </w:rPr>
          </w:pPr>
          <w:hyperlink w:anchor="_Toc209177872" w:history="1">
            <w:r w:rsidRPr="00AF2A64">
              <w:rPr>
                <w:rStyle w:val="Hyperlink"/>
              </w:rPr>
              <w:t>Background</w:t>
            </w:r>
            <w:r>
              <w:rPr>
                <w:webHidden/>
              </w:rPr>
              <w:tab/>
            </w:r>
            <w:r>
              <w:rPr>
                <w:webHidden/>
              </w:rPr>
              <w:fldChar w:fldCharType="begin"/>
            </w:r>
            <w:r>
              <w:rPr>
                <w:webHidden/>
              </w:rPr>
              <w:instrText xml:space="preserve"> PAGEREF _Toc209177872 \h </w:instrText>
            </w:r>
            <w:r>
              <w:rPr>
                <w:webHidden/>
              </w:rPr>
            </w:r>
            <w:r>
              <w:rPr>
                <w:webHidden/>
              </w:rPr>
              <w:fldChar w:fldCharType="separate"/>
            </w:r>
            <w:r w:rsidR="0032430C">
              <w:rPr>
                <w:webHidden/>
              </w:rPr>
              <w:t>4</w:t>
            </w:r>
            <w:r>
              <w:rPr>
                <w:webHidden/>
              </w:rPr>
              <w:fldChar w:fldCharType="end"/>
            </w:r>
          </w:hyperlink>
        </w:p>
        <w:p w14:paraId="02B11DCA" w14:textId="3E6E73C2" w:rsidR="00C20F7C" w:rsidRDefault="00C20F7C">
          <w:pPr>
            <w:pStyle w:val="TOC2"/>
            <w:rPr>
              <w:rFonts w:eastAsiaTheme="minorEastAsia" w:cstheme="minorBidi"/>
              <w:color w:val="auto"/>
              <w:kern w:val="2"/>
              <w:sz w:val="24"/>
              <w:szCs w:val="24"/>
              <w:lang w:eastAsia="en-GB"/>
              <w14:ligatures w14:val="standardContextual"/>
            </w:rPr>
          </w:pPr>
          <w:hyperlink w:anchor="_Toc209177873" w:history="1">
            <w:r w:rsidRPr="00AF2A64">
              <w:rPr>
                <w:rStyle w:val="Hyperlink"/>
              </w:rPr>
              <w:t>Objective and purpose</w:t>
            </w:r>
            <w:r>
              <w:rPr>
                <w:webHidden/>
              </w:rPr>
              <w:tab/>
            </w:r>
            <w:r>
              <w:rPr>
                <w:webHidden/>
              </w:rPr>
              <w:fldChar w:fldCharType="begin"/>
            </w:r>
            <w:r>
              <w:rPr>
                <w:webHidden/>
              </w:rPr>
              <w:instrText xml:space="preserve"> PAGEREF _Toc209177873 \h </w:instrText>
            </w:r>
            <w:r>
              <w:rPr>
                <w:webHidden/>
              </w:rPr>
            </w:r>
            <w:r>
              <w:rPr>
                <w:webHidden/>
              </w:rPr>
              <w:fldChar w:fldCharType="separate"/>
            </w:r>
            <w:r w:rsidR="0032430C">
              <w:rPr>
                <w:webHidden/>
              </w:rPr>
              <w:t>5</w:t>
            </w:r>
            <w:r>
              <w:rPr>
                <w:webHidden/>
              </w:rPr>
              <w:fldChar w:fldCharType="end"/>
            </w:r>
          </w:hyperlink>
        </w:p>
        <w:p w14:paraId="5FD07DBC" w14:textId="0CADB69D" w:rsidR="00C20F7C" w:rsidRDefault="00C20F7C">
          <w:pPr>
            <w:pStyle w:val="TOC2"/>
            <w:rPr>
              <w:rFonts w:eastAsiaTheme="minorEastAsia" w:cstheme="minorBidi"/>
              <w:color w:val="auto"/>
              <w:kern w:val="2"/>
              <w:sz w:val="24"/>
              <w:szCs w:val="24"/>
              <w:lang w:eastAsia="en-GB"/>
              <w14:ligatures w14:val="standardContextual"/>
            </w:rPr>
          </w:pPr>
          <w:hyperlink w:anchor="_Toc209177874" w:history="1">
            <w:r w:rsidRPr="00AF2A64">
              <w:rPr>
                <w:rStyle w:val="Hyperlink"/>
              </w:rPr>
              <w:t>Scope</w:t>
            </w:r>
            <w:r>
              <w:rPr>
                <w:webHidden/>
              </w:rPr>
              <w:tab/>
            </w:r>
            <w:r>
              <w:rPr>
                <w:webHidden/>
              </w:rPr>
              <w:fldChar w:fldCharType="begin"/>
            </w:r>
            <w:r>
              <w:rPr>
                <w:webHidden/>
              </w:rPr>
              <w:instrText xml:space="preserve"> PAGEREF _Toc209177874 \h </w:instrText>
            </w:r>
            <w:r>
              <w:rPr>
                <w:webHidden/>
              </w:rPr>
            </w:r>
            <w:r>
              <w:rPr>
                <w:webHidden/>
              </w:rPr>
              <w:fldChar w:fldCharType="separate"/>
            </w:r>
            <w:r w:rsidR="0032430C">
              <w:rPr>
                <w:webHidden/>
              </w:rPr>
              <w:t>5</w:t>
            </w:r>
            <w:r>
              <w:rPr>
                <w:webHidden/>
              </w:rPr>
              <w:fldChar w:fldCharType="end"/>
            </w:r>
          </w:hyperlink>
        </w:p>
        <w:p w14:paraId="5C748DB5" w14:textId="55B5CA9D" w:rsidR="00C20F7C" w:rsidRDefault="00C20F7C">
          <w:pPr>
            <w:pStyle w:val="TOC2"/>
            <w:rPr>
              <w:rFonts w:eastAsiaTheme="minorEastAsia" w:cstheme="minorBidi"/>
              <w:color w:val="auto"/>
              <w:kern w:val="2"/>
              <w:sz w:val="24"/>
              <w:szCs w:val="24"/>
              <w:lang w:eastAsia="en-GB"/>
              <w14:ligatures w14:val="standardContextual"/>
            </w:rPr>
          </w:pPr>
          <w:hyperlink w:anchor="_Toc209177875" w:history="1">
            <w:r w:rsidRPr="00AF2A64">
              <w:rPr>
                <w:rStyle w:val="Hyperlink"/>
              </w:rPr>
              <w:t>Key findings</w:t>
            </w:r>
            <w:r>
              <w:rPr>
                <w:webHidden/>
              </w:rPr>
              <w:tab/>
            </w:r>
            <w:r>
              <w:rPr>
                <w:webHidden/>
              </w:rPr>
              <w:fldChar w:fldCharType="begin"/>
            </w:r>
            <w:r>
              <w:rPr>
                <w:webHidden/>
              </w:rPr>
              <w:instrText xml:space="preserve"> PAGEREF _Toc209177875 \h </w:instrText>
            </w:r>
            <w:r>
              <w:rPr>
                <w:webHidden/>
              </w:rPr>
            </w:r>
            <w:r>
              <w:rPr>
                <w:webHidden/>
              </w:rPr>
              <w:fldChar w:fldCharType="separate"/>
            </w:r>
            <w:r w:rsidR="0032430C">
              <w:rPr>
                <w:webHidden/>
              </w:rPr>
              <w:t>6</w:t>
            </w:r>
            <w:r>
              <w:rPr>
                <w:webHidden/>
              </w:rPr>
              <w:fldChar w:fldCharType="end"/>
            </w:r>
          </w:hyperlink>
        </w:p>
        <w:p w14:paraId="7E6D459F" w14:textId="181DBF0C" w:rsidR="00C20F7C" w:rsidRDefault="00C20F7C">
          <w:pPr>
            <w:pStyle w:val="TOC2"/>
            <w:rPr>
              <w:rFonts w:eastAsiaTheme="minorEastAsia" w:cstheme="minorBidi"/>
              <w:color w:val="auto"/>
              <w:kern w:val="2"/>
              <w:sz w:val="24"/>
              <w:szCs w:val="24"/>
              <w:lang w:eastAsia="en-GB"/>
              <w14:ligatures w14:val="standardContextual"/>
            </w:rPr>
          </w:pPr>
          <w:hyperlink w:anchor="_Toc209177876" w:history="1">
            <w:r w:rsidRPr="00AF2A64">
              <w:rPr>
                <w:rStyle w:val="Hyperlink"/>
              </w:rPr>
              <w:t>Changes made to the Guidelines</w:t>
            </w:r>
            <w:r>
              <w:rPr>
                <w:webHidden/>
              </w:rPr>
              <w:tab/>
            </w:r>
            <w:r>
              <w:rPr>
                <w:webHidden/>
              </w:rPr>
              <w:fldChar w:fldCharType="begin"/>
            </w:r>
            <w:r>
              <w:rPr>
                <w:webHidden/>
              </w:rPr>
              <w:instrText xml:space="preserve"> PAGEREF _Toc209177876 \h </w:instrText>
            </w:r>
            <w:r>
              <w:rPr>
                <w:webHidden/>
              </w:rPr>
            </w:r>
            <w:r>
              <w:rPr>
                <w:webHidden/>
              </w:rPr>
              <w:fldChar w:fldCharType="separate"/>
            </w:r>
            <w:r w:rsidR="0032430C">
              <w:rPr>
                <w:webHidden/>
              </w:rPr>
              <w:t>8</w:t>
            </w:r>
            <w:r>
              <w:rPr>
                <w:webHidden/>
              </w:rPr>
              <w:fldChar w:fldCharType="end"/>
            </w:r>
          </w:hyperlink>
        </w:p>
        <w:p w14:paraId="4114E20B" w14:textId="7D0AB903" w:rsidR="00C20F7C" w:rsidRDefault="00C20F7C">
          <w:pPr>
            <w:pStyle w:val="TOC1"/>
            <w:rPr>
              <w:rFonts w:eastAsiaTheme="minorEastAsia" w:cstheme="minorBidi"/>
              <w:b w:val="0"/>
              <w:color w:val="auto"/>
              <w:kern w:val="2"/>
              <w:sz w:val="24"/>
              <w:szCs w:val="24"/>
              <w:lang w:val="en-AU" w:eastAsia="en-GB"/>
              <w14:ligatures w14:val="standardContextual"/>
            </w:rPr>
          </w:pPr>
          <w:hyperlink w:anchor="_Toc209177877" w:history="1">
            <w:r w:rsidRPr="00AF2A64">
              <w:rPr>
                <w:rStyle w:val="Hyperlink"/>
              </w:rPr>
              <w:t xml:space="preserve">Principles </w:t>
            </w:r>
            <w:r w:rsidR="00F377B3">
              <w:rPr>
                <w:rStyle w:val="Hyperlink"/>
              </w:rPr>
              <w:t>of</w:t>
            </w:r>
            <w:r w:rsidRPr="00AF2A64">
              <w:rPr>
                <w:rStyle w:val="Hyperlink"/>
              </w:rPr>
              <w:t xml:space="preserve"> saf</w:t>
            </w:r>
            <w:r w:rsidR="00F377B3">
              <w:rPr>
                <w:rStyle w:val="Hyperlink"/>
              </w:rPr>
              <w:t xml:space="preserve">e, </w:t>
            </w:r>
            <w:r w:rsidRPr="00AF2A64">
              <w:rPr>
                <w:rStyle w:val="Hyperlink"/>
              </w:rPr>
              <w:t>high-quality transitions of care</w:t>
            </w:r>
            <w:r>
              <w:rPr>
                <w:webHidden/>
              </w:rPr>
              <w:tab/>
            </w:r>
            <w:r>
              <w:rPr>
                <w:webHidden/>
              </w:rPr>
              <w:fldChar w:fldCharType="begin"/>
            </w:r>
            <w:r>
              <w:rPr>
                <w:webHidden/>
              </w:rPr>
              <w:instrText xml:space="preserve"> PAGEREF _Toc209177877 \h </w:instrText>
            </w:r>
            <w:r>
              <w:rPr>
                <w:webHidden/>
              </w:rPr>
            </w:r>
            <w:r>
              <w:rPr>
                <w:webHidden/>
              </w:rPr>
              <w:fldChar w:fldCharType="separate"/>
            </w:r>
            <w:r w:rsidR="0032430C">
              <w:rPr>
                <w:webHidden/>
              </w:rPr>
              <w:t>9</w:t>
            </w:r>
            <w:r>
              <w:rPr>
                <w:webHidden/>
              </w:rPr>
              <w:fldChar w:fldCharType="end"/>
            </w:r>
          </w:hyperlink>
        </w:p>
        <w:p w14:paraId="59308E72" w14:textId="0EFB80C1" w:rsidR="00C20F7C" w:rsidRDefault="00C20F7C">
          <w:pPr>
            <w:pStyle w:val="TOC2"/>
            <w:rPr>
              <w:rFonts w:eastAsiaTheme="minorEastAsia" w:cstheme="minorBidi"/>
              <w:color w:val="auto"/>
              <w:kern w:val="2"/>
              <w:sz w:val="24"/>
              <w:szCs w:val="24"/>
              <w:lang w:eastAsia="en-GB"/>
              <w14:ligatures w14:val="standardContextual"/>
            </w:rPr>
          </w:pPr>
          <w:hyperlink w:anchor="_Toc209177878" w:history="1">
            <w:r w:rsidRPr="00AF2A64">
              <w:rPr>
                <w:rStyle w:val="Hyperlink"/>
              </w:rPr>
              <w:t>Guidance for health service organisations</w:t>
            </w:r>
            <w:r>
              <w:rPr>
                <w:webHidden/>
              </w:rPr>
              <w:tab/>
            </w:r>
            <w:r>
              <w:rPr>
                <w:webHidden/>
              </w:rPr>
              <w:fldChar w:fldCharType="begin"/>
            </w:r>
            <w:r>
              <w:rPr>
                <w:webHidden/>
              </w:rPr>
              <w:instrText xml:space="preserve"> PAGEREF _Toc209177878 \h </w:instrText>
            </w:r>
            <w:r>
              <w:rPr>
                <w:webHidden/>
              </w:rPr>
            </w:r>
            <w:r>
              <w:rPr>
                <w:webHidden/>
              </w:rPr>
              <w:fldChar w:fldCharType="separate"/>
            </w:r>
            <w:r w:rsidR="0032430C">
              <w:rPr>
                <w:webHidden/>
              </w:rPr>
              <w:t>10</w:t>
            </w:r>
            <w:r>
              <w:rPr>
                <w:webHidden/>
              </w:rPr>
              <w:fldChar w:fldCharType="end"/>
            </w:r>
          </w:hyperlink>
        </w:p>
        <w:p w14:paraId="36D58C13" w14:textId="161069D6" w:rsidR="00C20F7C" w:rsidRDefault="00C20F7C">
          <w:pPr>
            <w:pStyle w:val="TOC2"/>
            <w:rPr>
              <w:rFonts w:eastAsiaTheme="minorEastAsia" w:cstheme="minorBidi"/>
              <w:color w:val="auto"/>
              <w:kern w:val="2"/>
              <w:sz w:val="24"/>
              <w:szCs w:val="24"/>
              <w:lang w:eastAsia="en-GB"/>
              <w14:ligatures w14:val="standardContextual"/>
            </w:rPr>
          </w:pPr>
          <w:hyperlink w:anchor="_Toc209177879" w:history="1">
            <w:r w:rsidRPr="00AF2A64">
              <w:rPr>
                <w:rStyle w:val="Hyperlink"/>
              </w:rPr>
              <w:t>Guidance for clinicians</w:t>
            </w:r>
            <w:r>
              <w:rPr>
                <w:webHidden/>
              </w:rPr>
              <w:tab/>
            </w:r>
            <w:r>
              <w:rPr>
                <w:webHidden/>
              </w:rPr>
              <w:fldChar w:fldCharType="begin"/>
            </w:r>
            <w:r>
              <w:rPr>
                <w:webHidden/>
              </w:rPr>
              <w:instrText xml:space="preserve"> PAGEREF _Toc209177879 \h </w:instrText>
            </w:r>
            <w:r>
              <w:rPr>
                <w:webHidden/>
              </w:rPr>
            </w:r>
            <w:r>
              <w:rPr>
                <w:webHidden/>
              </w:rPr>
              <w:fldChar w:fldCharType="separate"/>
            </w:r>
            <w:r w:rsidR="0032430C">
              <w:rPr>
                <w:webHidden/>
              </w:rPr>
              <w:t>11</w:t>
            </w:r>
            <w:r>
              <w:rPr>
                <w:webHidden/>
              </w:rPr>
              <w:fldChar w:fldCharType="end"/>
            </w:r>
          </w:hyperlink>
        </w:p>
        <w:p w14:paraId="396B7484" w14:textId="6626A1B7" w:rsidR="00C20F7C" w:rsidRDefault="00C20F7C">
          <w:pPr>
            <w:pStyle w:val="TOC1"/>
            <w:rPr>
              <w:rFonts w:eastAsiaTheme="minorEastAsia" w:cstheme="minorBidi"/>
              <w:b w:val="0"/>
              <w:color w:val="auto"/>
              <w:kern w:val="2"/>
              <w:sz w:val="24"/>
              <w:szCs w:val="24"/>
              <w:lang w:val="en-AU" w:eastAsia="en-GB"/>
              <w14:ligatures w14:val="standardContextual"/>
            </w:rPr>
          </w:pPr>
          <w:hyperlink w:anchor="_Toc209177880" w:history="1">
            <w:r w:rsidRPr="00AF2A64">
              <w:rPr>
                <w:rStyle w:val="Hyperlink"/>
              </w:rPr>
              <w:t>Structure of an electronic discharge summary</w:t>
            </w:r>
            <w:r>
              <w:rPr>
                <w:webHidden/>
              </w:rPr>
              <w:tab/>
            </w:r>
            <w:r>
              <w:rPr>
                <w:webHidden/>
              </w:rPr>
              <w:fldChar w:fldCharType="begin"/>
            </w:r>
            <w:r>
              <w:rPr>
                <w:webHidden/>
              </w:rPr>
              <w:instrText xml:space="preserve"> PAGEREF _Toc209177880 \h </w:instrText>
            </w:r>
            <w:r>
              <w:rPr>
                <w:webHidden/>
              </w:rPr>
            </w:r>
            <w:r>
              <w:rPr>
                <w:webHidden/>
              </w:rPr>
              <w:fldChar w:fldCharType="separate"/>
            </w:r>
            <w:r w:rsidR="0032430C">
              <w:rPr>
                <w:webHidden/>
              </w:rPr>
              <w:t>12</w:t>
            </w:r>
            <w:r>
              <w:rPr>
                <w:webHidden/>
              </w:rPr>
              <w:fldChar w:fldCharType="end"/>
            </w:r>
          </w:hyperlink>
        </w:p>
        <w:p w14:paraId="6A61CDF5" w14:textId="4B920F7C" w:rsidR="00C20F7C" w:rsidRDefault="00C20F7C">
          <w:pPr>
            <w:pStyle w:val="TOC1"/>
            <w:rPr>
              <w:rFonts w:eastAsiaTheme="minorEastAsia" w:cstheme="minorBidi"/>
              <w:b w:val="0"/>
              <w:color w:val="auto"/>
              <w:kern w:val="2"/>
              <w:sz w:val="24"/>
              <w:szCs w:val="24"/>
              <w:lang w:val="en-AU" w:eastAsia="en-GB"/>
              <w14:ligatures w14:val="standardContextual"/>
            </w:rPr>
          </w:pPr>
          <w:hyperlink w:anchor="_Toc209177881" w:history="1">
            <w:r w:rsidRPr="00AF2A64">
              <w:rPr>
                <w:rStyle w:val="Hyperlink"/>
              </w:rPr>
              <w:t>Data components of an electronic discharge summary</w:t>
            </w:r>
            <w:r>
              <w:rPr>
                <w:webHidden/>
              </w:rPr>
              <w:tab/>
            </w:r>
            <w:r>
              <w:rPr>
                <w:webHidden/>
              </w:rPr>
              <w:fldChar w:fldCharType="begin"/>
            </w:r>
            <w:r>
              <w:rPr>
                <w:webHidden/>
              </w:rPr>
              <w:instrText xml:space="preserve"> PAGEREF _Toc209177881 \h </w:instrText>
            </w:r>
            <w:r>
              <w:rPr>
                <w:webHidden/>
              </w:rPr>
            </w:r>
            <w:r>
              <w:rPr>
                <w:webHidden/>
              </w:rPr>
              <w:fldChar w:fldCharType="separate"/>
            </w:r>
            <w:r w:rsidR="0032430C">
              <w:rPr>
                <w:webHidden/>
              </w:rPr>
              <w:t>13</w:t>
            </w:r>
            <w:r>
              <w:rPr>
                <w:webHidden/>
              </w:rPr>
              <w:fldChar w:fldCharType="end"/>
            </w:r>
          </w:hyperlink>
        </w:p>
        <w:p w14:paraId="45272052" w14:textId="7EAB30BC" w:rsidR="00C20F7C" w:rsidRDefault="00C20F7C">
          <w:pPr>
            <w:pStyle w:val="TOC2"/>
            <w:rPr>
              <w:rFonts w:eastAsiaTheme="minorEastAsia" w:cstheme="minorBidi"/>
              <w:color w:val="auto"/>
              <w:kern w:val="2"/>
              <w:sz w:val="24"/>
              <w:szCs w:val="24"/>
              <w:lang w:eastAsia="en-GB"/>
              <w14:ligatures w14:val="standardContextual"/>
            </w:rPr>
          </w:pPr>
          <w:hyperlink w:anchor="_Toc209177882" w:history="1">
            <w:r w:rsidRPr="00AF2A64">
              <w:rPr>
                <w:rStyle w:val="Hyperlink"/>
                <w:lang w:val="en-GB"/>
              </w:rPr>
              <w:t>Header</w:t>
            </w:r>
            <w:r>
              <w:rPr>
                <w:webHidden/>
              </w:rPr>
              <w:tab/>
            </w:r>
            <w:r>
              <w:rPr>
                <w:webHidden/>
              </w:rPr>
              <w:fldChar w:fldCharType="begin"/>
            </w:r>
            <w:r>
              <w:rPr>
                <w:webHidden/>
              </w:rPr>
              <w:instrText xml:space="preserve"> PAGEREF _Toc209177882 \h </w:instrText>
            </w:r>
            <w:r>
              <w:rPr>
                <w:webHidden/>
              </w:rPr>
            </w:r>
            <w:r>
              <w:rPr>
                <w:webHidden/>
              </w:rPr>
              <w:fldChar w:fldCharType="separate"/>
            </w:r>
            <w:r w:rsidR="0032430C">
              <w:rPr>
                <w:webHidden/>
              </w:rPr>
              <w:t>13</w:t>
            </w:r>
            <w:r>
              <w:rPr>
                <w:webHidden/>
              </w:rPr>
              <w:fldChar w:fldCharType="end"/>
            </w:r>
          </w:hyperlink>
        </w:p>
        <w:p w14:paraId="090FCE59" w14:textId="3917530C" w:rsidR="00C20F7C" w:rsidRDefault="00C20F7C">
          <w:pPr>
            <w:pStyle w:val="TOC2"/>
            <w:rPr>
              <w:rFonts w:eastAsiaTheme="minorEastAsia" w:cstheme="minorBidi"/>
              <w:color w:val="auto"/>
              <w:kern w:val="2"/>
              <w:sz w:val="24"/>
              <w:szCs w:val="24"/>
              <w:lang w:eastAsia="en-GB"/>
              <w14:ligatures w14:val="standardContextual"/>
            </w:rPr>
          </w:pPr>
          <w:hyperlink w:anchor="_Toc209177883" w:history="1">
            <w:r w:rsidRPr="00AF2A64">
              <w:rPr>
                <w:rStyle w:val="Hyperlink"/>
                <w:lang w:val="en-GB"/>
              </w:rPr>
              <w:t>Body</w:t>
            </w:r>
            <w:r>
              <w:rPr>
                <w:webHidden/>
              </w:rPr>
              <w:tab/>
            </w:r>
            <w:r>
              <w:rPr>
                <w:webHidden/>
              </w:rPr>
              <w:fldChar w:fldCharType="begin"/>
            </w:r>
            <w:r>
              <w:rPr>
                <w:webHidden/>
              </w:rPr>
              <w:instrText xml:space="preserve"> PAGEREF _Toc209177883 \h </w:instrText>
            </w:r>
            <w:r>
              <w:rPr>
                <w:webHidden/>
              </w:rPr>
            </w:r>
            <w:r>
              <w:rPr>
                <w:webHidden/>
              </w:rPr>
              <w:fldChar w:fldCharType="separate"/>
            </w:r>
            <w:r w:rsidR="0032430C">
              <w:rPr>
                <w:webHidden/>
              </w:rPr>
              <w:t>15</w:t>
            </w:r>
            <w:r>
              <w:rPr>
                <w:webHidden/>
              </w:rPr>
              <w:fldChar w:fldCharType="end"/>
            </w:r>
          </w:hyperlink>
        </w:p>
        <w:p w14:paraId="3E6BD6AB" w14:textId="1129B72A" w:rsidR="00C20F7C" w:rsidRDefault="00C20F7C">
          <w:pPr>
            <w:pStyle w:val="TOC1"/>
            <w:rPr>
              <w:rFonts w:eastAsiaTheme="minorEastAsia" w:cstheme="minorBidi"/>
              <w:b w:val="0"/>
              <w:color w:val="auto"/>
              <w:kern w:val="2"/>
              <w:sz w:val="24"/>
              <w:szCs w:val="24"/>
              <w:lang w:val="en-AU" w:eastAsia="en-GB"/>
              <w14:ligatures w14:val="standardContextual"/>
            </w:rPr>
          </w:pPr>
          <w:hyperlink w:anchor="_Toc209177884" w:history="1">
            <w:r w:rsidRPr="00AF2A64">
              <w:rPr>
                <w:rStyle w:val="Hyperlink"/>
              </w:rPr>
              <w:t>Next steps</w:t>
            </w:r>
            <w:r>
              <w:rPr>
                <w:webHidden/>
              </w:rPr>
              <w:tab/>
            </w:r>
            <w:r>
              <w:rPr>
                <w:webHidden/>
              </w:rPr>
              <w:fldChar w:fldCharType="begin"/>
            </w:r>
            <w:r>
              <w:rPr>
                <w:webHidden/>
              </w:rPr>
              <w:instrText xml:space="preserve"> PAGEREF _Toc209177884 \h </w:instrText>
            </w:r>
            <w:r>
              <w:rPr>
                <w:webHidden/>
              </w:rPr>
            </w:r>
            <w:r>
              <w:rPr>
                <w:webHidden/>
              </w:rPr>
              <w:fldChar w:fldCharType="separate"/>
            </w:r>
            <w:r w:rsidR="0032430C">
              <w:rPr>
                <w:webHidden/>
              </w:rPr>
              <w:t>27</w:t>
            </w:r>
            <w:r>
              <w:rPr>
                <w:webHidden/>
              </w:rPr>
              <w:fldChar w:fldCharType="end"/>
            </w:r>
          </w:hyperlink>
        </w:p>
        <w:p w14:paraId="4A1729A6" w14:textId="12AA46F2" w:rsidR="00C20F7C" w:rsidRDefault="00C20F7C">
          <w:pPr>
            <w:pStyle w:val="TOC1"/>
            <w:rPr>
              <w:rFonts w:eastAsiaTheme="minorEastAsia" w:cstheme="minorBidi"/>
              <w:b w:val="0"/>
              <w:color w:val="auto"/>
              <w:kern w:val="2"/>
              <w:sz w:val="24"/>
              <w:szCs w:val="24"/>
              <w:lang w:val="en-AU" w:eastAsia="en-GB"/>
              <w14:ligatures w14:val="standardContextual"/>
            </w:rPr>
          </w:pPr>
          <w:hyperlink w:anchor="_Toc209177885" w:history="1">
            <w:r w:rsidRPr="00AF2A64">
              <w:rPr>
                <w:rStyle w:val="Hyperlink"/>
              </w:rPr>
              <w:t>References</w:t>
            </w:r>
            <w:r>
              <w:rPr>
                <w:webHidden/>
              </w:rPr>
              <w:tab/>
            </w:r>
            <w:r>
              <w:rPr>
                <w:webHidden/>
              </w:rPr>
              <w:fldChar w:fldCharType="begin"/>
            </w:r>
            <w:r>
              <w:rPr>
                <w:webHidden/>
              </w:rPr>
              <w:instrText xml:space="preserve"> PAGEREF _Toc209177885 \h </w:instrText>
            </w:r>
            <w:r>
              <w:rPr>
                <w:webHidden/>
              </w:rPr>
            </w:r>
            <w:r>
              <w:rPr>
                <w:webHidden/>
              </w:rPr>
              <w:fldChar w:fldCharType="separate"/>
            </w:r>
            <w:r w:rsidR="0032430C">
              <w:rPr>
                <w:webHidden/>
              </w:rPr>
              <w:t>28</w:t>
            </w:r>
            <w:r>
              <w:rPr>
                <w:webHidden/>
              </w:rPr>
              <w:fldChar w:fldCharType="end"/>
            </w:r>
          </w:hyperlink>
        </w:p>
        <w:p w14:paraId="45F433F0" w14:textId="75A5A2BD" w:rsidR="00444B74" w:rsidRDefault="005F36C3">
          <w:r>
            <w:rPr>
              <w:b/>
            </w:rPr>
            <w:fldChar w:fldCharType="end"/>
          </w:r>
        </w:p>
      </w:sdtContent>
    </w:sdt>
    <w:p w14:paraId="09564E07" w14:textId="77777777" w:rsidR="00444B74" w:rsidRPr="00444B74" w:rsidRDefault="00444B74" w:rsidP="00444B74"/>
    <w:p w14:paraId="3A53D78E" w14:textId="77777777" w:rsidR="00F92885" w:rsidRDefault="00F92885" w:rsidP="00D02F69">
      <w:pPr>
        <w:sectPr w:rsidR="00F92885" w:rsidSect="005719F2">
          <w:headerReference w:type="default" r:id="rId24"/>
          <w:pgSz w:w="11906" w:h="16838" w:code="9"/>
          <w:pgMar w:top="1361" w:right="1361" w:bottom="1361" w:left="1361" w:header="567" w:footer="567" w:gutter="0"/>
          <w:cols w:space="708"/>
          <w:docGrid w:linePitch="360"/>
        </w:sectPr>
      </w:pPr>
      <w:bookmarkStart w:id="0" w:name="_Toc501634887"/>
    </w:p>
    <w:p w14:paraId="328606BE" w14:textId="77777777" w:rsidR="00883520" w:rsidRDefault="00883520" w:rsidP="00883520">
      <w:pPr>
        <w:pStyle w:val="Heading1"/>
        <w:rPr>
          <w:noProof/>
        </w:rPr>
      </w:pPr>
      <w:bookmarkStart w:id="1" w:name="_Toc209177870"/>
      <w:bookmarkEnd w:id="0"/>
      <w:r w:rsidRPr="00981F11">
        <w:lastRenderedPageBreak/>
        <w:t>Executive</w:t>
      </w:r>
      <w:r>
        <w:rPr>
          <w:noProof/>
        </w:rPr>
        <w:t xml:space="preserve"> summary</w:t>
      </w:r>
      <w:bookmarkEnd w:id="1"/>
      <w:r>
        <w:rPr>
          <w:noProof/>
        </w:rPr>
        <w:t xml:space="preserve"> </w:t>
      </w:r>
    </w:p>
    <w:p w14:paraId="5ABD8223" w14:textId="77777777" w:rsidR="00883520" w:rsidRDefault="00883520" w:rsidP="007619BA">
      <w:r w:rsidRPr="00D06517">
        <w:t xml:space="preserve">Discharge from hospital is a high-risk event. Poorly written or incomplete discharge summaries can lead to medication errors, inadequate follow-up care, unnecessary hospital readmissions, and </w:t>
      </w:r>
      <w:r>
        <w:t>possibly</w:t>
      </w:r>
      <w:r w:rsidRPr="00D06517">
        <w:t xml:space="preserve">, </w:t>
      </w:r>
      <w:r w:rsidRPr="007619BA">
        <w:t>patient</w:t>
      </w:r>
      <w:r w:rsidRPr="00D06517">
        <w:t xml:space="preserve"> deaths. </w:t>
      </w:r>
      <w:r>
        <w:t>High-quality and timely</w:t>
      </w:r>
      <w:r w:rsidRPr="00D06517">
        <w:t xml:space="preserve"> discharge summaries </w:t>
      </w:r>
      <w:r>
        <w:t>enhance patient safety</w:t>
      </w:r>
      <w:r w:rsidRPr="00D06517">
        <w:t>.</w:t>
      </w:r>
    </w:p>
    <w:p w14:paraId="33364DC2" w14:textId="77777777" w:rsidR="00883520" w:rsidRDefault="00883520" w:rsidP="00883520">
      <w:r w:rsidRPr="00D06517">
        <w:t xml:space="preserve">Recognising this critical patient safety risk, the </w:t>
      </w:r>
      <w:r w:rsidRPr="00961777">
        <w:rPr>
          <w:rStyle w:val="Emphasis"/>
        </w:rPr>
        <w:t>National Guidelines for Presentation of Electronic Discharge Summaries</w:t>
      </w:r>
      <w:r w:rsidRPr="00D06517">
        <w:t xml:space="preserve"> (the Guidelines) have been revised and updated from the previous 2017 edition. </w:t>
      </w:r>
      <w:r>
        <w:t>Initially</w:t>
      </w:r>
      <w:r w:rsidRPr="00D06517">
        <w:t xml:space="preserve"> developed following a clinical safety review of the My Health Record system</w:t>
      </w:r>
      <w:r>
        <w:t xml:space="preserve"> – </w:t>
      </w:r>
      <w:r w:rsidRPr="00D06517">
        <w:t xml:space="preserve">which revealed inconsistencies in discharge summaries across hospitals, general practice, and the national </w:t>
      </w:r>
      <w:r>
        <w:t>electronic</w:t>
      </w:r>
      <w:r w:rsidRPr="00D06517">
        <w:t xml:space="preserve"> health record</w:t>
      </w:r>
      <w:r>
        <w:t xml:space="preserve"> – the</w:t>
      </w:r>
      <w:r w:rsidRPr="00D06517">
        <w:t xml:space="preserve"> Guidelines </w:t>
      </w:r>
      <w:r>
        <w:t xml:space="preserve">aim to ensure a nationally consistent approach to accurate, concise, and </w:t>
      </w:r>
      <w:r w:rsidRPr="00D06517">
        <w:t xml:space="preserve">well-designed </w:t>
      </w:r>
      <w:r>
        <w:t xml:space="preserve">electronic discharge summaries (EDS). </w:t>
      </w:r>
    </w:p>
    <w:p w14:paraId="4551EB89" w14:textId="30642254" w:rsidR="00883520" w:rsidRDefault="00883520" w:rsidP="00883520">
      <w:r>
        <w:t>Extensive literature findings demonstrate that d</w:t>
      </w:r>
      <w:r w:rsidRPr="007107AE">
        <w:t xml:space="preserve">ischarge summaries are </w:t>
      </w:r>
      <w:r>
        <w:t xml:space="preserve">an </w:t>
      </w:r>
      <w:r w:rsidRPr="007107AE">
        <w:t xml:space="preserve">essential </w:t>
      </w:r>
      <w:r>
        <w:t>component of</w:t>
      </w:r>
      <w:r w:rsidRPr="007107AE">
        <w:t xml:space="preserve"> effective clinical handover at transitions of care, </w:t>
      </w:r>
      <w:r>
        <w:t xml:space="preserve">which can </w:t>
      </w:r>
      <w:r w:rsidRPr="007107AE">
        <w:t>reduc</w:t>
      </w:r>
      <w:r>
        <w:t>e</w:t>
      </w:r>
      <w:r w:rsidRPr="007107AE">
        <w:t xml:space="preserve"> errors and improv</w:t>
      </w:r>
      <w:r>
        <w:t xml:space="preserve">e </w:t>
      </w:r>
      <w:r w:rsidRPr="007107AE">
        <w:t xml:space="preserve">outcomes. The Guidelines provide evidence-based recommendations on the structure, format, and content of EDS, </w:t>
      </w:r>
      <w:r>
        <w:t xml:space="preserve">which must be </w:t>
      </w:r>
      <w:r w:rsidRPr="007107AE">
        <w:t>supported by robust clinical governance, training, and evaluation processes.</w:t>
      </w:r>
    </w:p>
    <w:p w14:paraId="72C5BB5C" w14:textId="77777777" w:rsidR="00883520" w:rsidRDefault="00883520" w:rsidP="00883520">
      <w:pPr>
        <w:spacing w:before="0"/>
      </w:pPr>
      <w:r>
        <w:t xml:space="preserve">The Guidelines build upon technical specifications and document architecture for EDSs, that were first published in 2010 by the former National e-Health Transition Authority (NEHTA). These remain current under the stewardship </w:t>
      </w:r>
      <w:r w:rsidRPr="00981F11">
        <w:t>of</w:t>
      </w:r>
      <w:r>
        <w:t xml:space="preserve"> the Australian Digital Health Agency (the Agency). </w:t>
      </w:r>
    </w:p>
    <w:p w14:paraId="26B1BB66" w14:textId="77777777" w:rsidR="00883520" w:rsidRPr="00F35985" w:rsidRDefault="00883520" w:rsidP="00883520">
      <w:r>
        <w:rPr>
          <w:lang w:val="en-GB"/>
        </w:rPr>
        <w:t>Extensive stakeholder consultation with clinicians, across the acute and primary care sectors, informed the updated Guidelines. Other activities that informed the revision process included:</w:t>
      </w:r>
    </w:p>
    <w:p w14:paraId="0B6EFF04" w14:textId="77777777" w:rsidR="00883520" w:rsidRDefault="00883520" w:rsidP="00883520">
      <w:pPr>
        <w:pStyle w:val="ListBullet"/>
        <w:rPr>
          <w:lang w:val="en-GB"/>
        </w:rPr>
      </w:pPr>
      <w:r>
        <w:rPr>
          <w:lang w:val="en-GB"/>
        </w:rPr>
        <w:t xml:space="preserve">A literature review and environmental scan of international best practice </w:t>
      </w:r>
    </w:p>
    <w:p w14:paraId="3C39F074" w14:textId="77777777" w:rsidR="00883520" w:rsidRDefault="00883520" w:rsidP="00883520">
      <w:pPr>
        <w:pStyle w:val="ListBullet"/>
        <w:rPr>
          <w:lang w:val="en-GB"/>
        </w:rPr>
      </w:pPr>
      <w:r>
        <w:rPr>
          <w:lang w:val="en-GB"/>
        </w:rPr>
        <w:t>Facilitated workshops with representatives from Australian states and territories to determine the current implementation of the Guidelines</w:t>
      </w:r>
    </w:p>
    <w:p w14:paraId="15CA6E3B" w14:textId="77777777" w:rsidR="00883520" w:rsidRDefault="00883520" w:rsidP="00883520">
      <w:pPr>
        <w:pStyle w:val="ListBullet"/>
        <w:rPr>
          <w:lang w:val="en-GB"/>
        </w:rPr>
      </w:pPr>
      <w:r>
        <w:rPr>
          <w:lang w:val="en-GB"/>
        </w:rPr>
        <w:t>Online surveys to explore clinician perspectives and experiences with EDSs</w:t>
      </w:r>
    </w:p>
    <w:p w14:paraId="11F389FB" w14:textId="77777777" w:rsidR="00883520" w:rsidRPr="00B3411F" w:rsidRDefault="00883520" w:rsidP="00883520">
      <w:pPr>
        <w:pStyle w:val="ListBullet"/>
        <w:rPr>
          <w:lang w:val="en-GB"/>
        </w:rPr>
      </w:pPr>
      <w:r>
        <w:rPr>
          <w:lang w:val="en-GB"/>
        </w:rPr>
        <w:t>Targeted consultation to align recommendations with national digital health initiatives.</w:t>
      </w:r>
    </w:p>
    <w:p w14:paraId="47010CAB" w14:textId="77777777" w:rsidR="00883520" w:rsidRDefault="00883520" w:rsidP="00883520">
      <w:pPr>
        <w:spacing w:before="0"/>
        <w:rPr>
          <w:lang w:val="en-GB"/>
        </w:rPr>
      </w:pPr>
      <w:r w:rsidRPr="000F2BE0">
        <w:rPr>
          <w:lang w:val="en-GB"/>
        </w:rPr>
        <w:t>These</w:t>
      </w:r>
      <w:r w:rsidRPr="002225CC">
        <w:rPr>
          <w:lang w:val="en-GB"/>
        </w:rPr>
        <w:t xml:space="preserve"> Guidelines are intended for </w:t>
      </w:r>
      <w:r>
        <w:rPr>
          <w:lang w:val="en-GB"/>
        </w:rPr>
        <w:t xml:space="preserve">clinicians and </w:t>
      </w:r>
      <w:r w:rsidRPr="002225CC">
        <w:rPr>
          <w:lang w:val="en-GB"/>
        </w:rPr>
        <w:t xml:space="preserve">health service organisations </w:t>
      </w:r>
      <w:r>
        <w:rPr>
          <w:lang w:val="en-GB"/>
        </w:rPr>
        <w:t>using</w:t>
      </w:r>
      <w:r w:rsidRPr="002225CC">
        <w:rPr>
          <w:lang w:val="en-GB"/>
        </w:rPr>
        <w:t xml:space="preserve"> </w:t>
      </w:r>
      <w:r>
        <w:rPr>
          <w:lang w:val="en-GB"/>
        </w:rPr>
        <w:t>EDSs in</w:t>
      </w:r>
      <w:r w:rsidRPr="002225CC">
        <w:rPr>
          <w:lang w:val="en-GB"/>
        </w:rPr>
        <w:t xml:space="preserve"> their clinical information system</w:t>
      </w:r>
      <w:r>
        <w:rPr>
          <w:lang w:val="en-GB"/>
        </w:rPr>
        <w:t>s</w:t>
      </w:r>
      <w:r w:rsidRPr="002225CC">
        <w:rPr>
          <w:lang w:val="en-GB"/>
        </w:rPr>
        <w:t>.</w:t>
      </w:r>
      <w:r>
        <w:rPr>
          <w:lang w:val="en-GB"/>
        </w:rPr>
        <w:t xml:space="preserve"> The </w:t>
      </w:r>
      <w:r w:rsidRPr="002225CC">
        <w:rPr>
          <w:lang w:val="en-GB"/>
        </w:rPr>
        <w:t>Guidelines are not intended to be a comprehensive guide</w:t>
      </w:r>
      <w:r>
        <w:rPr>
          <w:lang w:val="en-GB"/>
        </w:rPr>
        <w:t xml:space="preserve"> for all clinical specialties and </w:t>
      </w:r>
      <w:r w:rsidRPr="00981F11">
        <w:t>scenarios</w:t>
      </w:r>
      <w:r>
        <w:rPr>
          <w:lang w:val="en-GB"/>
        </w:rPr>
        <w:t>. Rather</w:t>
      </w:r>
      <w:r w:rsidRPr="002225CC">
        <w:rPr>
          <w:lang w:val="en-GB"/>
        </w:rPr>
        <w:t>,</w:t>
      </w:r>
      <w:r>
        <w:rPr>
          <w:lang w:val="en-GB"/>
        </w:rPr>
        <w:t xml:space="preserve"> they</w:t>
      </w:r>
      <w:r w:rsidRPr="002225CC">
        <w:rPr>
          <w:lang w:val="en-GB"/>
        </w:rPr>
        <w:t xml:space="preserve"> provide general recommendations that are </w:t>
      </w:r>
      <w:r>
        <w:rPr>
          <w:lang w:val="en-GB"/>
        </w:rPr>
        <w:t>applicable</w:t>
      </w:r>
      <w:r w:rsidRPr="002225CC">
        <w:rPr>
          <w:lang w:val="en-GB"/>
        </w:rPr>
        <w:t xml:space="preserve"> to most circumstances</w:t>
      </w:r>
      <w:r>
        <w:rPr>
          <w:lang w:val="en-GB"/>
        </w:rPr>
        <w:t xml:space="preserve">. </w:t>
      </w:r>
      <w:r w:rsidRPr="00B13708">
        <w:rPr>
          <w:lang w:val="en-GB"/>
        </w:rPr>
        <w:t>Ultimately, implementing these Guidelines means fewer avoidable errors, fewer readmissions, and safer patient</w:t>
      </w:r>
      <w:r>
        <w:rPr>
          <w:lang w:val="en-GB"/>
        </w:rPr>
        <w:t xml:space="preserve"> care</w:t>
      </w:r>
      <w:r w:rsidRPr="00B13708">
        <w:rPr>
          <w:lang w:val="en-GB"/>
        </w:rPr>
        <w:t>.</w:t>
      </w:r>
    </w:p>
    <w:p w14:paraId="0E4FD597" w14:textId="77777777" w:rsidR="00883520" w:rsidRDefault="00883520" w:rsidP="00DF423A">
      <w:pPr>
        <w:pStyle w:val="Heading2"/>
      </w:pPr>
      <w:r>
        <w:br w:type="page"/>
      </w:r>
    </w:p>
    <w:p w14:paraId="27C1B0B0" w14:textId="77777777" w:rsidR="00883520" w:rsidRPr="007021C4" w:rsidRDefault="00883520" w:rsidP="00883520">
      <w:pPr>
        <w:pStyle w:val="Heading1"/>
        <w:rPr>
          <w:noProof/>
        </w:rPr>
      </w:pPr>
      <w:bookmarkStart w:id="2" w:name="_Toc209177871"/>
      <w:r w:rsidRPr="00961777">
        <w:lastRenderedPageBreak/>
        <w:t>Introduction</w:t>
      </w:r>
      <w:bookmarkEnd w:id="2"/>
    </w:p>
    <w:p w14:paraId="25A6D8E4" w14:textId="016DE459" w:rsidR="009C0248" w:rsidRDefault="00883520" w:rsidP="00B64B07">
      <w:r>
        <w:t>Transitions of care are a period that increases risk of harm for patients.</w:t>
      </w:r>
      <w:r w:rsidRPr="00F55638">
        <w:rPr>
          <w:rStyle w:val="Superscript"/>
        </w:rPr>
        <w:t>1</w:t>
      </w:r>
      <w:r w:rsidRPr="00F45FED">
        <w:t xml:space="preserve"> </w:t>
      </w:r>
      <w:r w:rsidRPr="007747C5">
        <w:t>A</w:t>
      </w:r>
      <w:r w:rsidR="009C0248">
        <w:t> </w:t>
      </w:r>
      <w:r w:rsidRPr="007747C5">
        <w:t xml:space="preserve">discharge summary </w:t>
      </w:r>
      <w:r w:rsidRPr="00B64B07">
        <w:t>consists</w:t>
      </w:r>
      <w:r w:rsidRPr="007747C5">
        <w:t xml:space="preserve"> of curated</w:t>
      </w:r>
      <w:r>
        <w:t xml:space="preserve"> health</w:t>
      </w:r>
      <w:r w:rsidRPr="007747C5">
        <w:t xml:space="preserve"> information</w:t>
      </w:r>
      <w:r>
        <w:rPr>
          <w:b/>
          <w:bCs/>
        </w:rPr>
        <w:t xml:space="preserve"> </w:t>
      </w:r>
      <w:r>
        <w:t>to support safer transition and follow-up care after a patient’s discharge from hospital.</w:t>
      </w:r>
      <w:r w:rsidRPr="007747C5">
        <w:t xml:space="preserve"> </w:t>
      </w:r>
    </w:p>
    <w:p w14:paraId="4CA41792" w14:textId="145F4355" w:rsidR="00883520" w:rsidRDefault="00883520" w:rsidP="00883520">
      <w:pPr>
        <w:rPr>
          <w:noProof/>
        </w:rPr>
      </w:pPr>
      <w:r>
        <w:rPr>
          <w:noProof/>
        </w:rPr>
        <w:t xml:space="preserve">The main purpose of a discharge summary is to </w:t>
      </w:r>
      <w:r w:rsidRPr="008B379D">
        <w:rPr>
          <w:noProof/>
        </w:rPr>
        <w:t>inform clinicians what has happened to a patient in hospital and what is required when the patient leaves hospital for continuity of care.</w:t>
      </w:r>
      <w:r>
        <w:rPr>
          <w:noProof/>
        </w:rPr>
        <w:t xml:space="preserve"> The primary recipient of a discharge summary is a patient’s nominated healthcare provider (usually a general practitioner). Discharge summaries also serve important secondary functions such as providing health information for use by:</w:t>
      </w:r>
    </w:p>
    <w:p w14:paraId="4E290864" w14:textId="77777777" w:rsidR="00883520" w:rsidRDefault="00883520" w:rsidP="00883520">
      <w:pPr>
        <w:pStyle w:val="ListBullet"/>
        <w:rPr>
          <w:noProof/>
        </w:rPr>
      </w:pPr>
      <w:r>
        <w:rPr>
          <w:noProof/>
        </w:rPr>
        <w:t>Patients and/or their carers</w:t>
      </w:r>
    </w:p>
    <w:p w14:paraId="1733C1B1" w14:textId="77777777" w:rsidR="00883520" w:rsidRDefault="00883520" w:rsidP="00883520">
      <w:pPr>
        <w:pStyle w:val="ListBullet"/>
        <w:rPr>
          <w:noProof/>
        </w:rPr>
      </w:pPr>
      <w:r>
        <w:rPr>
          <w:noProof/>
        </w:rPr>
        <w:t>Community-based healthcare providers (</w:t>
      </w:r>
      <w:r w:rsidRPr="00A00E3C">
        <w:rPr>
          <w:noProof/>
        </w:rPr>
        <w:t xml:space="preserve">for example, </w:t>
      </w:r>
      <w:r>
        <w:rPr>
          <w:noProof/>
        </w:rPr>
        <w:t>medical specialists)</w:t>
      </w:r>
    </w:p>
    <w:p w14:paraId="379A6337" w14:textId="77777777" w:rsidR="00883520" w:rsidRDefault="00883520" w:rsidP="009C0248">
      <w:pPr>
        <w:pStyle w:val="ListBullet"/>
        <w:ind w:left="357" w:hanging="357"/>
        <w:rPr>
          <w:noProof/>
        </w:rPr>
      </w:pPr>
      <w:r>
        <w:rPr>
          <w:noProof/>
        </w:rPr>
        <w:t>Clinicians in a hospital setting (</w:t>
      </w:r>
      <w:r w:rsidRPr="00A00E3C">
        <w:rPr>
          <w:noProof/>
        </w:rPr>
        <w:t xml:space="preserve">for example, </w:t>
      </w:r>
      <w:r>
        <w:rPr>
          <w:noProof/>
        </w:rPr>
        <w:t>following subsequent hospital presentations, or clinicians w</w:t>
      </w:r>
      <w:r w:rsidRPr="008B379D">
        <w:rPr>
          <w:noProof/>
        </w:rPr>
        <w:t>ho may be providing ongoing specialist care both inhospial and in an outpatient</w:t>
      </w:r>
      <w:r>
        <w:rPr>
          <w:noProof/>
        </w:rPr>
        <w:t> </w:t>
      </w:r>
      <w:r w:rsidRPr="008B379D">
        <w:rPr>
          <w:noProof/>
        </w:rPr>
        <w:t>setting</w:t>
      </w:r>
      <w:r>
        <w:rPr>
          <w:noProof/>
        </w:rPr>
        <w:t>)</w:t>
      </w:r>
    </w:p>
    <w:p w14:paraId="38DD0C7F" w14:textId="6FDDCE72" w:rsidR="00883520" w:rsidRDefault="00883520" w:rsidP="00883520">
      <w:pPr>
        <w:pStyle w:val="ListBullet"/>
        <w:rPr>
          <w:noProof/>
        </w:rPr>
      </w:pPr>
      <w:r>
        <w:rPr>
          <w:noProof/>
        </w:rPr>
        <w:t>Clinical coding specialists</w:t>
      </w:r>
      <w:r w:rsidR="009C0248">
        <w:rPr>
          <w:noProof/>
        </w:rPr>
        <w:t>.</w:t>
      </w:r>
    </w:p>
    <w:p w14:paraId="133543F9" w14:textId="7F4429EF" w:rsidR="00883520" w:rsidRDefault="00883520" w:rsidP="00883520">
      <w:r w:rsidRPr="007D32BB">
        <w:t>High-quality</w:t>
      </w:r>
      <w:r>
        <w:t xml:space="preserve"> and timely</w:t>
      </w:r>
      <w:r w:rsidRPr="007D32BB">
        <w:t xml:space="preserve"> discharge summaries support clinicians to make appropriate clinical decisions and ensure continuity of care as patients leave the hospital. Discharge summaries may be prepared in a paper-based format or increasingly, as an electronic discharge</w:t>
      </w:r>
      <w:r w:rsidR="00A85621">
        <w:t xml:space="preserve"> </w:t>
      </w:r>
      <w:r w:rsidRPr="007D32BB">
        <w:t>summary</w:t>
      </w:r>
      <w:r w:rsidR="00B73C43">
        <w:t> </w:t>
      </w:r>
      <w:r w:rsidR="005C2FA1" w:rsidRPr="007619BA">
        <w:t>(EDS)</w:t>
      </w:r>
      <w:r w:rsidRPr="007D32BB">
        <w:t xml:space="preserve">. </w:t>
      </w:r>
    </w:p>
    <w:p w14:paraId="7D7D6725" w14:textId="208E70E8" w:rsidR="00883520" w:rsidRDefault="00883520" w:rsidP="00883520">
      <w:r>
        <w:t xml:space="preserve">Despite advancements in digital health technology, there is significant variability in the quality of </w:t>
      </w:r>
      <w:r w:rsidR="005C2FA1">
        <w:t>EDSs</w:t>
      </w:r>
      <w:r>
        <w:t xml:space="preserve">. Improving safety at transitions of care is a national healthcare priority and standardisation in discharge summary content can reduce variability to support better patient outcomes. Attempts to standardise </w:t>
      </w:r>
      <w:r w:rsidR="005C2FA1">
        <w:t>EDS</w:t>
      </w:r>
      <w:r>
        <w:t xml:space="preserve"> content have presented significant challenges due to the diverse and complex needs of multiple stakeholders. This is amplified by the variability in digital maturity across the health system</w:t>
      </w:r>
      <w:r>
        <w:rPr>
          <w:vertAlign w:val="superscript"/>
        </w:rPr>
        <w:t>2</w:t>
      </w:r>
      <w:r>
        <w:t>. A</w:t>
      </w:r>
      <w:r w:rsidR="006C448B">
        <w:t> </w:t>
      </w:r>
      <w:r>
        <w:t>system-wide approach is necessary to address these complex challenges and drive the necessary standardisation.</w:t>
      </w:r>
      <w:r w:rsidRPr="00F55638">
        <w:rPr>
          <w:rStyle w:val="Superscript"/>
        </w:rPr>
        <w:t>3</w:t>
      </w:r>
    </w:p>
    <w:p w14:paraId="4EEADF6A" w14:textId="77777777" w:rsidR="00883520" w:rsidRPr="00961777" w:rsidRDefault="00883520" w:rsidP="00DF423A">
      <w:pPr>
        <w:pStyle w:val="Heading2"/>
      </w:pPr>
      <w:bookmarkStart w:id="3" w:name="_Toc196287141"/>
      <w:bookmarkStart w:id="4" w:name="_Toc209177872"/>
      <w:r w:rsidRPr="00961777">
        <w:t>Background</w:t>
      </w:r>
      <w:bookmarkEnd w:id="3"/>
      <w:bookmarkEnd w:id="4"/>
    </w:p>
    <w:p w14:paraId="2389D1C8" w14:textId="77777777" w:rsidR="00883520" w:rsidRDefault="00883520" w:rsidP="00883520">
      <w:pPr>
        <w:spacing w:before="0"/>
      </w:pPr>
      <w:r>
        <w:t xml:space="preserve">The Guidelines were first published in 2017 as the </w:t>
      </w:r>
      <w:r w:rsidRPr="00961777">
        <w:rPr>
          <w:rStyle w:val="Emphasis"/>
        </w:rPr>
        <w:t>National Guidelines for On-Screen Presentation of Discharge Summaries</w:t>
      </w:r>
      <w:r>
        <w:t>. They were submitted to the Australian Health Minister’s Advisory Council for endorsement and subsequent implementation across the country.</w:t>
      </w:r>
    </w:p>
    <w:p w14:paraId="7941AB30" w14:textId="55848DEB" w:rsidR="00883520" w:rsidRDefault="00883520" w:rsidP="00883520">
      <w:pPr>
        <w:spacing w:before="0"/>
      </w:pPr>
      <w:r>
        <w:t xml:space="preserve">The Guidelines were developed to address recommendations that emerged from the Commission’s Clinical Safety Program. As part of this program a series of eight clinical safety reviews of the My Health Record system were completed. The fourth clinical safety review, conducted in 2014, involved an end-to-end investigation of the accuracy and data quality of </w:t>
      </w:r>
      <w:r w:rsidR="005C2FA1">
        <w:t>EDSs</w:t>
      </w:r>
      <w:r>
        <w:t>. It recommended that the Commission work with relevant Australian Government agencies, jurisdictions and clinical peak bodies to develop a common presentation format for</w:t>
      </w:r>
      <w:r w:rsidR="007619BA">
        <w:t> </w:t>
      </w:r>
      <w:r w:rsidR="005C2FA1">
        <w:t>EDSs</w:t>
      </w:r>
      <w:r>
        <w:t xml:space="preserve">. </w:t>
      </w:r>
    </w:p>
    <w:p w14:paraId="67513FDB" w14:textId="77777777" w:rsidR="00883520" w:rsidRPr="00961777" w:rsidRDefault="00883520" w:rsidP="00883520">
      <w:r w:rsidRPr="00961777">
        <w:t xml:space="preserve">The 2017 edition of the Guidelines were developed based on the technical specifications available at the time of publication, which were first published in 2010 by the former National e-Health Transition Authority (NEHTA). The technical documents are currently under the stewardship of the Australian Digital Health Agency (the Agency) and published as the ‘eDischarge Summary’ document collection on the Agency’s </w:t>
      </w:r>
      <w:hyperlink r:id="rId25" w:history="1">
        <w:r w:rsidRPr="00961777">
          <w:rPr>
            <w:rStyle w:val="Hyperlink"/>
          </w:rPr>
          <w:t>developer portal</w:t>
        </w:r>
      </w:hyperlink>
      <w:r w:rsidRPr="00961777">
        <w:t xml:space="preserve">. </w:t>
      </w:r>
    </w:p>
    <w:p w14:paraId="5B7A5928" w14:textId="77777777" w:rsidR="00883520" w:rsidRDefault="00883520" w:rsidP="00DF423A">
      <w:pPr>
        <w:pStyle w:val="Heading2"/>
      </w:pPr>
      <w:bookmarkStart w:id="5" w:name="_Toc196287142"/>
      <w:bookmarkStart w:id="6" w:name="_Toc209177873"/>
      <w:r>
        <w:lastRenderedPageBreak/>
        <w:t xml:space="preserve">Objective </w:t>
      </w:r>
      <w:r w:rsidRPr="00961777">
        <w:t>and</w:t>
      </w:r>
      <w:r>
        <w:t xml:space="preserve"> </w:t>
      </w:r>
      <w:r w:rsidRPr="007A6B68">
        <w:t>purpose</w:t>
      </w:r>
      <w:bookmarkEnd w:id="5"/>
      <w:bookmarkEnd w:id="6"/>
    </w:p>
    <w:p w14:paraId="7FBB4891" w14:textId="6B4181A2" w:rsidR="00883520" w:rsidRDefault="00883520" w:rsidP="00883520">
      <w:r w:rsidRPr="00C17BC3">
        <w:t>The</w:t>
      </w:r>
      <w:r>
        <w:t xml:space="preserve"> G</w:t>
      </w:r>
      <w:r w:rsidRPr="00C17BC3">
        <w:t>uidelines aim to</w:t>
      </w:r>
      <w:r>
        <w:t xml:space="preserve"> enhance the overall</w:t>
      </w:r>
      <w:r w:rsidRPr="00C17BC3">
        <w:t xml:space="preserve"> </w:t>
      </w:r>
      <w:r>
        <w:t>quality and usability of</w:t>
      </w:r>
      <w:r w:rsidRPr="00C17BC3">
        <w:t xml:space="preserve"> </w:t>
      </w:r>
      <w:r>
        <w:t xml:space="preserve">the EDS </w:t>
      </w:r>
      <w:r w:rsidRPr="00C17BC3">
        <w:t xml:space="preserve">and </w:t>
      </w:r>
      <w:r>
        <w:t xml:space="preserve">contribute to better </w:t>
      </w:r>
      <w:r w:rsidRPr="00C17BC3">
        <w:t>patient</w:t>
      </w:r>
      <w:r>
        <w:t xml:space="preserve"> outcomes at transitions</w:t>
      </w:r>
      <w:r w:rsidRPr="00C17BC3">
        <w:t xml:space="preserve"> of care. </w:t>
      </w:r>
      <w:r>
        <w:t xml:space="preserve">They complement a range of efforts for continuous improvement, including those achieved through technology standards, software development requirements and other planned work under the </w:t>
      </w:r>
      <w:hyperlink r:id="rId26" w:history="1">
        <w:r w:rsidRPr="003C57CD">
          <w:rPr>
            <w:rStyle w:val="Hyperlink"/>
          </w:rPr>
          <w:t>National Digital Health Strategy</w:t>
        </w:r>
      </w:hyperlink>
      <w:r>
        <w:t>.</w:t>
      </w:r>
    </w:p>
    <w:p w14:paraId="4EDBD83D" w14:textId="77777777" w:rsidR="00883520" w:rsidRDefault="00883520" w:rsidP="00883520">
      <w:r w:rsidRPr="00C17BC3">
        <w:t xml:space="preserve">The </w:t>
      </w:r>
      <w:r>
        <w:t>G</w:t>
      </w:r>
      <w:r w:rsidRPr="00C17BC3">
        <w:t xml:space="preserve">uidelines provide recommendations to ensure that the necessary information about a patient’s hospital encounter, are provided in a </w:t>
      </w:r>
      <w:r>
        <w:t>structured</w:t>
      </w:r>
      <w:r w:rsidRPr="00C17BC3">
        <w:t xml:space="preserve"> </w:t>
      </w:r>
      <w:r>
        <w:t xml:space="preserve">and consistent </w:t>
      </w:r>
      <w:r w:rsidRPr="00C17BC3">
        <w:t xml:space="preserve">manner. This helps </w:t>
      </w:r>
      <w:r>
        <w:t>E</w:t>
      </w:r>
      <w:r w:rsidRPr="00C17BC3">
        <w:t xml:space="preserve">DS recipients </w:t>
      </w:r>
      <w:r>
        <w:t xml:space="preserve">to rapidly </w:t>
      </w:r>
      <w:r w:rsidRPr="00C17BC3">
        <w:t>identify any risk areas, a</w:t>
      </w:r>
      <w:r>
        <w:t>nd</w:t>
      </w:r>
      <w:r w:rsidRPr="00C17BC3">
        <w:t xml:space="preserve"> important</w:t>
      </w:r>
      <w:r>
        <w:t xml:space="preserve"> follow up actions that may be required</w:t>
      </w:r>
      <w:r w:rsidRPr="00C17BC3">
        <w:t>.</w:t>
      </w:r>
      <w:r>
        <w:t xml:space="preserve"> </w:t>
      </w:r>
    </w:p>
    <w:p w14:paraId="630375D9" w14:textId="77777777" w:rsidR="00883520" w:rsidRPr="00022AB5" w:rsidRDefault="00883520" w:rsidP="00883520">
      <w:pPr>
        <w:rPr>
          <w:lang w:val="en-GB"/>
        </w:rPr>
      </w:pPr>
      <w:r w:rsidRPr="00022AB5">
        <w:rPr>
          <w:lang w:val="en-GB"/>
        </w:rPr>
        <w:t>The Guidelines provide recommendations regarding:</w:t>
      </w:r>
    </w:p>
    <w:p w14:paraId="16CCEFEF" w14:textId="2D3C4C6B" w:rsidR="00883520" w:rsidRPr="00595583" w:rsidRDefault="00883520" w:rsidP="00883520">
      <w:pPr>
        <w:pStyle w:val="ListBullet"/>
        <w:rPr>
          <w:lang w:val="en-GB"/>
        </w:rPr>
      </w:pPr>
      <w:r w:rsidRPr="00595583">
        <w:rPr>
          <w:lang w:val="en-GB"/>
        </w:rPr>
        <w:t xml:space="preserve">The </w:t>
      </w:r>
      <w:r>
        <w:rPr>
          <w:lang w:val="en-GB"/>
        </w:rPr>
        <w:t>content</w:t>
      </w:r>
      <w:r w:rsidRPr="00595583">
        <w:rPr>
          <w:lang w:val="en-GB"/>
        </w:rPr>
        <w:t xml:space="preserve"> within each section of </w:t>
      </w:r>
      <w:r w:rsidR="00B64B07">
        <w:rPr>
          <w:lang w:val="en-GB"/>
        </w:rPr>
        <w:t>the EDS</w:t>
      </w:r>
    </w:p>
    <w:p w14:paraId="4F1D5F18" w14:textId="2F8B253D" w:rsidR="00883520" w:rsidRPr="00595583" w:rsidRDefault="00883520" w:rsidP="00883520">
      <w:pPr>
        <w:pStyle w:val="ListBullet"/>
        <w:rPr>
          <w:lang w:val="en-GB"/>
        </w:rPr>
      </w:pPr>
      <w:r w:rsidRPr="00595583">
        <w:rPr>
          <w:lang w:val="en-GB"/>
        </w:rPr>
        <w:t xml:space="preserve">The </w:t>
      </w:r>
      <w:r w:rsidR="00B64B07">
        <w:rPr>
          <w:lang w:val="en-GB"/>
        </w:rPr>
        <w:t xml:space="preserve">relative </w:t>
      </w:r>
      <w:r>
        <w:rPr>
          <w:lang w:val="en-GB"/>
        </w:rPr>
        <w:t xml:space="preserve">position of </w:t>
      </w:r>
      <w:r w:rsidR="00B64B07" w:rsidRPr="00595583">
        <w:rPr>
          <w:lang w:val="en-GB"/>
        </w:rPr>
        <w:t>section</w:t>
      </w:r>
      <w:r w:rsidR="00B64B07">
        <w:rPr>
          <w:lang w:val="en-GB"/>
        </w:rPr>
        <w:t>s</w:t>
      </w:r>
      <w:r w:rsidRPr="00595583">
        <w:rPr>
          <w:lang w:val="en-GB"/>
        </w:rPr>
        <w:t xml:space="preserve"> within the </w:t>
      </w:r>
      <w:r w:rsidR="00B64B07">
        <w:rPr>
          <w:lang w:val="en-GB"/>
        </w:rPr>
        <w:t>EDS</w:t>
      </w:r>
    </w:p>
    <w:p w14:paraId="34D5E932" w14:textId="77777777" w:rsidR="00883520" w:rsidRDefault="00883520" w:rsidP="00883520">
      <w:pPr>
        <w:pStyle w:val="ListBullet"/>
        <w:rPr>
          <w:lang w:val="en-GB"/>
        </w:rPr>
      </w:pPr>
      <w:r w:rsidRPr="00595583">
        <w:rPr>
          <w:lang w:val="en-GB"/>
        </w:rPr>
        <w:t>Formatting and presentation (</w:t>
      </w:r>
      <w:r w:rsidRPr="00A00E3C">
        <w:t>for example,</w:t>
      </w:r>
      <w:r w:rsidRPr="00595583">
        <w:rPr>
          <w:lang w:val="en-GB"/>
        </w:rPr>
        <w:t xml:space="preserve"> tables, bullet points) </w:t>
      </w:r>
    </w:p>
    <w:p w14:paraId="0D5FF5F7" w14:textId="2E7AE650" w:rsidR="00883520" w:rsidRPr="00971098" w:rsidRDefault="00883520" w:rsidP="00883520">
      <w:pPr>
        <w:pStyle w:val="ListBullet"/>
        <w:rPr>
          <w:lang w:val="en-GB"/>
        </w:rPr>
      </w:pPr>
      <w:r w:rsidRPr="00595583">
        <w:rPr>
          <w:lang w:val="en-GB"/>
        </w:rPr>
        <w:t>Functionality considerations to support delivery of an accurate and concise document</w:t>
      </w:r>
      <w:r w:rsidR="0049548F">
        <w:rPr>
          <w:lang w:val="en-GB"/>
        </w:rPr>
        <w:t>.</w:t>
      </w:r>
    </w:p>
    <w:p w14:paraId="356BAD31" w14:textId="4DBE6DA6" w:rsidR="00883520" w:rsidRPr="00437EAD" w:rsidRDefault="00883520" w:rsidP="00883520">
      <w:r w:rsidRPr="00F3542F">
        <w:t>T</w:t>
      </w:r>
      <w:r w:rsidRPr="00971098">
        <w:t>hese Guidelines</w:t>
      </w:r>
      <w:r w:rsidRPr="00F3542F">
        <w:t xml:space="preserve"> </w:t>
      </w:r>
      <w:r>
        <w:t>provide</w:t>
      </w:r>
      <w:r w:rsidRPr="00F3542F">
        <w:t xml:space="preserve"> a baseline from which </w:t>
      </w:r>
      <w:r>
        <w:t xml:space="preserve">clinicians and </w:t>
      </w:r>
      <w:r w:rsidRPr="00F3542F">
        <w:t>health services can assess the quality of their EDS and implement targeted interventions for ongoing quality improvement</w:t>
      </w:r>
      <w:r w:rsidRPr="00971098">
        <w:t>.</w:t>
      </w:r>
      <w:r w:rsidRPr="00A00E3C">
        <w:rPr>
          <w:rStyle w:val="Superscript"/>
        </w:rPr>
        <w:t>4</w:t>
      </w:r>
      <w:r>
        <w:t xml:space="preserve"> They</w:t>
      </w:r>
      <w:r w:rsidR="008D44DD">
        <w:t> </w:t>
      </w:r>
      <w:r>
        <w:t xml:space="preserve">also reflect valuable feedback from clinicians that could inform future updates to technical infrastructure to enable changes that will drive more nationally consistent </w:t>
      </w:r>
      <w:r w:rsidR="00F240BD">
        <w:t>EDSs</w:t>
      </w:r>
      <w:r>
        <w:t>.</w:t>
      </w:r>
    </w:p>
    <w:p w14:paraId="7EE00DEF" w14:textId="77777777" w:rsidR="00883520" w:rsidRPr="00961777" w:rsidRDefault="00883520" w:rsidP="00DF423A">
      <w:pPr>
        <w:pStyle w:val="Heading2"/>
      </w:pPr>
      <w:bookmarkStart w:id="7" w:name="_Toc196287143"/>
      <w:bookmarkStart w:id="8" w:name="_Toc209177874"/>
      <w:r w:rsidRPr="00961777">
        <w:t>Scope</w:t>
      </w:r>
      <w:bookmarkEnd w:id="7"/>
      <w:bookmarkEnd w:id="8"/>
      <w:r w:rsidRPr="00961777">
        <w:t xml:space="preserve"> </w:t>
      </w:r>
    </w:p>
    <w:p w14:paraId="379BE14A" w14:textId="77777777" w:rsidR="00B64B07" w:rsidRPr="003D342C" w:rsidRDefault="00B64B07" w:rsidP="00B64B07">
      <w:pPr>
        <w:rPr>
          <w:lang w:val="en-GB"/>
        </w:rPr>
      </w:pPr>
      <w:r w:rsidRPr="002225CC">
        <w:rPr>
          <w:lang w:val="en-GB"/>
        </w:rPr>
        <w:t xml:space="preserve">These Guidelines are intended for </w:t>
      </w:r>
      <w:r>
        <w:rPr>
          <w:lang w:val="en-GB"/>
        </w:rPr>
        <w:t xml:space="preserve">clinicians and </w:t>
      </w:r>
      <w:r w:rsidRPr="002225CC">
        <w:rPr>
          <w:lang w:val="en-GB"/>
        </w:rPr>
        <w:t>health service organisations implementing an</w:t>
      </w:r>
      <w:r>
        <w:rPr>
          <w:lang w:val="en-GB"/>
        </w:rPr>
        <w:t xml:space="preserve"> </w:t>
      </w:r>
      <w:r>
        <w:t>EDS</w:t>
      </w:r>
      <w:r w:rsidRPr="002225CC">
        <w:rPr>
          <w:lang w:val="en-GB"/>
        </w:rPr>
        <w:t xml:space="preserve"> </w:t>
      </w:r>
      <w:r>
        <w:rPr>
          <w:lang w:val="en-GB"/>
        </w:rPr>
        <w:t>t</w:t>
      </w:r>
      <w:r w:rsidRPr="002225CC">
        <w:rPr>
          <w:lang w:val="en-GB"/>
        </w:rPr>
        <w:t>hrough their clinical information system. These Guidelines are based on the</w:t>
      </w:r>
      <w:r w:rsidRPr="002225CC">
        <w:t xml:space="preserve"> </w:t>
      </w:r>
      <w:r w:rsidRPr="0002723E">
        <w:rPr>
          <w:rStyle w:val="Emphasis"/>
        </w:rPr>
        <w:t>eDischarge Summary Core Information Components</w:t>
      </w:r>
      <w:r>
        <w:t xml:space="preserve"> technical document</w:t>
      </w:r>
      <w:r w:rsidRPr="002225CC">
        <w:t>, which defines the minimum set of data elements that are recommended for any system that creates and transfers discharge summary information electronically within Australia</w:t>
      </w:r>
      <w:r>
        <w:t>.</w:t>
      </w:r>
      <w:r>
        <w:rPr>
          <w:vertAlign w:val="superscript"/>
        </w:rPr>
        <w:t>5</w:t>
      </w:r>
      <w:r w:rsidRPr="002225CC">
        <w:t xml:space="preserve"> Like the </w:t>
      </w:r>
      <w:r w:rsidRPr="00461DC7">
        <w:rPr>
          <w:i/>
          <w:iCs/>
        </w:rPr>
        <w:t>Core Information Components</w:t>
      </w:r>
      <w:r>
        <w:t xml:space="preserve"> </w:t>
      </w:r>
      <w:r w:rsidRPr="002225CC">
        <w:t>document, t</w:t>
      </w:r>
      <w:r w:rsidRPr="002225CC">
        <w:rPr>
          <w:lang w:val="en-GB"/>
        </w:rPr>
        <w:t>he Guidelines are not intended to be a comprehensive guide, but to provide general recommendations that are likely to apply to most circumstances.</w:t>
      </w:r>
      <w:r w:rsidRPr="003D342C">
        <w:rPr>
          <w:lang w:val="en-GB"/>
        </w:rPr>
        <w:t xml:space="preserve"> </w:t>
      </w:r>
    </w:p>
    <w:p w14:paraId="740E2EFA" w14:textId="0C85B1C8" w:rsidR="00883520" w:rsidRDefault="00883520" w:rsidP="00883520">
      <w:pPr>
        <w:rPr>
          <w:lang w:val="en-GB"/>
        </w:rPr>
      </w:pPr>
      <w:r w:rsidRPr="003D342C">
        <w:rPr>
          <w:lang w:val="en-GB"/>
        </w:rPr>
        <w:t>It is recognised that additional information may be required in a discharge summary based on</w:t>
      </w:r>
      <w:r>
        <w:rPr>
          <w:lang w:val="en-GB"/>
        </w:rPr>
        <w:t xml:space="preserve"> several factors including:</w:t>
      </w:r>
    </w:p>
    <w:p w14:paraId="5F2D198A" w14:textId="5D453BDC" w:rsidR="00883520" w:rsidRPr="00CD00EA" w:rsidRDefault="00883520" w:rsidP="00883520">
      <w:pPr>
        <w:pStyle w:val="ListBullet"/>
      </w:pPr>
      <w:r>
        <w:rPr>
          <w:lang w:val="en-GB"/>
        </w:rPr>
        <w:t xml:space="preserve">Patient </w:t>
      </w:r>
      <w:r w:rsidRPr="00CD00EA">
        <w:t>group (</w:t>
      </w:r>
      <w:r w:rsidRPr="00A00E3C">
        <w:t>for example,</w:t>
      </w:r>
      <w:r>
        <w:t xml:space="preserve"> </w:t>
      </w:r>
      <w:r w:rsidRPr="00CD00EA">
        <w:t>paediatrics, aged care, disability)</w:t>
      </w:r>
    </w:p>
    <w:p w14:paraId="6039B28D" w14:textId="77777777" w:rsidR="00883520" w:rsidRPr="00CD00EA" w:rsidRDefault="00883520" w:rsidP="00883520">
      <w:pPr>
        <w:pStyle w:val="ListBullet"/>
      </w:pPr>
      <w:r w:rsidRPr="00CD00EA">
        <w:t>Discharge destination (</w:t>
      </w:r>
      <w:r w:rsidRPr="00A00E3C">
        <w:t>for example,</w:t>
      </w:r>
      <w:r>
        <w:t xml:space="preserve"> </w:t>
      </w:r>
      <w:r w:rsidRPr="00CD00EA">
        <w:t>transitional or residential care)</w:t>
      </w:r>
    </w:p>
    <w:p w14:paraId="2083A8E3" w14:textId="77777777" w:rsidR="00883520" w:rsidRPr="00CD00EA" w:rsidRDefault="00883520" w:rsidP="00883520">
      <w:pPr>
        <w:pStyle w:val="ListBullet"/>
      </w:pPr>
      <w:r w:rsidRPr="00CD00EA">
        <w:t>Clinical specialty (</w:t>
      </w:r>
      <w:r w:rsidRPr="00A00E3C">
        <w:t>for example,</w:t>
      </w:r>
      <w:r>
        <w:t xml:space="preserve"> </w:t>
      </w:r>
      <w:r w:rsidRPr="00CD00EA">
        <w:t>mental health, oncology, cardiology)</w:t>
      </w:r>
    </w:p>
    <w:p w14:paraId="7D050EDB" w14:textId="272559CF" w:rsidR="00883520" w:rsidRPr="00012458" w:rsidRDefault="00883520" w:rsidP="00883520">
      <w:pPr>
        <w:pStyle w:val="ListBullet"/>
        <w:rPr>
          <w:lang w:val="en-GB"/>
        </w:rPr>
      </w:pPr>
      <w:r w:rsidRPr="00CD00EA">
        <w:t>Unique workflow</w:t>
      </w:r>
      <w:r w:rsidRPr="003D342C">
        <w:rPr>
          <w:lang w:val="en-GB"/>
        </w:rPr>
        <w:t xml:space="preserve"> requirements</w:t>
      </w:r>
      <w:r>
        <w:rPr>
          <w:lang w:val="en-GB"/>
        </w:rPr>
        <w:t xml:space="preserve"> (</w:t>
      </w:r>
      <w:r w:rsidRPr="00A00E3C">
        <w:t>for example,</w:t>
      </w:r>
      <w:r>
        <w:t xml:space="preserve"> </w:t>
      </w:r>
      <w:r>
        <w:rPr>
          <w:lang w:val="en-GB"/>
        </w:rPr>
        <w:t>emergency departments, maternity)</w:t>
      </w:r>
      <w:r w:rsidR="008D44DD">
        <w:rPr>
          <w:lang w:val="en-GB"/>
        </w:rPr>
        <w:t>.</w:t>
      </w:r>
    </w:p>
    <w:p w14:paraId="1B56FC34" w14:textId="77777777" w:rsidR="001D030C" w:rsidRDefault="001D030C" w:rsidP="0017351A">
      <w:pPr>
        <w:rPr>
          <w:color w:val="421A75" w:themeColor="accent1"/>
        </w:rPr>
      </w:pPr>
      <w:bookmarkStart w:id="9" w:name="_Toc194398948"/>
      <w:bookmarkStart w:id="10" w:name="_Toc196287144"/>
      <w:bookmarkEnd w:id="9"/>
      <w:r>
        <w:rPr>
          <w:color w:val="421A75" w:themeColor="accent1"/>
        </w:rPr>
        <w:br w:type="page"/>
      </w:r>
    </w:p>
    <w:p w14:paraId="4617EF41" w14:textId="352659FD" w:rsidR="00883520" w:rsidRPr="00C44F77" w:rsidRDefault="005C2E0E" w:rsidP="00DF423A">
      <w:pPr>
        <w:pStyle w:val="Heading2"/>
      </w:pPr>
      <w:bookmarkStart w:id="11" w:name="_Toc209177875"/>
      <w:r w:rsidRPr="00742C92">
        <w:rPr>
          <w:noProof/>
          <w:color w:val="421A75" w:themeColor="accent1"/>
        </w:rPr>
        <w:lastRenderedPageBreak/>
        <w:drawing>
          <wp:anchor distT="0" distB="0" distL="114300" distR="114300" simplePos="0" relativeHeight="251681792" behindDoc="1" locked="0" layoutInCell="1" allowOverlap="1" wp14:anchorId="300A4D3E" wp14:editId="0D449661">
            <wp:simplePos x="0" y="0"/>
            <wp:positionH relativeFrom="column">
              <wp:posOffset>-863600</wp:posOffset>
            </wp:positionH>
            <wp:positionV relativeFrom="paragraph">
              <wp:posOffset>-863600</wp:posOffset>
            </wp:positionV>
            <wp:extent cx="7552800" cy="10690476"/>
            <wp:effectExtent l="0" t="0" r="3810" b="3175"/>
            <wp:wrapNone/>
            <wp:docPr id="769946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4618" name="Picture 1">
                      <a:extLst>
                        <a:ext uri="{C183D7F6-B498-43B3-948B-1728B52AA6E4}">
                          <adec:decorative xmlns:adec="http://schemas.microsoft.com/office/drawing/2017/decorative" val="1"/>
                        </a:ext>
                      </a:extLst>
                    </pic:cNvPr>
                    <pic:cNvPicPr/>
                  </pic:nvPicPr>
                  <pic:blipFill>
                    <a:blip r:embed="rId27"/>
                    <a:stretch>
                      <a:fillRect/>
                    </a:stretch>
                  </pic:blipFill>
                  <pic:spPr>
                    <a:xfrm>
                      <a:off x="0" y="0"/>
                      <a:ext cx="7552800" cy="10690476"/>
                    </a:xfrm>
                    <a:prstGeom prst="rect">
                      <a:avLst/>
                    </a:prstGeom>
                  </pic:spPr>
                </pic:pic>
              </a:graphicData>
            </a:graphic>
            <wp14:sizeRelH relativeFrom="page">
              <wp14:pctWidth>0</wp14:pctWidth>
            </wp14:sizeRelH>
            <wp14:sizeRelV relativeFrom="page">
              <wp14:pctHeight>0</wp14:pctHeight>
            </wp14:sizeRelV>
          </wp:anchor>
        </w:drawing>
      </w:r>
      <w:r w:rsidR="00883520" w:rsidRPr="00742C92">
        <w:rPr>
          <w:color w:val="421A75" w:themeColor="accent1"/>
        </w:rPr>
        <w:t>Key findings</w:t>
      </w:r>
      <w:bookmarkEnd w:id="10"/>
      <w:bookmarkEnd w:id="11"/>
      <w:r w:rsidR="00883520" w:rsidRPr="00C44F77">
        <w:t xml:space="preserve"> </w:t>
      </w:r>
    </w:p>
    <w:p w14:paraId="1F4268A8" w14:textId="0E2BA690" w:rsidR="00883520" w:rsidRDefault="00883520" w:rsidP="00D57F24">
      <w:pPr>
        <w:pStyle w:val="CaptionTable"/>
      </w:pPr>
      <w:r w:rsidRPr="00572FF2">
        <w:t xml:space="preserve">Key findings related to </w:t>
      </w:r>
      <w:r w:rsidR="00D83141" w:rsidRPr="00D83141">
        <w:rPr>
          <w:lang w:val="en-AU"/>
        </w:rPr>
        <w:t>electronic discharge summar</w:t>
      </w:r>
      <w:r w:rsidR="00D83141">
        <w:rPr>
          <w:lang w:val="en-AU"/>
        </w:rPr>
        <w:t>ies</w:t>
      </w:r>
      <w:r w:rsidR="00D83141" w:rsidRPr="00D83141">
        <w:rPr>
          <w:lang w:val="en-AU"/>
        </w:rPr>
        <w:t xml:space="preserve"> </w:t>
      </w:r>
      <w:r w:rsidR="00491AD7">
        <w:rPr>
          <w:lang w:val="en-AU"/>
        </w:rPr>
        <w:t xml:space="preserve">(EDSs) </w:t>
      </w:r>
      <w:r w:rsidRPr="00572FF2">
        <w:t>from stakeholder</w:t>
      </w:r>
      <w:r>
        <w:t xml:space="preserve"> consultation with relevant </w:t>
      </w:r>
      <w:r w:rsidRPr="00572FF2">
        <w:t>recommendations</w:t>
      </w:r>
      <w:r>
        <w:rPr>
          <w:b/>
          <w:sz w:val="22"/>
        </w:rPr>
        <w:fldChar w:fldCharType="begin"/>
      </w:r>
      <w:r>
        <w:instrText xml:space="preserve"> LINK Excel.Sheet.12 "https://healthgov-my.sharepoint.com/personal/rozanna_alameddine_safetyandquality_gov_au/Documents/EDS - working spreadsheets.xlsx" "Problem statements!R2C3:R10C5" \a \f 4 \h  \* MERGEFORMAT </w:instrText>
      </w:r>
      <w:r>
        <w:rPr>
          <w:b/>
          <w:sz w:val="22"/>
        </w:rPr>
        <w:fldChar w:fldCharType="separate"/>
      </w:r>
      <w:bookmarkStart w:id="12" w:name="_1800690315"/>
      <w:bookmarkEnd w:id="12"/>
    </w:p>
    <w:tbl>
      <w:tblPr>
        <w:tblStyle w:val="SQHTable"/>
        <w:tblW w:w="5000" w:type="pct"/>
        <w:tblBorders>
          <w:top w:val="none" w:sz="0" w:space="0" w:color="auto"/>
          <w:bottom w:val="single" w:sz="4" w:space="0" w:color="FFFFFF" w:themeColor="background1"/>
          <w:insideH w:val="single" w:sz="4" w:space="0" w:color="F3EEFE"/>
          <w:insideV w:val="single" w:sz="12" w:space="0" w:color="FFFFFF" w:themeColor="background1"/>
        </w:tblBorders>
        <w:tblLook w:val="0420" w:firstRow="1" w:lastRow="0" w:firstColumn="0" w:lastColumn="0" w:noHBand="0" w:noVBand="1"/>
        <w:tblCaption w:val="Table 1. Key findings related to electronic discharge summaries (EDSs) from stakeholder consultation with relevant recommendations"/>
      </w:tblPr>
      <w:tblGrid>
        <w:gridCol w:w="3402"/>
        <w:gridCol w:w="5782"/>
      </w:tblGrid>
      <w:tr w:rsidR="00883520" w:rsidRPr="00B33CDB" w14:paraId="34186B00" w14:textId="77777777" w:rsidTr="00D15F2D">
        <w:trPr>
          <w:cnfStyle w:val="100000000000" w:firstRow="1" w:lastRow="0" w:firstColumn="0" w:lastColumn="0" w:oddVBand="0" w:evenVBand="0" w:oddHBand="0" w:evenHBand="0" w:firstRowFirstColumn="0" w:firstRowLastColumn="0" w:lastRowFirstColumn="0" w:lastRowLastColumn="0"/>
          <w:trHeight w:val="20"/>
        </w:trPr>
        <w:tc>
          <w:tcPr>
            <w:tcW w:w="1852"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1B5B8EA" w14:textId="77777777" w:rsidR="00883520" w:rsidRPr="00B33CDB" w:rsidRDefault="00883520" w:rsidP="00B33CDB">
            <w:r w:rsidRPr="00B33CDB">
              <w:t>Priority problem statement</w:t>
            </w:r>
          </w:p>
        </w:tc>
        <w:tc>
          <w:tcPr>
            <w:tcW w:w="3148"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4383D893" w14:textId="77777777" w:rsidR="00883520" w:rsidRPr="00B33CDB" w:rsidRDefault="00883520" w:rsidP="00B33CDB">
            <w:r w:rsidRPr="00B33CDB">
              <w:t>Recommendations</w:t>
            </w:r>
          </w:p>
        </w:tc>
      </w:tr>
      <w:tr w:rsidR="00883520" w:rsidRPr="00B33CDB" w14:paraId="641FA9DD" w14:textId="77777777" w:rsidTr="00D15F2D">
        <w:trPr>
          <w:trHeight w:val="20"/>
        </w:trPr>
        <w:tc>
          <w:tcPr>
            <w:tcW w:w="1852" w:type="pct"/>
            <w:shd w:val="clear" w:color="auto" w:fill="FFFFFF" w:themeFill="background1"/>
            <w:hideMark/>
          </w:tcPr>
          <w:p w14:paraId="27CDB28C" w14:textId="547F9490" w:rsidR="00883520" w:rsidRPr="00B33CDB" w:rsidRDefault="00491AD7" w:rsidP="00B33CDB">
            <w:r>
              <w:t>EDS</w:t>
            </w:r>
            <w:r w:rsidR="00D83141" w:rsidRPr="00D83141">
              <w:t xml:space="preserve"> </w:t>
            </w:r>
            <w:r w:rsidR="00883520" w:rsidRPr="00B33CDB">
              <w:t>recipients often need to scroll through several pages on screen to locate important information</w:t>
            </w:r>
            <w:r w:rsidR="00B33CDB">
              <w:t>.</w:t>
            </w:r>
          </w:p>
        </w:tc>
        <w:tc>
          <w:tcPr>
            <w:tcW w:w="3148" w:type="pct"/>
            <w:shd w:val="clear" w:color="auto" w:fill="FFFFFF" w:themeFill="background1"/>
            <w:hideMark/>
          </w:tcPr>
          <w:p w14:paraId="19476CA5" w14:textId="0518D370" w:rsidR="00883520" w:rsidRPr="00B33CDB" w:rsidRDefault="00883520" w:rsidP="00B33CDB">
            <w:r w:rsidRPr="00B33CDB">
              <w:t xml:space="preserve">The </w:t>
            </w:r>
            <w:r w:rsidRPr="006044D2">
              <w:t>most</w:t>
            </w:r>
            <w:r w:rsidRPr="00B33CDB">
              <w:t xml:space="preserve"> important information should be located towards the top of the </w:t>
            </w:r>
            <w:r w:rsidR="00491AD7">
              <w:t>EDS</w:t>
            </w:r>
            <w:r w:rsidRPr="00B33CDB">
              <w:t>. This ensures recipients can rapidly access and view this information.</w:t>
            </w:r>
          </w:p>
        </w:tc>
      </w:tr>
      <w:tr w:rsidR="00883520" w:rsidRPr="00B33CDB" w14:paraId="422203E8" w14:textId="77777777" w:rsidTr="00D15F2D">
        <w:trPr>
          <w:cnfStyle w:val="000000010000" w:firstRow="0" w:lastRow="0" w:firstColumn="0" w:lastColumn="0" w:oddVBand="0" w:evenVBand="0" w:oddHBand="0" w:evenHBand="1" w:firstRowFirstColumn="0" w:firstRowLastColumn="0" w:lastRowFirstColumn="0" w:lastRowLastColumn="0"/>
          <w:trHeight w:val="20"/>
        </w:trPr>
        <w:tc>
          <w:tcPr>
            <w:tcW w:w="1852" w:type="pct"/>
            <w:shd w:val="clear" w:color="auto" w:fill="E9E0FF"/>
            <w:hideMark/>
          </w:tcPr>
          <w:p w14:paraId="2DC47EC5" w14:textId="00020127" w:rsidR="00883520" w:rsidRPr="00B33CDB" w:rsidRDefault="00883520" w:rsidP="00B33CDB">
            <w:r w:rsidRPr="00B33CDB">
              <w:t>Discharge summaries contain irrelevant or repetitive information making it difficult to find information quickly</w:t>
            </w:r>
            <w:r w:rsidR="00B33CDB">
              <w:t>.</w:t>
            </w:r>
          </w:p>
        </w:tc>
        <w:tc>
          <w:tcPr>
            <w:tcW w:w="3148" w:type="pct"/>
            <w:shd w:val="clear" w:color="auto" w:fill="E9E0FF"/>
            <w:hideMark/>
          </w:tcPr>
          <w:p w14:paraId="66400C3A" w14:textId="6B694E71" w:rsidR="00883520" w:rsidRPr="00B33CDB" w:rsidRDefault="00883520" w:rsidP="00B33CDB">
            <w:r w:rsidRPr="00B33CDB">
              <w:t xml:space="preserve">The </w:t>
            </w:r>
            <w:r w:rsidR="00491AD7">
              <w:t xml:space="preserve">EDSs </w:t>
            </w:r>
            <w:r w:rsidRPr="00B33CDB">
              <w:t>should have a consistent structure with content that is curated to ensure relevance and enhanced data quality for greater use.</w:t>
            </w:r>
          </w:p>
        </w:tc>
      </w:tr>
      <w:tr w:rsidR="00883520" w:rsidRPr="00B33CDB" w14:paraId="57A5049F" w14:textId="77777777" w:rsidTr="00D15F2D">
        <w:trPr>
          <w:trHeight w:val="20"/>
        </w:trPr>
        <w:tc>
          <w:tcPr>
            <w:tcW w:w="1852" w:type="pct"/>
            <w:shd w:val="clear" w:color="auto" w:fill="FFFFFF" w:themeFill="background1"/>
            <w:hideMark/>
          </w:tcPr>
          <w:p w14:paraId="2DFCB845" w14:textId="67F2F12F" w:rsidR="00883520" w:rsidRPr="00B33CDB" w:rsidRDefault="00883520" w:rsidP="00B33CDB">
            <w:r w:rsidRPr="00B33CDB">
              <w:t>The discharge summary is not well designed or fit-for-purpose.</w:t>
            </w:r>
          </w:p>
        </w:tc>
        <w:tc>
          <w:tcPr>
            <w:tcW w:w="3148" w:type="pct"/>
            <w:shd w:val="clear" w:color="auto" w:fill="FFFFFF" w:themeFill="background1"/>
            <w:hideMark/>
          </w:tcPr>
          <w:p w14:paraId="5335F280" w14:textId="3739B932" w:rsidR="00883520" w:rsidRPr="00B33CDB" w:rsidRDefault="00883520" w:rsidP="00B33CDB">
            <w:r w:rsidRPr="00B33CDB">
              <w:t xml:space="preserve">General practitioners and other stakeholders in primary care should be engaged by health service organisations during development, implementation and ongoing quality improvement of an </w:t>
            </w:r>
            <w:r w:rsidR="001F6C97">
              <w:t>EDS</w:t>
            </w:r>
            <w:r w:rsidRPr="00B33CDB">
              <w:t xml:space="preserve">. </w:t>
            </w:r>
          </w:p>
        </w:tc>
      </w:tr>
      <w:tr w:rsidR="00883520" w:rsidRPr="00B33CDB" w14:paraId="602B60D9" w14:textId="77777777" w:rsidTr="00D15F2D">
        <w:trPr>
          <w:cnfStyle w:val="000000010000" w:firstRow="0" w:lastRow="0" w:firstColumn="0" w:lastColumn="0" w:oddVBand="0" w:evenVBand="0" w:oddHBand="0" w:evenHBand="1" w:firstRowFirstColumn="0" w:firstRowLastColumn="0" w:lastRowFirstColumn="0" w:lastRowLastColumn="0"/>
          <w:trHeight w:val="20"/>
        </w:trPr>
        <w:tc>
          <w:tcPr>
            <w:tcW w:w="1852" w:type="pct"/>
            <w:shd w:val="clear" w:color="auto" w:fill="E9E0FF"/>
            <w:hideMark/>
          </w:tcPr>
          <w:p w14:paraId="70AF25B8" w14:textId="77777777" w:rsidR="00883520" w:rsidRPr="00B33CDB" w:rsidRDefault="00883520" w:rsidP="00B33CDB">
            <w:r w:rsidRPr="00B33CDB">
              <w:t>Information provided about medicines on discharge are incorrect or inadequate for continuity of care.</w:t>
            </w:r>
          </w:p>
        </w:tc>
        <w:tc>
          <w:tcPr>
            <w:tcW w:w="3148" w:type="pct"/>
            <w:shd w:val="clear" w:color="auto" w:fill="E9E0FF"/>
            <w:hideMark/>
          </w:tcPr>
          <w:p w14:paraId="0A46FB82" w14:textId="38ED647C" w:rsidR="00883520" w:rsidRPr="00B33CDB" w:rsidRDefault="00491AD7" w:rsidP="00B33CDB">
            <w:r>
              <w:t>EDS</w:t>
            </w:r>
            <w:r w:rsidR="00D83141" w:rsidRPr="00D83141">
              <w:t xml:space="preserve"> </w:t>
            </w:r>
            <w:r w:rsidR="00883520" w:rsidRPr="00B33CDB">
              <w:t>authoring and rendering systems should adopt nationally agreed medicines terminology codes wherever possible to enhance interoperability and data integrity. The</w:t>
            </w:r>
            <w:r w:rsidR="00B33CDB">
              <w:t> </w:t>
            </w:r>
            <w:r w:rsidR="00883520" w:rsidRPr="00B33CDB">
              <w:t>preferred terminology set for medicines in Australia is the latest version of the Australian Medicines Terminology</w:t>
            </w:r>
            <w:r w:rsidR="00B33CDB">
              <w:t> </w:t>
            </w:r>
            <w:r w:rsidR="00883520" w:rsidRPr="00B33CDB">
              <w:t>(AMT).</w:t>
            </w:r>
          </w:p>
        </w:tc>
      </w:tr>
      <w:tr w:rsidR="00883520" w:rsidRPr="00B33CDB" w14:paraId="4E1BD8B5" w14:textId="77777777" w:rsidTr="00D15F2D">
        <w:trPr>
          <w:trHeight w:val="20"/>
        </w:trPr>
        <w:tc>
          <w:tcPr>
            <w:tcW w:w="1852" w:type="pct"/>
            <w:shd w:val="clear" w:color="auto" w:fill="FFFFFF" w:themeFill="background1"/>
            <w:hideMark/>
          </w:tcPr>
          <w:p w14:paraId="7B2F4EA1" w14:textId="59EDC0D7" w:rsidR="00883520" w:rsidRPr="00B33CDB" w:rsidRDefault="00883520" w:rsidP="00B33CDB">
            <w:r w:rsidRPr="00B33CDB">
              <w:t>Discharge summaries often do not include sufficient information to support patient</w:t>
            </w:r>
            <w:r w:rsidR="00B33CDB">
              <w:noBreakHyphen/>
            </w:r>
            <w:r w:rsidRPr="00B33CDB">
              <w:t>centred continuity of</w:t>
            </w:r>
            <w:r w:rsidR="00B12BB4">
              <w:t> </w:t>
            </w:r>
            <w:r w:rsidRPr="00B33CDB">
              <w:t>care</w:t>
            </w:r>
            <w:r w:rsidR="00B33CDB">
              <w:t>.</w:t>
            </w:r>
          </w:p>
        </w:tc>
        <w:tc>
          <w:tcPr>
            <w:tcW w:w="3148" w:type="pct"/>
            <w:shd w:val="clear" w:color="auto" w:fill="FFFFFF" w:themeFill="background1"/>
            <w:hideMark/>
          </w:tcPr>
          <w:p w14:paraId="60E8629C" w14:textId="53905861" w:rsidR="00883520" w:rsidRPr="00B33CDB" w:rsidRDefault="00883520" w:rsidP="00B33CDB">
            <w:r w:rsidRPr="00B33CDB">
              <w:t xml:space="preserve">Additional curated and patient-centred information should be included in the </w:t>
            </w:r>
            <w:r w:rsidR="00491AD7">
              <w:t>EDS</w:t>
            </w:r>
            <w:r w:rsidRPr="00B33CDB">
              <w:t xml:space="preserve">, where it is relevant and necessary for enhanced continuity of care. For example, functional status, advance </w:t>
            </w:r>
            <w:r w:rsidR="00B12BB4" w:rsidRPr="00B12BB4">
              <w:t>care planning documents</w:t>
            </w:r>
            <w:r w:rsidRPr="00B33CDB">
              <w:t>, social context and cultural or communication needs.</w:t>
            </w:r>
          </w:p>
        </w:tc>
      </w:tr>
      <w:tr w:rsidR="00883520" w:rsidRPr="00B33CDB" w14:paraId="1F694584" w14:textId="77777777" w:rsidTr="00D15F2D">
        <w:trPr>
          <w:cnfStyle w:val="000000010000" w:firstRow="0" w:lastRow="0" w:firstColumn="0" w:lastColumn="0" w:oddVBand="0" w:evenVBand="0" w:oddHBand="0" w:evenHBand="1" w:firstRowFirstColumn="0" w:firstRowLastColumn="0" w:lastRowFirstColumn="0" w:lastRowLastColumn="0"/>
          <w:trHeight w:val="20"/>
        </w:trPr>
        <w:tc>
          <w:tcPr>
            <w:tcW w:w="1852" w:type="pct"/>
            <w:shd w:val="clear" w:color="auto" w:fill="E9E0FF"/>
            <w:hideMark/>
          </w:tcPr>
          <w:p w14:paraId="1D557006" w14:textId="39145FB9" w:rsidR="00883520" w:rsidRPr="00B33CDB" w:rsidRDefault="00883520" w:rsidP="00B33CDB">
            <w:r w:rsidRPr="00B33CDB">
              <w:t>Data fields left blank, or incomplete are open to misinterpretation</w:t>
            </w:r>
            <w:r w:rsidR="00B33CDB">
              <w:t>.</w:t>
            </w:r>
          </w:p>
        </w:tc>
        <w:tc>
          <w:tcPr>
            <w:tcW w:w="3148" w:type="pct"/>
            <w:shd w:val="clear" w:color="auto" w:fill="E9E0FF"/>
            <w:hideMark/>
          </w:tcPr>
          <w:p w14:paraId="71B7489B" w14:textId="57115331" w:rsidR="00883520" w:rsidRPr="00B33CDB" w:rsidRDefault="00883520" w:rsidP="00B33CDB">
            <w:r w:rsidRPr="00B33CDB">
              <w:t>Electronic systems may be configured to include system-level interventions such as forcing functions to prevent the omission of important information. If applied, forcing functions should be limited to critical data fields. Clinical judgement should be applied by the discharging clinician to include other relevant information.</w:t>
            </w:r>
          </w:p>
        </w:tc>
      </w:tr>
      <w:tr w:rsidR="00883520" w:rsidRPr="00B33CDB" w14:paraId="21CE41B1" w14:textId="77777777" w:rsidTr="00D15F2D">
        <w:trPr>
          <w:trHeight w:val="20"/>
        </w:trPr>
        <w:tc>
          <w:tcPr>
            <w:tcW w:w="1852" w:type="pct"/>
            <w:shd w:val="clear" w:color="auto" w:fill="FFFFFF" w:themeFill="background1"/>
            <w:hideMark/>
          </w:tcPr>
          <w:p w14:paraId="249C9F50" w14:textId="2A760273" w:rsidR="00883520" w:rsidRPr="00B33CDB" w:rsidRDefault="00883520" w:rsidP="00B33CDB">
            <w:r w:rsidRPr="00B33CDB">
              <w:t xml:space="preserve">Significant errors in </w:t>
            </w:r>
            <w:r w:rsidR="00491AD7">
              <w:t>EDSs</w:t>
            </w:r>
            <w:r w:rsidR="00D83141" w:rsidRPr="00D83141">
              <w:t xml:space="preserve"> </w:t>
            </w:r>
            <w:r w:rsidRPr="00B33CDB">
              <w:t>may result from suboptimal integration with clinical</w:t>
            </w:r>
            <w:r w:rsidR="00692395">
              <w:t> </w:t>
            </w:r>
            <w:r w:rsidRPr="00B33CDB">
              <w:t xml:space="preserve">workflow. </w:t>
            </w:r>
          </w:p>
        </w:tc>
        <w:tc>
          <w:tcPr>
            <w:tcW w:w="3148" w:type="pct"/>
            <w:shd w:val="clear" w:color="auto" w:fill="FFFFFF" w:themeFill="background1"/>
            <w:hideMark/>
          </w:tcPr>
          <w:p w14:paraId="2798890B" w14:textId="10ECC715" w:rsidR="00883520" w:rsidRPr="00B33CDB" w:rsidRDefault="00883520" w:rsidP="00B33CDB">
            <w:r w:rsidRPr="00B33CDB">
              <w:t xml:space="preserve">Clinical workflow should be considered before implementation of an </w:t>
            </w:r>
            <w:r w:rsidR="001F6C97">
              <w:t xml:space="preserve">EDS </w:t>
            </w:r>
            <w:r w:rsidRPr="00B33CDB">
              <w:t xml:space="preserve">and supported by </w:t>
            </w:r>
            <w:r w:rsidR="00491AD7" w:rsidRPr="00491AD7">
              <w:rPr>
                <w:lang w:val="en-GB"/>
              </w:rPr>
              <w:t>customised periodic</w:t>
            </w:r>
            <w:r w:rsidRPr="00B33CDB">
              <w:t xml:space="preserve"> training for</w:t>
            </w:r>
            <w:r w:rsidR="00C314A9">
              <w:t> </w:t>
            </w:r>
            <w:r w:rsidRPr="00B33CDB">
              <w:t>clinicians.</w:t>
            </w:r>
          </w:p>
        </w:tc>
      </w:tr>
      <w:tr w:rsidR="00883520" w:rsidRPr="00B33CDB" w14:paraId="5ED89B43" w14:textId="77777777" w:rsidTr="00D15F2D">
        <w:trPr>
          <w:cnfStyle w:val="000000010000" w:firstRow="0" w:lastRow="0" w:firstColumn="0" w:lastColumn="0" w:oddVBand="0" w:evenVBand="0" w:oddHBand="0" w:evenHBand="1" w:firstRowFirstColumn="0" w:firstRowLastColumn="0" w:lastRowFirstColumn="0" w:lastRowLastColumn="0"/>
          <w:trHeight w:val="20"/>
        </w:trPr>
        <w:tc>
          <w:tcPr>
            <w:tcW w:w="1852" w:type="pct"/>
            <w:shd w:val="clear" w:color="auto" w:fill="E9E0FF"/>
            <w:hideMark/>
          </w:tcPr>
          <w:p w14:paraId="00BADCDA" w14:textId="30C53CD3" w:rsidR="00883520" w:rsidRPr="00B33CDB" w:rsidRDefault="00883520" w:rsidP="00B33CDB">
            <w:r w:rsidRPr="00B33CDB">
              <w:t>The discharge summary is perceived as a time-consuming administrative task by</w:t>
            </w:r>
            <w:r w:rsidR="00B33CDB">
              <w:t> </w:t>
            </w:r>
            <w:r w:rsidRPr="00B33CDB">
              <w:t>clinicians.</w:t>
            </w:r>
          </w:p>
        </w:tc>
        <w:tc>
          <w:tcPr>
            <w:tcW w:w="3148" w:type="pct"/>
            <w:shd w:val="clear" w:color="auto" w:fill="E9E0FF"/>
            <w:hideMark/>
          </w:tcPr>
          <w:p w14:paraId="1BB7377E" w14:textId="34EF320C" w:rsidR="00883520" w:rsidRPr="00B33CDB" w:rsidRDefault="00883520" w:rsidP="00B33CDB">
            <w:r w:rsidRPr="00B33CDB">
              <w:t xml:space="preserve">There are several advantages of </w:t>
            </w:r>
            <w:r w:rsidR="00491AD7">
              <w:t xml:space="preserve">EDSs </w:t>
            </w:r>
            <w:r w:rsidRPr="00B33CDB">
              <w:t>over the paper-based discharge workflow, which could be leveraged and supported by appropriate clinical governance. For example, auto</w:t>
            </w:r>
            <w:r w:rsidR="001F6C97">
              <w:noBreakHyphen/>
            </w:r>
            <w:r w:rsidRPr="00B33CDB">
              <w:t>population of data fields to minimise manual entries. Health services could also consider workflows that support multidisciplinary (nursing,</w:t>
            </w:r>
            <w:r w:rsidR="00D83141">
              <w:t> </w:t>
            </w:r>
            <w:r w:rsidRPr="00B33CDB">
              <w:t>allied health, pharmacy) input into the</w:t>
            </w:r>
            <w:r w:rsidR="001F6C97">
              <w:t> EDS</w:t>
            </w:r>
            <w:r w:rsidRPr="00B33CDB">
              <w:t xml:space="preserve">. </w:t>
            </w:r>
          </w:p>
        </w:tc>
      </w:tr>
    </w:tbl>
    <w:p w14:paraId="36C9516A" w14:textId="41F192CC" w:rsidR="00883520" w:rsidRDefault="00883520" w:rsidP="00883520">
      <w:pPr>
        <w:spacing w:before="0" w:after="0"/>
        <w:rPr>
          <w:rFonts w:ascii="Times New Roman" w:hAnsi="Times New Roman"/>
          <w:sz w:val="24"/>
          <w:szCs w:val="24"/>
        </w:rPr>
      </w:pPr>
      <w:r>
        <w:rPr>
          <w:rFonts w:ascii="Times New Roman" w:hAnsi="Times New Roman"/>
          <w:sz w:val="24"/>
          <w:szCs w:val="24"/>
        </w:rPr>
        <w:fldChar w:fldCharType="end"/>
      </w:r>
      <w:r w:rsidR="00D83141" w:rsidRPr="00D83141">
        <w:rPr>
          <w:noProof/>
        </w:rPr>
        <w:t xml:space="preserve"> </w:t>
      </w:r>
    </w:p>
    <w:p w14:paraId="656BF3E6" w14:textId="77777777" w:rsidR="008B5006" w:rsidRDefault="008B5006" w:rsidP="008B5006">
      <w:r>
        <w:br w:type="page"/>
      </w:r>
    </w:p>
    <w:p w14:paraId="128961B3" w14:textId="13F14BCD" w:rsidR="008B5006" w:rsidRDefault="004F7817" w:rsidP="0017351A">
      <w:pPr>
        <w:pStyle w:val="Heading3"/>
      </w:pPr>
      <w:r w:rsidRPr="004F7817">
        <w:lastRenderedPageBreak/>
        <w:t>Stakeholder perspectives</w:t>
      </w:r>
    </w:p>
    <w:p w14:paraId="4F1836BE" w14:textId="1B151312" w:rsidR="00883520" w:rsidRDefault="008B5006" w:rsidP="008C0FBC">
      <w:pPr>
        <w:spacing w:after="0"/>
        <w:rPr>
          <w:rStyle w:val="Superscript"/>
        </w:rPr>
      </w:pPr>
      <w:r>
        <w:t>The following are i</w:t>
      </w:r>
      <w:r w:rsidR="00883520" w:rsidRPr="00D57F24">
        <w:t>llustrative</w:t>
      </w:r>
      <w:r w:rsidR="00883520" w:rsidRPr="005341E8">
        <w:t xml:space="preserve"> quotes from survey participants obtained during stakeholder consultation highlighting perspectives on implementation of </w:t>
      </w:r>
      <w:r w:rsidR="00931911" w:rsidRPr="00931911">
        <w:t>electronic discharge summaries (EDSs)</w:t>
      </w:r>
      <w:r w:rsidR="00883520" w:rsidRPr="005341E8">
        <w:t>. Findings from the surveys have been considered as part of the development of these</w:t>
      </w:r>
      <w:r w:rsidR="00931911">
        <w:t> </w:t>
      </w:r>
      <w:r w:rsidR="00883520" w:rsidRPr="005341E8">
        <w:t>Guidelines.</w:t>
      </w:r>
      <w:r w:rsidR="00883520" w:rsidRPr="005348C8">
        <w:rPr>
          <w:vertAlign w:val="superscript"/>
        </w:rPr>
        <w:t>3</w:t>
      </w:r>
      <w:r w:rsidR="005F6160">
        <w:rPr>
          <w:rStyle w:val="Superscript"/>
        </w:rPr>
        <w:t xml:space="preserve">  </w:t>
      </w:r>
    </w:p>
    <w:p w14:paraId="52898EF2" w14:textId="77777777" w:rsidR="008C0FBC" w:rsidRDefault="008C0FBC" w:rsidP="008C0FBC">
      <w:pPr>
        <w:spacing w:before="0" w:after="0"/>
        <w:rPr>
          <w:rStyle w:val="Superscript"/>
        </w:rPr>
      </w:pPr>
    </w:p>
    <w:tbl>
      <w:tblPr>
        <w:tblStyle w:val="AquaQuoteMarks"/>
        <w:tblW w:w="5000" w:type="pct"/>
        <w:tblLook w:val="04A0" w:firstRow="1" w:lastRow="0" w:firstColumn="1" w:lastColumn="0" w:noHBand="0" w:noVBand="1"/>
      </w:tblPr>
      <w:tblGrid>
        <w:gridCol w:w="9124"/>
      </w:tblGrid>
      <w:tr w:rsidR="002748D5" w14:paraId="73D2CF2F" w14:textId="77777777" w:rsidTr="002748D5">
        <w:trPr>
          <w:cnfStyle w:val="100000000000" w:firstRow="1" w:lastRow="0" w:firstColumn="0" w:lastColumn="0" w:oddVBand="0" w:evenVBand="0" w:oddHBand="0" w:evenHBand="0" w:firstRowFirstColumn="0" w:firstRowLastColumn="0" w:lastRowFirstColumn="0" w:lastRowLastColumn="0"/>
        </w:trPr>
        <w:tc>
          <w:tcPr>
            <w:tcW w:w="5000" w:type="pct"/>
          </w:tcPr>
          <w:p w14:paraId="63C7674D" w14:textId="0243EFD8" w:rsidR="002748D5" w:rsidRPr="002748D5" w:rsidRDefault="002748D5" w:rsidP="002748D5">
            <w:r w:rsidRPr="002748D5">
              <w:rPr>
                <w:noProof/>
              </w:rPr>
              <w:drawing>
                <wp:inline distT="0" distB="0" distL="0" distR="0" wp14:anchorId="0354DCB5" wp14:editId="69A3B7D0">
                  <wp:extent cx="301625" cy="254000"/>
                  <wp:effectExtent l="0" t="0" r="3175" b="0"/>
                  <wp:docPr id="1258527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57777" name="Picture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301625" cy="254000"/>
                          </a:xfrm>
                          <a:prstGeom prst="rect">
                            <a:avLst/>
                          </a:prstGeom>
                        </pic:spPr>
                      </pic:pic>
                    </a:graphicData>
                  </a:graphic>
                </wp:inline>
              </w:drawing>
            </w:r>
          </w:p>
        </w:tc>
      </w:tr>
      <w:tr w:rsidR="002748D5" w14:paraId="6D988FB6" w14:textId="77777777" w:rsidTr="002748D5">
        <w:tc>
          <w:tcPr>
            <w:tcW w:w="5000" w:type="pct"/>
          </w:tcPr>
          <w:p w14:paraId="75D760C8" w14:textId="77777777" w:rsidR="00C92DE4" w:rsidRPr="006016AC" w:rsidRDefault="00C92DE4" w:rsidP="00C92DE4">
            <w:pPr>
              <w:rPr>
                <w:b/>
                <w:bCs/>
                <w:lang w:val="en-GB"/>
              </w:rPr>
            </w:pPr>
            <w:r w:rsidRPr="006016AC">
              <w:rPr>
                <w:b/>
                <w:bCs/>
                <w:lang w:val="en-GB"/>
              </w:rPr>
              <w:t xml:space="preserve">‘... there is a lack of accountability for incomplete or incorrect medication lists’ </w:t>
            </w:r>
          </w:p>
          <w:p w14:paraId="79633296" w14:textId="62A8C2AE" w:rsidR="002748D5" w:rsidRDefault="00C92DE4" w:rsidP="00C92DE4">
            <w:pPr>
              <w:spacing w:after="0"/>
            </w:pPr>
            <w:r w:rsidRPr="006016AC">
              <w:rPr>
                <w:lang w:val="en-GB"/>
              </w:rPr>
              <w:t>Survey participant – Hospital</w:t>
            </w:r>
          </w:p>
        </w:tc>
      </w:tr>
    </w:tbl>
    <w:p w14:paraId="2170236B" w14:textId="77777777" w:rsidR="002748D5" w:rsidRDefault="002748D5" w:rsidP="00C92DE4">
      <w:pPr>
        <w:spacing w:before="0" w:after="0"/>
      </w:pPr>
    </w:p>
    <w:tbl>
      <w:tblPr>
        <w:tblStyle w:val="AquaQuoteMarks"/>
        <w:tblW w:w="5000" w:type="pct"/>
        <w:tblLook w:val="04A0" w:firstRow="1" w:lastRow="0" w:firstColumn="1" w:lastColumn="0" w:noHBand="0" w:noVBand="1"/>
      </w:tblPr>
      <w:tblGrid>
        <w:gridCol w:w="9124"/>
      </w:tblGrid>
      <w:tr w:rsidR="00C92DE4" w14:paraId="677AB8C9" w14:textId="77777777" w:rsidTr="006F6239">
        <w:trPr>
          <w:cnfStyle w:val="100000000000" w:firstRow="1" w:lastRow="0" w:firstColumn="0" w:lastColumn="0" w:oddVBand="0" w:evenVBand="0" w:oddHBand="0" w:evenHBand="0" w:firstRowFirstColumn="0" w:firstRowLastColumn="0" w:lastRowFirstColumn="0" w:lastRowLastColumn="0"/>
        </w:trPr>
        <w:tc>
          <w:tcPr>
            <w:tcW w:w="5000" w:type="pct"/>
          </w:tcPr>
          <w:p w14:paraId="0FB680E0" w14:textId="77777777" w:rsidR="00C92DE4" w:rsidRPr="002748D5" w:rsidRDefault="00C92DE4" w:rsidP="006F6239">
            <w:r w:rsidRPr="002748D5">
              <w:rPr>
                <w:noProof/>
              </w:rPr>
              <w:drawing>
                <wp:inline distT="0" distB="0" distL="0" distR="0" wp14:anchorId="707316C2" wp14:editId="0A3CF290">
                  <wp:extent cx="301625" cy="254000"/>
                  <wp:effectExtent l="0" t="0" r="3175" b="0"/>
                  <wp:docPr id="11641168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57777" name="Picture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301625" cy="254000"/>
                          </a:xfrm>
                          <a:prstGeom prst="rect">
                            <a:avLst/>
                          </a:prstGeom>
                        </pic:spPr>
                      </pic:pic>
                    </a:graphicData>
                  </a:graphic>
                </wp:inline>
              </w:drawing>
            </w:r>
          </w:p>
        </w:tc>
      </w:tr>
      <w:tr w:rsidR="00C92DE4" w14:paraId="2A0CF337" w14:textId="77777777" w:rsidTr="006F6239">
        <w:tc>
          <w:tcPr>
            <w:tcW w:w="5000" w:type="pct"/>
          </w:tcPr>
          <w:p w14:paraId="6B9D1AC0" w14:textId="77777777" w:rsidR="00C92DE4" w:rsidRPr="006016AC" w:rsidRDefault="00C92DE4" w:rsidP="00C92DE4">
            <w:pPr>
              <w:rPr>
                <w:b/>
                <w:bCs/>
                <w:lang w:val="en-GB"/>
              </w:rPr>
            </w:pPr>
            <w:r w:rsidRPr="006016AC">
              <w:rPr>
                <w:b/>
                <w:bCs/>
                <w:lang w:val="en-GB"/>
              </w:rPr>
              <w:t>‘The role of EMRs +/– AI assistance to build a living document / dynamic discharge summary needs to be explored further’</w:t>
            </w:r>
          </w:p>
          <w:p w14:paraId="7EEB75A3" w14:textId="051826CC" w:rsidR="00C92DE4" w:rsidRDefault="00C92DE4" w:rsidP="00C92DE4">
            <w:pPr>
              <w:spacing w:after="0"/>
            </w:pPr>
            <w:r w:rsidRPr="006016AC">
              <w:rPr>
                <w:lang w:val="en-GB"/>
              </w:rPr>
              <w:t>Survey participant – Hospital</w:t>
            </w:r>
          </w:p>
        </w:tc>
      </w:tr>
    </w:tbl>
    <w:p w14:paraId="479B708D" w14:textId="77777777" w:rsidR="002B5221" w:rsidRDefault="002B5221" w:rsidP="002B5221">
      <w:pPr>
        <w:spacing w:before="0" w:after="0"/>
      </w:pPr>
    </w:p>
    <w:tbl>
      <w:tblPr>
        <w:tblStyle w:val="AquaQuoteMarks"/>
        <w:tblW w:w="5000" w:type="pct"/>
        <w:tblLook w:val="04A0" w:firstRow="1" w:lastRow="0" w:firstColumn="1" w:lastColumn="0" w:noHBand="0" w:noVBand="1"/>
      </w:tblPr>
      <w:tblGrid>
        <w:gridCol w:w="9124"/>
      </w:tblGrid>
      <w:tr w:rsidR="002B5221" w14:paraId="09C0D4E1" w14:textId="77777777" w:rsidTr="006F6239">
        <w:trPr>
          <w:cnfStyle w:val="100000000000" w:firstRow="1" w:lastRow="0" w:firstColumn="0" w:lastColumn="0" w:oddVBand="0" w:evenVBand="0" w:oddHBand="0" w:evenHBand="0" w:firstRowFirstColumn="0" w:firstRowLastColumn="0" w:lastRowFirstColumn="0" w:lastRowLastColumn="0"/>
        </w:trPr>
        <w:tc>
          <w:tcPr>
            <w:tcW w:w="5000" w:type="pct"/>
          </w:tcPr>
          <w:p w14:paraId="31399974" w14:textId="77777777" w:rsidR="002B5221" w:rsidRPr="002748D5" w:rsidRDefault="002B5221" w:rsidP="006F6239">
            <w:r w:rsidRPr="002748D5">
              <w:rPr>
                <w:noProof/>
              </w:rPr>
              <w:drawing>
                <wp:inline distT="0" distB="0" distL="0" distR="0" wp14:anchorId="285FA7CE" wp14:editId="78B55882">
                  <wp:extent cx="301625" cy="254000"/>
                  <wp:effectExtent l="0" t="0" r="3175" b="0"/>
                  <wp:docPr id="14234573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57777" name="Picture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301625" cy="254000"/>
                          </a:xfrm>
                          <a:prstGeom prst="rect">
                            <a:avLst/>
                          </a:prstGeom>
                        </pic:spPr>
                      </pic:pic>
                    </a:graphicData>
                  </a:graphic>
                </wp:inline>
              </w:drawing>
            </w:r>
          </w:p>
        </w:tc>
      </w:tr>
      <w:tr w:rsidR="002B5221" w14:paraId="5896B30C" w14:textId="77777777" w:rsidTr="006F6239">
        <w:tc>
          <w:tcPr>
            <w:tcW w:w="5000" w:type="pct"/>
          </w:tcPr>
          <w:p w14:paraId="72FD0C14" w14:textId="2D191B14" w:rsidR="002B5221" w:rsidRPr="002B5221" w:rsidRDefault="002B5221" w:rsidP="002B5221">
            <w:pPr>
              <w:rPr>
                <w:b/>
                <w:bCs/>
                <w:lang w:val="en-GB"/>
              </w:rPr>
            </w:pPr>
            <w:r w:rsidRPr="002B5221">
              <w:rPr>
                <w:b/>
                <w:bCs/>
                <w:lang w:val="en-GB"/>
              </w:rPr>
              <w:t>‘Remind people not to use abbreviations… It is not always common knowledge</w:t>
            </w:r>
            <w:r>
              <w:rPr>
                <w:b/>
                <w:bCs/>
                <w:lang w:val="en-GB"/>
              </w:rPr>
              <w:t xml:space="preserve"> </w:t>
            </w:r>
            <w:r w:rsidRPr="002B5221">
              <w:rPr>
                <w:b/>
                <w:bCs/>
                <w:lang w:val="en-GB"/>
              </w:rPr>
              <w:t>outside the specialty’</w:t>
            </w:r>
          </w:p>
          <w:p w14:paraId="11147344" w14:textId="512ADF65" w:rsidR="002B5221" w:rsidRPr="002B5221" w:rsidRDefault="002B5221" w:rsidP="002B5221">
            <w:r w:rsidRPr="002B5221">
              <w:rPr>
                <w:lang w:val="en-GB"/>
              </w:rPr>
              <w:t>Survey participant – Primary care</w:t>
            </w:r>
          </w:p>
        </w:tc>
      </w:tr>
    </w:tbl>
    <w:p w14:paraId="2CB6F406" w14:textId="77777777" w:rsidR="002B5221" w:rsidRDefault="002B5221" w:rsidP="00C92DE4">
      <w:pPr>
        <w:spacing w:before="0" w:after="0"/>
      </w:pPr>
    </w:p>
    <w:tbl>
      <w:tblPr>
        <w:tblStyle w:val="AquaQuoteMarks"/>
        <w:tblW w:w="5000" w:type="pct"/>
        <w:tblLook w:val="04A0" w:firstRow="1" w:lastRow="0" w:firstColumn="1" w:lastColumn="0" w:noHBand="0" w:noVBand="1"/>
      </w:tblPr>
      <w:tblGrid>
        <w:gridCol w:w="9124"/>
      </w:tblGrid>
      <w:tr w:rsidR="00C92DE4" w14:paraId="2259B351" w14:textId="77777777" w:rsidTr="006F6239">
        <w:trPr>
          <w:cnfStyle w:val="100000000000" w:firstRow="1" w:lastRow="0" w:firstColumn="0" w:lastColumn="0" w:oddVBand="0" w:evenVBand="0" w:oddHBand="0" w:evenHBand="0" w:firstRowFirstColumn="0" w:firstRowLastColumn="0" w:lastRowFirstColumn="0" w:lastRowLastColumn="0"/>
        </w:trPr>
        <w:tc>
          <w:tcPr>
            <w:tcW w:w="5000" w:type="pct"/>
          </w:tcPr>
          <w:p w14:paraId="5F3228F2" w14:textId="77777777" w:rsidR="00C92DE4" w:rsidRPr="002748D5" w:rsidRDefault="00C92DE4" w:rsidP="006F6239">
            <w:r w:rsidRPr="002748D5">
              <w:rPr>
                <w:noProof/>
              </w:rPr>
              <w:drawing>
                <wp:inline distT="0" distB="0" distL="0" distR="0" wp14:anchorId="5A8F72BF" wp14:editId="4C31E40D">
                  <wp:extent cx="301625" cy="254000"/>
                  <wp:effectExtent l="0" t="0" r="3175" b="0"/>
                  <wp:docPr id="452095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57777" name="Picture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301625" cy="254000"/>
                          </a:xfrm>
                          <a:prstGeom prst="rect">
                            <a:avLst/>
                          </a:prstGeom>
                        </pic:spPr>
                      </pic:pic>
                    </a:graphicData>
                  </a:graphic>
                </wp:inline>
              </w:drawing>
            </w:r>
          </w:p>
        </w:tc>
      </w:tr>
      <w:tr w:rsidR="00C92DE4" w14:paraId="0A73F513" w14:textId="77777777" w:rsidTr="006F6239">
        <w:tc>
          <w:tcPr>
            <w:tcW w:w="5000" w:type="pct"/>
          </w:tcPr>
          <w:p w14:paraId="1D57C136" w14:textId="77777777" w:rsidR="00C92DE4" w:rsidRPr="006016AC" w:rsidRDefault="00C92DE4" w:rsidP="00C92DE4">
            <w:pPr>
              <w:rPr>
                <w:b/>
                <w:bCs/>
                <w:lang w:val="en-GB"/>
              </w:rPr>
            </w:pPr>
            <w:r w:rsidRPr="006016AC">
              <w:rPr>
                <w:b/>
                <w:bCs/>
                <w:lang w:val="en-GB"/>
              </w:rPr>
              <w:t>‘Being able to know where information should be located and what should be included in a discharge summary is beneficial to all health professionals dealing with transition of care’</w:t>
            </w:r>
          </w:p>
          <w:p w14:paraId="655F0C9E" w14:textId="4A9C08E9" w:rsidR="00C92DE4" w:rsidRDefault="00C92DE4" w:rsidP="00C92DE4">
            <w:pPr>
              <w:spacing w:after="0"/>
            </w:pPr>
            <w:r w:rsidRPr="006016AC">
              <w:rPr>
                <w:lang w:val="en-GB"/>
              </w:rPr>
              <w:t>Survey participant – Primary care</w:t>
            </w:r>
          </w:p>
        </w:tc>
      </w:tr>
    </w:tbl>
    <w:p w14:paraId="1D8D8E0E" w14:textId="77777777" w:rsidR="00C92DE4" w:rsidRDefault="00C92DE4" w:rsidP="00C92DE4">
      <w:pPr>
        <w:spacing w:before="0" w:after="0"/>
      </w:pPr>
    </w:p>
    <w:tbl>
      <w:tblPr>
        <w:tblStyle w:val="AquaQuoteMarks"/>
        <w:tblW w:w="5000" w:type="pct"/>
        <w:tblLook w:val="04A0" w:firstRow="1" w:lastRow="0" w:firstColumn="1" w:lastColumn="0" w:noHBand="0" w:noVBand="1"/>
      </w:tblPr>
      <w:tblGrid>
        <w:gridCol w:w="9124"/>
      </w:tblGrid>
      <w:tr w:rsidR="00C92DE4" w14:paraId="650E5435" w14:textId="77777777" w:rsidTr="006F6239">
        <w:trPr>
          <w:cnfStyle w:val="100000000000" w:firstRow="1" w:lastRow="0" w:firstColumn="0" w:lastColumn="0" w:oddVBand="0" w:evenVBand="0" w:oddHBand="0" w:evenHBand="0" w:firstRowFirstColumn="0" w:firstRowLastColumn="0" w:lastRowFirstColumn="0" w:lastRowLastColumn="0"/>
        </w:trPr>
        <w:tc>
          <w:tcPr>
            <w:tcW w:w="5000" w:type="pct"/>
          </w:tcPr>
          <w:p w14:paraId="31069852" w14:textId="77777777" w:rsidR="00C92DE4" w:rsidRPr="002748D5" w:rsidRDefault="00C92DE4" w:rsidP="006F6239">
            <w:r w:rsidRPr="002748D5">
              <w:rPr>
                <w:noProof/>
              </w:rPr>
              <w:drawing>
                <wp:inline distT="0" distB="0" distL="0" distR="0" wp14:anchorId="7C5FF919" wp14:editId="08E41C16">
                  <wp:extent cx="301625" cy="254000"/>
                  <wp:effectExtent l="0" t="0" r="3175" b="0"/>
                  <wp:docPr id="9393499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57777" name="Picture 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301625" cy="254000"/>
                          </a:xfrm>
                          <a:prstGeom prst="rect">
                            <a:avLst/>
                          </a:prstGeom>
                        </pic:spPr>
                      </pic:pic>
                    </a:graphicData>
                  </a:graphic>
                </wp:inline>
              </w:drawing>
            </w:r>
          </w:p>
        </w:tc>
      </w:tr>
      <w:tr w:rsidR="00C92DE4" w14:paraId="523AC9D2" w14:textId="77777777" w:rsidTr="006F6239">
        <w:tc>
          <w:tcPr>
            <w:tcW w:w="5000" w:type="pct"/>
          </w:tcPr>
          <w:p w14:paraId="6B98F63D" w14:textId="77777777" w:rsidR="00C92DE4" w:rsidRPr="006016AC" w:rsidRDefault="00C92DE4" w:rsidP="00C92DE4">
            <w:pPr>
              <w:rPr>
                <w:b/>
                <w:bCs/>
                <w:lang w:val="en-GB"/>
              </w:rPr>
            </w:pPr>
            <w:r w:rsidRPr="006016AC">
              <w:rPr>
                <w:b/>
                <w:bCs/>
                <w:lang w:val="en-GB"/>
              </w:rPr>
              <w:t>‘This [documenting medicines information in the EDS] is onerous if not automated to some extent and supported by pharmacy workforce in addition to medical staff’</w:t>
            </w:r>
          </w:p>
          <w:p w14:paraId="24A4681C" w14:textId="662B7BB1" w:rsidR="00C92DE4" w:rsidRDefault="00C92DE4" w:rsidP="00C92DE4">
            <w:pPr>
              <w:spacing w:after="0"/>
            </w:pPr>
            <w:r w:rsidRPr="006016AC">
              <w:rPr>
                <w:lang w:val="en-GB"/>
              </w:rPr>
              <w:t>Survey participant – Hospital</w:t>
            </w:r>
          </w:p>
        </w:tc>
      </w:tr>
    </w:tbl>
    <w:p w14:paraId="2C82A0D8" w14:textId="6AC42683" w:rsidR="00B04AD9" w:rsidRDefault="00B04AD9" w:rsidP="00B64B07">
      <w:pPr>
        <w:spacing w:before="240" w:after="0"/>
      </w:pPr>
      <w:bookmarkStart w:id="13" w:name="_Toc196287145"/>
    </w:p>
    <w:p w14:paraId="44BA3AED" w14:textId="2FA6C93B" w:rsidR="00883520" w:rsidRPr="003D342C" w:rsidRDefault="00883520" w:rsidP="00DF423A">
      <w:pPr>
        <w:pStyle w:val="Heading2"/>
      </w:pPr>
      <w:bookmarkStart w:id="14" w:name="_Toc209177876"/>
      <w:r w:rsidRPr="003D342C">
        <w:lastRenderedPageBreak/>
        <w:t xml:space="preserve">Changes </w:t>
      </w:r>
      <w:r w:rsidRPr="007A6B68">
        <w:t>made</w:t>
      </w:r>
      <w:r w:rsidRPr="003D342C">
        <w:t xml:space="preserve"> to the Guidelines</w:t>
      </w:r>
      <w:bookmarkEnd w:id="13"/>
      <w:bookmarkEnd w:id="14"/>
    </w:p>
    <w:p w14:paraId="3773819F" w14:textId="77777777" w:rsidR="00883520" w:rsidRDefault="00883520" w:rsidP="00883520">
      <w:pPr>
        <w:rPr>
          <w:lang w:val="en-GB"/>
        </w:rPr>
      </w:pPr>
      <w:r>
        <w:rPr>
          <w:lang w:val="en-GB"/>
        </w:rPr>
        <w:t xml:space="preserve">Based on findings from the literature and stakeholder consultation, the Guidelines include the following updates: </w:t>
      </w:r>
    </w:p>
    <w:p w14:paraId="65407D56" w14:textId="25473506" w:rsidR="00883520" w:rsidRPr="00883520" w:rsidRDefault="00883520" w:rsidP="00883520">
      <w:pPr>
        <w:pStyle w:val="ListNumber"/>
      </w:pPr>
      <w:r w:rsidRPr="00883520">
        <w:t xml:space="preserve">Revised the position of the ‘Recommendations’ section in the overall structure of an </w:t>
      </w:r>
      <w:r w:rsidR="00F240BD">
        <w:t>EDS</w:t>
      </w:r>
      <w:r w:rsidR="005F6160">
        <w:t xml:space="preserve"> </w:t>
      </w:r>
      <w:r w:rsidRPr="00883520">
        <w:t>to reflect the views of stakeholders in both hospital and primary care</w:t>
      </w:r>
      <w:r w:rsidR="00012458">
        <w:t> </w:t>
      </w:r>
      <w:r w:rsidRPr="00883520">
        <w:t xml:space="preserve">settings. </w:t>
      </w:r>
    </w:p>
    <w:p w14:paraId="76153E81" w14:textId="77777777" w:rsidR="00883520" w:rsidRPr="007813B4" w:rsidRDefault="00883520" w:rsidP="00883520">
      <w:pPr>
        <w:pStyle w:val="ListNumber"/>
        <w:rPr>
          <w:lang w:val="en-GB"/>
        </w:rPr>
      </w:pPr>
      <w:r>
        <w:t xml:space="preserve">Alignment with other national </w:t>
      </w:r>
      <w:r w:rsidRPr="007813B4">
        <w:rPr>
          <w:lang w:val="en-GB"/>
        </w:rPr>
        <w:t>initiatives to improve health information exchange such as the Australian Core Data for Interoperability (AUCDI).</w:t>
      </w:r>
      <w:r w:rsidRPr="00AF4F1D">
        <w:rPr>
          <w:rStyle w:val="Superscript"/>
        </w:rPr>
        <w:t>6</w:t>
      </w:r>
      <w:r w:rsidRPr="007813B4">
        <w:rPr>
          <w:lang w:val="en-GB"/>
        </w:rPr>
        <w:t xml:space="preserve"> </w:t>
      </w:r>
    </w:p>
    <w:p w14:paraId="280BDB24" w14:textId="19BB2E04" w:rsidR="00883520" w:rsidRPr="00A9112F" w:rsidRDefault="00883520" w:rsidP="00883520">
      <w:pPr>
        <w:pStyle w:val="ListNumber"/>
      </w:pPr>
      <w:r>
        <w:t xml:space="preserve">Addition of </w:t>
      </w:r>
      <w:r>
        <w:rPr>
          <w:lang w:val="en-GB"/>
        </w:rPr>
        <w:t>general principles and considerations that align with the Commission’s work to enhance safety and quality at transitions of care. This change recognises the variability in digital maturity across Australian health service settings, and provides practical guidance for improving discharge summary quality, which is technology agnostic.</w:t>
      </w:r>
    </w:p>
    <w:p w14:paraId="69E2CCB7" w14:textId="77777777" w:rsidR="00883520" w:rsidRPr="00075C5F" w:rsidRDefault="00883520" w:rsidP="00883520">
      <w:pPr>
        <w:pStyle w:val="ListNumber"/>
      </w:pPr>
      <w:r>
        <w:rPr>
          <w:lang w:val="en-GB"/>
        </w:rPr>
        <w:t xml:space="preserve">Removal of information that duplicates content that exists within technical documents. </w:t>
      </w:r>
    </w:p>
    <w:p w14:paraId="3CD4841D" w14:textId="195B3129" w:rsidR="00883520" w:rsidRPr="00437EAD" w:rsidRDefault="00883520" w:rsidP="00883520">
      <w:pPr>
        <w:pStyle w:val="ListNumber"/>
      </w:pPr>
      <w:r>
        <w:rPr>
          <w:lang w:val="en-GB"/>
        </w:rPr>
        <w:t>Other minor changes to provide clarity based on stakeholder feedback</w:t>
      </w:r>
      <w:r w:rsidR="00012458">
        <w:rPr>
          <w:lang w:val="en-GB"/>
        </w:rPr>
        <w:t>.</w:t>
      </w:r>
    </w:p>
    <w:p w14:paraId="3FDD1B23" w14:textId="5A5D2232" w:rsidR="00883520" w:rsidRPr="006E7FFB" w:rsidRDefault="00883520" w:rsidP="00D57F24">
      <w:pPr>
        <w:pStyle w:val="Caption"/>
      </w:pPr>
      <w:r w:rsidRPr="006E7FFB">
        <w:t xml:space="preserve">Illustrates </w:t>
      </w:r>
      <w:r w:rsidRPr="00FC0F58">
        <w:t>the</w:t>
      </w:r>
      <w:r w:rsidRPr="006E7FFB">
        <w:t xml:space="preserve"> order and position of section headings within the</w:t>
      </w:r>
      <w:r w:rsidR="00F240BD">
        <w:t xml:space="preserve"> </w:t>
      </w:r>
      <w:r w:rsidR="00542889" w:rsidRPr="00542889">
        <w:t>electronic discharge summar</w:t>
      </w:r>
      <w:r w:rsidR="00542889">
        <w:t>y (EDS)</w:t>
      </w:r>
      <w:r w:rsidRPr="006E7FFB">
        <w:t>, based on feedback from stakeholder consultation</w:t>
      </w:r>
    </w:p>
    <w:p w14:paraId="2066D5F3" w14:textId="2133D48E" w:rsidR="00883520" w:rsidRDefault="00B932AC" w:rsidP="00D31979">
      <w:pPr>
        <w:spacing w:before="360"/>
        <w:ind w:hanging="142"/>
      </w:pPr>
      <w:r w:rsidRPr="00B932AC">
        <w:rPr>
          <w:noProof/>
        </w:rPr>
        <w:drawing>
          <wp:inline distT="0" distB="0" distL="0" distR="0" wp14:anchorId="5C6E0475" wp14:editId="3DC418E3">
            <wp:extent cx="6087650" cy="4999990"/>
            <wp:effectExtent l="0" t="0" r="0" b="3810"/>
            <wp:docPr id="756213942" name="Picture 1" descr="Figure 1&#10;Illustrates the order and position of section headings within the electronic discharge summary (EDS), based on feedback from stakeholder consultation&#10;&#10;Electronic discharge summary structure&#10;&#10;Patient details, and Hospital details: &#10;These details are contained within the electronic document header.&#10;&#10;Author: &#10;Details the clinician responsible for preparing the EDS.&#10;&#10;Presentation details, and Problems and diagnoses:&#10;These sections provide the necessary context to the EDS recipient before the recommendations are presented.&#10;&#10;Recommendations:&#10;The ‘Recommendations’ section summarises key issues or findings that require follow-up after discharge.&#10;&#10;Procedures, and Clinical summary:&#10;These sections provide more information on the events and outcomes that occurred during the hospital encounter.&#10;&#10;Allergies:&#10;Allergies and adverse reactions should precede medicines information.&#10;&#10;Medicines on discharge, and Ceased medicines:&#10;Ceased medicines should be separated from the list of medicines to be continued on discharge. This minimises the risk of unintended continuation of a medicine.&#10;&#10;Alerts, Follow-up appointments, and Information provided to the patient:&#10;These sections will contain information related to patient-specific needs, preferences and instructions to support continuity of care.&#10;&#10;Recipients:&#10;A list of recipients of the EDS and contact details.&#10;&#10;Selected investigation results:&#10;Describes relevant investigations and associated resul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13942" name="Picture 1" descr="Figure 1&#10;Illustrates the order and position of section headings within the electronic discharge summary (EDS), based on feedback from stakeholder consultation&#10;&#10;Electronic discharge summary structure&#10;&#10;Patient details, and Hospital details: &#10;These details are contained within the electronic document header.&#10;&#10;Author: &#10;Details the clinician responsible for preparing the EDS.&#10;&#10;Presentation details, and Problems and diagnoses:&#10;These sections provide the necessary context to the EDS recipient before the recommendations are presented.&#10;&#10;Recommendations:&#10;The ‘Recommendations’ section summarises key issues or findings that require follow-up after discharge.&#10;&#10;Procedures, and Clinical summary:&#10;These sections provide more information on the events and outcomes that occurred during the hospital encounter.&#10;&#10;Allergies:&#10;Allergies and adverse reactions should precede medicines information.&#10;&#10;Medicines on discharge, and Ceased medicines:&#10;Ceased medicines should be separated from the list of medicines to be continued on discharge. This minimises the risk of unintended continuation of a medicine.&#10;&#10;Alerts, Follow-up appointments, and Information provided to the patient:&#10;These sections will contain information related to patient-specific needs, preferences and instructions to support continuity of care.&#10;&#10;Recipients:&#10;A list of recipients of the EDS and contact details.&#10;&#10;Selected investigation results:&#10;Describes relevant investigations and associated results.&#10;"/>
                    <pic:cNvPicPr/>
                  </pic:nvPicPr>
                  <pic:blipFill>
                    <a:blip r:embed="rId30">
                      <a:extLst>
                        <a:ext uri="{96DAC541-7B7A-43D3-8B79-37D633B846F1}">
                          <asvg:svgBlip xmlns:asvg="http://schemas.microsoft.com/office/drawing/2016/SVG/main" r:embed="rId31"/>
                        </a:ext>
                      </a:extLst>
                    </a:blip>
                    <a:stretch>
                      <a:fillRect/>
                    </a:stretch>
                  </pic:blipFill>
                  <pic:spPr>
                    <a:xfrm>
                      <a:off x="0" y="0"/>
                      <a:ext cx="6087650" cy="4999990"/>
                    </a:xfrm>
                    <a:prstGeom prst="rect">
                      <a:avLst/>
                    </a:prstGeom>
                  </pic:spPr>
                </pic:pic>
              </a:graphicData>
            </a:graphic>
          </wp:inline>
        </w:drawing>
      </w:r>
      <w:r w:rsidRPr="00B932AC">
        <w:t xml:space="preserve"> </w:t>
      </w:r>
      <w:r w:rsidR="00883520">
        <w:br w:type="page"/>
      </w:r>
    </w:p>
    <w:p w14:paraId="242A82A7" w14:textId="3671CBE8" w:rsidR="00883520" w:rsidRPr="00FC0F58" w:rsidRDefault="00883520" w:rsidP="00883520">
      <w:pPr>
        <w:pStyle w:val="Heading1"/>
      </w:pPr>
      <w:bookmarkStart w:id="15" w:name="_Toc196287146"/>
      <w:bookmarkStart w:id="16" w:name="_Toc209177877"/>
      <w:r w:rsidRPr="00FC0F58">
        <w:lastRenderedPageBreak/>
        <w:t>Principles for safe</w:t>
      </w:r>
      <w:r w:rsidR="00F377B3">
        <w:t xml:space="preserve">, </w:t>
      </w:r>
      <w:r w:rsidRPr="00FC0F58">
        <w:t>high-quality transitions of care</w:t>
      </w:r>
      <w:bookmarkEnd w:id="15"/>
      <w:bookmarkEnd w:id="16"/>
    </w:p>
    <w:p w14:paraId="0DE2FD10" w14:textId="64B7A25D" w:rsidR="00883520" w:rsidRDefault="00883520" w:rsidP="00883520">
      <w:pPr>
        <w:rPr>
          <w:lang w:val="en-GB"/>
        </w:rPr>
      </w:pPr>
      <w:r>
        <w:rPr>
          <w:lang w:val="en-GB"/>
        </w:rPr>
        <w:t xml:space="preserve">Transitions of care encompass all scenarios where a person moves within or between health services and settings. This </w:t>
      </w:r>
      <w:r w:rsidRPr="00B64B07">
        <w:t>includes</w:t>
      </w:r>
      <w:r>
        <w:rPr>
          <w:lang w:val="en-GB"/>
        </w:rPr>
        <w:t xml:space="preserve"> discharge of a patient into the community following an acute hospital admission. </w:t>
      </w:r>
      <w:r w:rsidRPr="00995879">
        <w:t>Poor transitions of care are associated with adverse events such as higher rates of readmission to hospital and medication errors. More than 50% of all medication errors occur when people move from one healthcare setting to another.</w:t>
      </w:r>
      <w:r w:rsidRPr="00013E8F">
        <w:rPr>
          <w:rStyle w:val="Superscript"/>
        </w:rPr>
        <w:t>7</w:t>
      </w:r>
      <w:r>
        <w:t xml:space="preserve"> Effective communication between clinicians and the person receiving health care ensures that continuity of safe and high</w:t>
      </w:r>
      <w:r w:rsidR="00587135">
        <w:noBreakHyphen/>
      </w:r>
      <w:r>
        <w:t xml:space="preserve">quality care is maintained at care transitions and beyond. </w:t>
      </w:r>
    </w:p>
    <w:p w14:paraId="581311B9" w14:textId="1926CA48" w:rsidR="00883520" w:rsidRDefault="00883520" w:rsidP="00883520">
      <w:pPr>
        <w:rPr>
          <w:lang w:val="en-GB"/>
        </w:rPr>
      </w:pPr>
      <w:r>
        <w:rPr>
          <w:lang w:val="en-GB"/>
        </w:rPr>
        <w:t xml:space="preserve">The overarching principles </w:t>
      </w:r>
      <w:r w:rsidR="00F377B3">
        <w:rPr>
          <w:lang w:val="en-GB"/>
        </w:rPr>
        <w:t xml:space="preserve">for </w:t>
      </w:r>
      <w:r>
        <w:rPr>
          <w:lang w:val="en-GB"/>
        </w:rPr>
        <w:t>safe</w:t>
      </w:r>
      <w:r w:rsidR="00F377B3">
        <w:rPr>
          <w:lang w:val="en-GB"/>
        </w:rPr>
        <w:t>, high-quality</w:t>
      </w:r>
      <w:r>
        <w:rPr>
          <w:lang w:val="en-GB"/>
        </w:rPr>
        <w:t xml:space="preserve"> transitions of care (Table 2) should be adopted by all health services accredited to the </w:t>
      </w:r>
      <w:hyperlink r:id="rId32" w:history="1">
        <w:r w:rsidRPr="009A4BC5">
          <w:rPr>
            <w:rStyle w:val="Hyperlink"/>
            <w:lang w:val="en-GB"/>
          </w:rPr>
          <w:t>National Safety and Quality Health Service (NSQHS)</w:t>
        </w:r>
        <w:r>
          <w:rPr>
            <w:rStyle w:val="Hyperlink"/>
            <w:lang w:val="en-GB"/>
          </w:rPr>
          <w:t> S</w:t>
        </w:r>
        <w:r w:rsidRPr="009A4BC5">
          <w:rPr>
            <w:rStyle w:val="Hyperlink"/>
            <w:lang w:val="en-GB"/>
          </w:rPr>
          <w:t>tandards</w:t>
        </w:r>
      </w:hyperlink>
      <w:r>
        <w:rPr>
          <w:lang w:val="en-GB"/>
        </w:rPr>
        <w:t xml:space="preserve">. </w:t>
      </w:r>
    </w:p>
    <w:p w14:paraId="6E9BC7E9" w14:textId="7816608D" w:rsidR="00883520" w:rsidRPr="000E0214" w:rsidRDefault="00883520" w:rsidP="00D57F24">
      <w:pPr>
        <w:pStyle w:val="CaptionTable"/>
      </w:pPr>
      <w:r w:rsidRPr="000E0214">
        <w:t xml:space="preserve">The </w:t>
      </w:r>
      <w:hyperlink r:id="rId33" w:history="1">
        <w:r w:rsidRPr="000E0214">
          <w:rPr>
            <w:rStyle w:val="Hyperlink"/>
          </w:rPr>
          <w:t xml:space="preserve">Principles </w:t>
        </w:r>
        <w:r w:rsidR="00F377B3">
          <w:rPr>
            <w:rStyle w:val="Hyperlink"/>
          </w:rPr>
          <w:t xml:space="preserve">for </w:t>
        </w:r>
        <w:r w:rsidRPr="000E0214">
          <w:rPr>
            <w:rStyle w:val="Hyperlink"/>
          </w:rPr>
          <w:t>safe</w:t>
        </w:r>
        <w:r w:rsidR="00F377B3">
          <w:rPr>
            <w:rStyle w:val="Hyperlink"/>
          </w:rPr>
          <w:t xml:space="preserve">, </w:t>
        </w:r>
        <w:r w:rsidRPr="000E0214">
          <w:rPr>
            <w:rStyle w:val="Hyperlink"/>
          </w:rPr>
          <w:t>high-quality transitions of care</w:t>
        </w:r>
      </w:hyperlink>
      <w:r w:rsidRPr="000E0214">
        <w:t xml:space="preserve"> mapped to their application in discharge</w:t>
      </w:r>
      <w:r w:rsidR="005D3A3B">
        <w:t> </w:t>
      </w:r>
      <w:r w:rsidRPr="000E0214">
        <w:t>summaries</w:t>
      </w:r>
      <w:r w:rsidR="001F3CE2">
        <w:t xml:space="preserve"> </w:t>
      </w:r>
    </w:p>
    <w:tbl>
      <w:tblPr>
        <w:tblStyle w:val="SQHTable"/>
        <w:tblW w:w="5000" w:type="pct"/>
        <w:tblLook w:val="04A0" w:firstRow="1" w:lastRow="0" w:firstColumn="1" w:lastColumn="0" w:noHBand="0" w:noVBand="1"/>
        <w:tblCaption w:val="Table 2. The Principles for safe, high-quality transitions of care mapped to their application in discharge summaries "/>
      </w:tblPr>
      <w:tblGrid>
        <w:gridCol w:w="1559"/>
        <w:gridCol w:w="2127"/>
        <w:gridCol w:w="5498"/>
      </w:tblGrid>
      <w:tr w:rsidR="00695F4C" w:rsidRPr="00A21E64" w14:paraId="617520FE" w14:textId="77777777" w:rsidTr="00D15F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9" w:type="pct"/>
            <w:tcBorders>
              <w:bottom w:val="single" w:sz="4" w:space="0" w:color="F0E8FE" w:themeColor="background2"/>
              <w:right w:val="nil"/>
            </w:tcBorders>
            <w:shd w:val="clear" w:color="auto" w:fill="B81834"/>
          </w:tcPr>
          <w:p w14:paraId="4179CF88" w14:textId="5D76C11E" w:rsidR="00695F4C" w:rsidRPr="00A21E64" w:rsidRDefault="004A1E47" w:rsidP="00E373EE">
            <w:r w:rsidRPr="00A21E64">
              <w:t>Principles</w:t>
            </w:r>
          </w:p>
        </w:tc>
        <w:tc>
          <w:tcPr>
            <w:tcW w:w="1158" w:type="pct"/>
            <w:tcBorders>
              <w:left w:val="nil"/>
              <w:bottom w:val="single" w:sz="4" w:space="0" w:color="F0E8FE" w:themeColor="background2"/>
              <w:right w:val="single" w:sz="12" w:space="0" w:color="FFFFFF" w:themeColor="background1"/>
            </w:tcBorders>
            <w:shd w:val="clear" w:color="auto" w:fill="B81834"/>
          </w:tcPr>
          <w:p w14:paraId="69513073" w14:textId="080907A4" w:rsidR="00695F4C" w:rsidRPr="00A21E64" w:rsidRDefault="00695F4C" w:rsidP="00E373EE">
            <w:pPr>
              <w:cnfStyle w:val="100000000000" w:firstRow="1" w:lastRow="0" w:firstColumn="0" w:lastColumn="0" w:oddVBand="0" w:evenVBand="0" w:oddHBand="0" w:evenHBand="0" w:firstRowFirstColumn="0" w:firstRowLastColumn="0" w:lastRowFirstColumn="0" w:lastRowLastColumn="0"/>
            </w:pPr>
          </w:p>
        </w:tc>
        <w:tc>
          <w:tcPr>
            <w:tcW w:w="2993" w:type="pct"/>
            <w:tcBorders>
              <w:left w:val="single" w:sz="12" w:space="0" w:color="FFFFFF" w:themeColor="background1"/>
              <w:bottom w:val="single" w:sz="4" w:space="0" w:color="F0E8FE" w:themeColor="background2"/>
            </w:tcBorders>
            <w:shd w:val="clear" w:color="auto" w:fill="B81834"/>
          </w:tcPr>
          <w:p w14:paraId="6ABCA0E3" w14:textId="55EAD73B" w:rsidR="00695F4C" w:rsidRPr="00A21E64" w:rsidRDefault="00695F4C" w:rsidP="00E373EE">
            <w:pPr>
              <w:cnfStyle w:val="100000000000" w:firstRow="1" w:lastRow="0" w:firstColumn="0" w:lastColumn="0" w:oddVBand="0" w:evenVBand="0" w:oddHBand="0" w:evenHBand="0" w:firstRowFirstColumn="0" w:firstRowLastColumn="0" w:lastRowFirstColumn="0" w:lastRowLastColumn="0"/>
            </w:pPr>
            <w:r w:rsidRPr="00A21E64">
              <w:t>Application in discharge summaries</w:t>
            </w:r>
          </w:p>
        </w:tc>
      </w:tr>
      <w:tr w:rsidR="00695F4C" w:rsidRPr="00A21E64" w14:paraId="5D723101" w14:textId="77777777" w:rsidTr="00D15F2D">
        <w:trPr>
          <w:trHeight w:val="20"/>
        </w:trPr>
        <w:tc>
          <w:tcPr>
            <w:cnfStyle w:val="001000000000" w:firstRow="0" w:lastRow="0" w:firstColumn="1" w:lastColumn="0" w:oddVBand="0" w:evenVBand="0" w:oddHBand="0" w:evenHBand="0" w:firstRowFirstColumn="0" w:firstRowLastColumn="0" w:lastRowFirstColumn="0" w:lastRowLastColumn="0"/>
            <w:tcW w:w="849" w:type="pct"/>
            <w:tcBorders>
              <w:top w:val="single" w:sz="4" w:space="0" w:color="F0E8FE" w:themeColor="background2"/>
              <w:bottom w:val="single" w:sz="4" w:space="0" w:color="FFF0EF"/>
              <w:right w:val="nil"/>
            </w:tcBorders>
          </w:tcPr>
          <w:p w14:paraId="2E134508" w14:textId="7A30CC1C" w:rsidR="00695F4C" w:rsidRPr="00A21E64" w:rsidRDefault="00AF76D5" w:rsidP="00695F4C">
            <w:pPr>
              <w:jc w:val="center"/>
            </w:pPr>
            <w:r w:rsidRPr="00AF76D5">
              <w:rPr>
                <w:noProof/>
              </w:rPr>
              <w:drawing>
                <wp:inline distT="0" distB="0" distL="0" distR="0" wp14:anchorId="3D135A10" wp14:editId="24DB3670">
                  <wp:extent cx="756000" cy="756000"/>
                  <wp:effectExtent l="0" t="0" r="6350" b="6350"/>
                  <wp:docPr id="1421644528" name="Picture 1" descr="Icon for: Transitions of care are person cen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44528" name="Picture 1" descr="Icon for: Transitions of care are person centred"/>
                          <pic:cNvPicPr/>
                        </pic:nvPicPr>
                        <pic:blipFill>
                          <a:blip r:embed="rId34">
                            <a:extLst>
                              <a:ext uri="{96DAC541-7B7A-43D3-8B79-37D633B846F1}">
                                <asvg:svgBlip xmlns:asvg="http://schemas.microsoft.com/office/drawing/2016/SVG/main" r:embed="rId35"/>
                              </a:ext>
                            </a:extLst>
                          </a:blip>
                          <a:stretch>
                            <a:fillRect/>
                          </a:stretch>
                        </pic:blipFill>
                        <pic:spPr>
                          <a:xfrm>
                            <a:off x="0" y="0"/>
                            <a:ext cx="756000" cy="756000"/>
                          </a:xfrm>
                          <a:prstGeom prst="rect">
                            <a:avLst/>
                          </a:prstGeom>
                        </pic:spPr>
                      </pic:pic>
                    </a:graphicData>
                  </a:graphic>
                </wp:inline>
              </w:drawing>
            </w:r>
          </w:p>
        </w:tc>
        <w:tc>
          <w:tcPr>
            <w:tcW w:w="1158" w:type="pct"/>
            <w:tcBorders>
              <w:left w:val="nil"/>
              <w:bottom w:val="single" w:sz="4" w:space="0" w:color="FFF0EF"/>
              <w:right w:val="single" w:sz="12" w:space="0" w:color="FFFFFF" w:themeColor="background1"/>
            </w:tcBorders>
          </w:tcPr>
          <w:p w14:paraId="657FAC21" w14:textId="791B798E" w:rsidR="00695F4C" w:rsidRPr="004A1E47" w:rsidRDefault="00695F4C" w:rsidP="00E373EE">
            <w:pPr>
              <w:cnfStyle w:val="000000000000" w:firstRow="0" w:lastRow="0" w:firstColumn="0" w:lastColumn="0" w:oddVBand="0" w:evenVBand="0" w:oddHBand="0" w:evenHBand="0" w:firstRowFirstColumn="0" w:firstRowLastColumn="0" w:lastRowFirstColumn="0" w:lastRowLastColumn="0"/>
              <w:rPr>
                <w:b/>
                <w:bCs/>
              </w:rPr>
            </w:pPr>
            <w:r w:rsidRPr="004A1E47">
              <w:rPr>
                <w:b/>
                <w:bCs/>
              </w:rPr>
              <w:t>Transitions of care are person</w:t>
            </w:r>
            <w:r w:rsidRPr="004A1E47">
              <w:rPr>
                <w:b/>
                <w:bCs/>
              </w:rPr>
              <w:noBreakHyphen/>
              <w:t>centred.</w:t>
            </w:r>
          </w:p>
        </w:tc>
        <w:tc>
          <w:tcPr>
            <w:tcW w:w="2993" w:type="pct"/>
            <w:tcBorders>
              <w:left w:val="single" w:sz="12" w:space="0" w:color="FFFFFF" w:themeColor="background1"/>
              <w:bottom w:val="single" w:sz="4" w:space="0" w:color="FFF0EF"/>
            </w:tcBorders>
          </w:tcPr>
          <w:p w14:paraId="6DFB517E" w14:textId="20EC429B" w:rsidR="00695F4C" w:rsidRPr="00A21E64" w:rsidRDefault="00695F4C" w:rsidP="00D853E5">
            <w:pPr>
              <w:cnfStyle w:val="000000000000" w:firstRow="0" w:lastRow="0" w:firstColumn="0" w:lastColumn="0" w:oddVBand="0" w:evenVBand="0" w:oddHBand="0" w:evenHBand="0" w:firstRowFirstColumn="0" w:firstRowLastColumn="0" w:lastRowFirstColumn="0" w:lastRowLastColumn="0"/>
            </w:pPr>
            <w:r w:rsidRPr="00D853E5">
              <w:t>Discharge</w:t>
            </w:r>
            <w:r w:rsidRPr="00A21E64">
              <w:t xml:space="preserve"> summaries should reflect the needs, preferences, and goals of care of the person.</w:t>
            </w:r>
          </w:p>
        </w:tc>
      </w:tr>
      <w:tr w:rsidR="00695F4C" w:rsidRPr="00A21E64" w14:paraId="62AC3364" w14:textId="77777777" w:rsidTr="00D15F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9" w:type="pct"/>
            <w:tcBorders>
              <w:top w:val="single" w:sz="4" w:space="0" w:color="FFF0EF"/>
              <w:bottom w:val="single" w:sz="4" w:space="0" w:color="FFF0EF"/>
              <w:right w:val="nil"/>
            </w:tcBorders>
            <w:shd w:val="clear" w:color="auto" w:fill="FFF0EF"/>
          </w:tcPr>
          <w:p w14:paraId="65CAC951" w14:textId="79483474" w:rsidR="00695F4C" w:rsidRPr="00A21E64" w:rsidRDefault="00AF76D5" w:rsidP="00695F4C">
            <w:pPr>
              <w:jc w:val="center"/>
            </w:pPr>
            <w:r w:rsidRPr="00AF76D5">
              <w:rPr>
                <w:noProof/>
              </w:rPr>
              <w:drawing>
                <wp:inline distT="0" distB="0" distL="0" distR="0" wp14:anchorId="62114DC2" wp14:editId="623E85C5">
                  <wp:extent cx="756000" cy="756000"/>
                  <wp:effectExtent l="0" t="0" r="6350" b="6350"/>
                  <wp:docPr id="587830405" name="Picture 1" descr="Icon for: There is multidisciplinary collaboration to support the transition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30405" name="Picture 1" descr="Icon for: There is multidisciplinary collaboration to support the transition of care"/>
                          <pic:cNvPicPr/>
                        </pic:nvPicPr>
                        <pic:blipFill>
                          <a:blip r:embed="rId36">
                            <a:extLst>
                              <a:ext uri="{96DAC541-7B7A-43D3-8B79-37D633B846F1}">
                                <asvg:svgBlip xmlns:asvg="http://schemas.microsoft.com/office/drawing/2016/SVG/main" r:embed="rId37"/>
                              </a:ext>
                            </a:extLst>
                          </a:blip>
                          <a:stretch>
                            <a:fillRect/>
                          </a:stretch>
                        </pic:blipFill>
                        <pic:spPr>
                          <a:xfrm>
                            <a:off x="0" y="0"/>
                            <a:ext cx="756000" cy="756000"/>
                          </a:xfrm>
                          <a:prstGeom prst="rect">
                            <a:avLst/>
                          </a:prstGeom>
                        </pic:spPr>
                      </pic:pic>
                    </a:graphicData>
                  </a:graphic>
                </wp:inline>
              </w:drawing>
            </w:r>
          </w:p>
        </w:tc>
        <w:tc>
          <w:tcPr>
            <w:tcW w:w="1158" w:type="pct"/>
            <w:tcBorders>
              <w:top w:val="single" w:sz="4" w:space="0" w:color="FFF0EF"/>
              <w:left w:val="nil"/>
              <w:bottom w:val="single" w:sz="4" w:space="0" w:color="FFF0EF"/>
              <w:right w:val="single" w:sz="12" w:space="0" w:color="FFFFFF" w:themeColor="background1"/>
            </w:tcBorders>
            <w:shd w:val="clear" w:color="auto" w:fill="FFF0EF"/>
          </w:tcPr>
          <w:p w14:paraId="00CED24D" w14:textId="344C14E8" w:rsidR="00695F4C" w:rsidRPr="004A1E47" w:rsidRDefault="00695F4C" w:rsidP="00E373EE">
            <w:pPr>
              <w:cnfStyle w:val="000000010000" w:firstRow="0" w:lastRow="0" w:firstColumn="0" w:lastColumn="0" w:oddVBand="0" w:evenVBand="0" w:oddHBand="0" w:evenHBand="1" w:firstRowFirstColumn="0" w:firstRowLastColumn="0" w:lastRowFirstColumn="0" w:lastRowLastColumn="0"/>
              <w:rPr>
                <w:b/>
                <w:bCs/>
              </w:rPr>
            </w:pPr>
            <w:r w:rsidRPr="004A1E47">
              <w:rPr>
                <w:b/>
                <w:bCs/>
              </w:rPr>
              <w:t>There is multidisciplinary collaboration to support the transition of care.</w:t>
            </w:r>
          </w:p>
        </w:tc>
        <w:tc>
          <w:tcPr>
            <w:tcW w:w="2993" w:type="pct"/>
            <w:tcBorders>
              <w:top w:val="single" w:sz="4" w:space="0" w:color="FFF0EF"/>
              <w:left w:val="single" w:sz="12" w:space="0" w:color="FFFFFF" w:themeColor="background1"/>
              <w:bottom w:val="single" w:sz="4" w:space="0" w:color="FFF0EF"/>
            </w:tcBorders>
            <w:shd w:val="clear" w:color="auto" w:fill="FFF0EF"/>
          </w:tcPr>
          <w:p w14:paraId="19668CC5" w14:textId="77777777" w:rsidR="00695F4C" w:rsidRPr="00A21E64" w:rsidRDefault="00695F4C" w:rsidP="00E373EE">
            <w:pPr>
              <w:pStyle w:val="ListBullet"/>
              <w:cnfStyle w:val="000000010000" w:firstRow="0" w:lastRow="0" w:firstColumn="0" w:lastColumn="0" w:oddVBand="0" w:evenVBand="0" w:oddHBand="0" w:evenHBand="1" w:firstRowFirstColumn="0" w:firstRowLastColumn="0" w:lastRowFirstColumn="0" w:lastRowLastColumn="0"/>
            </w:pPr>
            <w:r w:rsidRPr="00A21E64">
              <w:t>The discharge planning process starts from the time of</w:t>
            </w:r>
            <w:r>
              <w:t> </w:t>
            </w:r>
            <w:r w:rsidRPr="00A21E64">
              <w:t>admission.</w:t>
            </w:r>
          </w:p>
          <w:p w14:paraId="0E332F46" w14:textId="77777777" w:rsidR="00695F4C" w:rsidRPr="00A21E64" w:rsidRDefault="00695F4C" w:rsidP="00E373EE">
            <w:pPr>
              <w:pStyle w:val="ListBullet"/>
              <w:cnfStyle w:val="000000010000" w:firstRow="0" w:lastRow="0" w:firstColumn="0" w:lastColumn="0" w:oddVBand="0" w:evenVBand="0" w:oddHBand="0" w:evenHBand="1" w:firstRowFirstColumn="0" w:firstRowLastColumn="0" w:lastRowFirstColumn="0" w:lastRowLastColumn="0"/>
            </w:pPr>
            <w:r w:rsidRPr="00A21E64">
              <w:t>Key members of the person’s care team are identified and engaged early for discharge planning.</w:t>
            </w:r>
          </w:p>
          <w:p w14:paraId="5CA936E7" w14:textId="0A22C428" w:rsidR="00695F4C" w:rsidRPr="00A21E64" w:rsidRDefault="00695F4C" w:rsidP="00E373EE">
            <w:pPr>
              <w:pStyle w:val="ListBullet"/>
              <w:cnfStyle w:val="000000010000" w:firstRow="0" w:lastRow="0" w:firstColumn="0" w:lastColumn="0" w:oddVBand="0" w:evenVBand="0" w:oddHBand="0" w:evenHBand="1" w:firstRowFirstColumn="0" w:firstRowLastColumn="0" w:lastRowFirstColumn="0" w:lastRowLastColumn="0"/>
            </w:pPr>
            <w:r w:rsidRPr="00A21E64">
              <w:t>The person’s general practitioner or other primary healthcare provider are included in discharge planning, particularly for complex</w:t>
            </w:r>
            <w:r>
              <w:t> </w:t>
            </w:r>
            <w:r w:rsidRPr="00A21E64">
              <w:t>cases.</w:t>
            </w:r>
          </w:p>
        </w:tc>
      </w:tr>
      <w:tr w:rsidR="00695F4C" w:rsidRPr="00A21E64" w14:paraId="0F4BC32B" w14:textId="77777777" w:rsidTr="00D15F2D">
        <w:trPr>
          <w:trHeight w:val="20"/>
        </w:trPr>
        <w:tc>
          <w:tcPr>
            <w:cnfStyle w:val="001000000000" w:firstRow="0" w:lastRow="0" w:firstColumn="1" w:lastColumn="0" w:oddVBand="0" w:evenVBand="0" w:oddHBand="0" w:evenHBand="0" w:firstRowFirstColumn="0" w:firstRowLastColumn="0" w:lastRowFirstColumn="0" w:lastRowLastColumn="0"/>
            <w:tcW w:w="849" w:type="pct"/>
            <w:tcBorders>
              <w:top w:val="single" w:sz="4" w:space="0" w:color="FFF0EF"/>
              <w:bottom w:val="single" w:sz="4" w:space="0" w:color="FFF0EF"/>
              <w:right w:val="nil"/>
            </w:tcBorders>
          </w:tcPr>
          <w:p w14:paraId="46271067" w14:textId="75D8AEFA" w:rsidR="00695F4C" w:rsidRPr="00A21E64" w:rsidRDefault="003A4443" w:rsidP="00695F4C">
            <w:pPr>
              <w:jc w:val="center"/>
            </w:pPr>
            <w:r w:rsidRPr="003A4443">
              <w:rPr>
                <w:noProof/>
              </w:rPr>
              <w:drawing>
                <wp:inline distT="0" distB="0" distL="0" distR="0" wp14:anchorId="1565DF41" wp14:editId="736A1361">
                  <wp:extent cx="756000" cy="756000"/>
                  <wp:effectExtent l="0" t="0" r="6350" b="6350"/>
                  <wp:docPr id="1546631854" name="Picture 1" descr="Icon for: There is an enduring, comprehensive, and secure record system to document share and securely access information about the person’s current and ongoing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31854" name="Picture 1" descr="Icon for: There is an enduring, comprehensive, and secure record system to document share and securely access information about the person’s current and ongoing care"/>
                          <pic:cNvPicPr/>
                        </pic:nvPicPr>
                        <pic:blipFill>
                          <a:blip r:embed="rId38">
                            <a:extLst>
                              <a:ext uri="{96DAC541-7B7A-43D3-8B79-37D633B846F1}">
                                <asvg:svgBlip xmlns:asvg="http://schemas.microsoft.com/office/drawing/2016/SVG/main" r:embed="rId39"/>
                              </a:ext>
                            </a:extLst>
                          </a:blip>
                          <a:stretch>
                            <a:fillRect/>
                          </a:stretch>
                        </pic:blipFill>
                        <pic:spPr>
                          <a:xfrm>
                            <a:off x="0" y="0"/>
                            <a:ext cx="756000" cy="756000"/>
                          </a:xfrm>
                          <a:prstGeom prst="rect">
                            <a:avLst/>
                          </a:prstGeom>
                        </pic:spPr>
                      </pic:pic>
                    </a:graphicData>
                  </a:graphic>
                </wp:inline>
              </w:drawing>
            </w:r>
          </w:p>
        </w:tc>
        <w:tc>
          <w:tcPr>
            <w:tcW w:w="1158" w:type="pct"/>
            <w:tcBorders>
              <w:top w:val="single" w:sz="4" w:space="0" w:color="FFF0EF"/>
              <w:left w:val="nil"/>
              <w:bottom w:val="single" w:sz="4" w:space="0" w:color="FFF0EF"/>
              <w:right w:val="single" w:sz="12" w:space="0" w:color="FFFFFF" w:themeColor="background1"/>
            </w:tcBorders>
          </w:tcPr>
          <w:p w14:paraId="033C620B" w14:textId="2F9A1BBE" w:rsidR="00695F4C" w:rsidRPr="004A1E47" w:rsidRDefault="00695F4C" w:rsidP="00E373EE">
            <w:pPr>
              <w:cnfStyle w:val="000000000000" w:firstRow="0" w:lastRow="0" w:firstColumn="0" w:lastColumn="0" w:oddVBand="0" w:evenVBand="0" w:oddHBand="0" w:evenHBand="0" w:firstRowFirstColumn="0" w:firstRowLastColumn="0" w:lastRowFirstColumn="0" w:lastRowLastColumn="0"/>
              <w:rPr>
                <w:b/>
                <w:bCs/>
              </w:rPr>
            </w:pPr>
            <w:r w:rsidRPr="004A1E47">
              <w:rPr>
                <w:b/>
                <w:bCs/>
              </w:rPr>
              <w:t>There is an enduring, comprehensive, and secure record system to document share and securely access information about the person’s current and ongoing care.</w:t>
            </w:r>
          </w:p>
        </w:tc>
        <w:tc>
          <w:tcPr>
            <w:tcW w:w="2993" w:type="pct"/>
            <w:tcBorders>
              <w:top w:val="single" w:sz="4" w:space="0" w:color="FFF0EF"/>
              <w:left w:val="single" w:sz="12" w:space="0" w:color="FFFFFF" w:themeColor="background1"/>
              <w:bottom w:val="single" w:sz="4" w:space="0" w:color="FFF0EF"/>
            </w:tcBorders>
          </w:tcPr>
          <w:p w14:paraId="3E89E3E3" w14:textId="6F8E9F0A" w:rsidR="00695F4C" w:rsidRPr="00A21E64" w:rsidRDefault="00695F4C" w:rsidP="00E373EE">
            <w:pPr>
              <w:pStyle w:val="ListBullet"/>
              <w:cnfStyle w:val="000000000000" w:firstRow="0" w:lastRow="0" w:firstColumn="0" w:lastColumn="0" w:oddVBand="0" w:evenVBand="0" w:oddHBand="0" w:evenHBand="0" w:firstRowFirstColumn="0" w:firstRowLastColumn="0" w:lastRowFirstColumn="0" w:lastRowLastColumn="0"/>
            </w:pPr>
            <w:r w:rsidRPr="00A21E64">
              <w:t xml:space="preserve">A copy of the </w:t>
            </w:r>
            <w:r w:rsidRPr="00F240BD">
              <w:t>electronic discharge summar</w:t>
            </w:r>
            <w:r>
              <w:t>y (</w:t>
            </w:r>
            <w:r w:rsidRPr="00F240BD">
              <w:t>EDS</w:t>
            </w:r>
            <w:r>
              <w:t xml:space="preserve">) </w:t>
            </w:r>
            <w:r w:rsidRPr="00A21E64">
              <w:t>is provided to the person receiving care, at the time of</w:t>
            </w:r>
            <w:r>
              <w:t> </w:t>
            </w:r>
            <w:r w:rsidRPr="00A21E64">
              <w:t xml:space="preserve">discharge. </w:t>
            </w:r>
          </w:p>
          <w:p w14:paraId="4AF85588" w14:textId="77777777" w:rsidR="00695F4C" w:rsidRPr="00A21E64" w:rsidRDefault="00695F4C" w:rsidP="00E373EE">
            <w:pPr>
              <w:pStyle w:val="ListBullet"/>
              <w:cnfStyle w:val="000000000000" w:firstRow="0" w:lastRow="0" w:firstColumn="0" w:lastColumn="0" w:oddVBand="0" w:evenVBand="0" w:oddHBand="0" w:evenHBand="0" w:firstRowFirstColumn="0" w:firstRowLastColumn="0" w:lastRowFirstColumn="0" w:lastRowLastColumn="0"/>
            </w:pPr>
            <w:r w:rsidRPr="00A21E64">
              <w:t>The EDS is transmitted electronically at the time of discharge through a secure messaging service to a person’s nominated primary care provider.</w:t>
            </w:r>
          </w:p>
          <w:p w14:paraId="33F619A0" w14:textId="77777777" w:rsidR="00695F4C" w:rsidRPr="00A21E64" w:rsidRDefault="00695F4C" w:rsidP="00E373EE">
            <w:pPr>
              <w:pStyle w:val="ListBullet"/>
              <w:cnfStyle w:val="000000000000" w:firstRow="0" w:lastRow="0" w:firstColumn="0" w:lastColumn="0" w:oddVBand="0" w:evenVBand="0" w:oddHBand="0" w:evenHBand="0" w:firstRowFirstColumn="0" w:firstRowLastColumn="0" w:lastRowFirstColumn="0" w:lastRowLastColumn="0"/>
            </w:pPr>
            <w:r w:rsidRPr="00A21E64">
              <w:t>The EDS and other relevant clinical information should be uploaded into the My Health Record system.</w:t>
            </w:r>
          </w:p>
          <w:p w14:paraId="0341D317" w14:textId="251A735D" w:rsidR="00695F4C" w:rsidRPr="00A21E64" w:rsidRDefault="00695F4C" w:rsidP="00E373EE">
            <w:pPr>
              <w:pStyle w:val="ListBullet"/>
              <w:cnfStyle w:val="000000000000" w:firstRow="0" w:lastRow="0" w:firstColumn="0" w:lastColumn="0" w:oddVBand="0" w:evenVBand="0" w:oddHBand="0" w:evenHBand="0" w:firstRowFirstColumn="0" w:firstRowLastColumn="0" w:lastRowFirstColumn="0" w:lastRowLastColumn="0"/>
            </w:pPr>
            <w:r w:rsidRPr="00A21E64">
              <w:t xml:space="preserve">The information communicated in </w:t>
            </w:r>
            <w:r w:rsidR="00B64B07">
              <w:t>the EDS i</w:t>
            </w:r>
            <w:r w:rsidRPr="00A21E64">
              <w:t>s</w:t>
            </w:r>
            <w:r>
              <w:t> </w:t>
            </w:r>
            <w:r w:rsidRPr="00A21E64">
              <w:t>complete, accurate, relevant, and provided in a timely</w:t>
            </w:r>
            <w:r>
              <w:t> </w:t>
            </w:r>
            <w:r w:rsidRPr="00A21E64">
              <w:t>manner.</w:t>
            </w:r>
          </w:p>
        </w:tc>
      </w:tr>
      <w:tr w:rsidR="00695F4C" w:rsidRPr="00A21E64" w14:paraId="043BB1E8" w14:textId="77777777" w:rsidTr="00D15F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49" w:type="pct"/>
            <w:tcBorders>
              <w:top w:val="single" w:sz="4" w:space="0" w:color="FFF0EF"/>
              <w:bottom w:val="nil"/>
              <w:right w:val="nil"/>
            </w:tcBorders>
            <w:shd w:val="clear" w:color="auto" w:fill="FFF0EF"/>
          </w:tcPr>
          <w:p w14:paraId="055AEBDF" w14:textId="1F776FB2" w:rsidR="00695F4C" w:rsidRPr="00695F4C" w:rsidRDefault="00AF76D5" w:rsidP="00695F4C">
            <w:pPr>
              <w:jc w:val="center"/>
            </w:pPr>
            <w:r w:rsidRPr="00AF76D5">
              <w:rPr>
                <w:noProof/>
              </w:rPr>
              <w:drawing>
                <wp:inline distT="0" distB="0" distL="0" distR="0" wp14:anchorId="4404B730" wp14:editId="7B8EE1AF">
                  <wp:extent cx="756000" cy="756000"/>
                  <wp:effectExtent l="0" t="0" r="6350" b="6350"/>
                  <wp:docPr id="821437705" name="Picture 1" descr="Icon for: There is ongoing continuity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37705" name="Picture 1" descr="Icon for: There is ongoing continuity of care"/>
                          <pic:cNvPicPr/>
                        </pic:nvPicPr>
                        <pic:blipFill>
                          <a:blip r:embed="rId40">
                            <a:extLst>
                              <a:ext uri="{96DAC541-7B7A-43D3-8B79-37D633B846F1}">
                                <asvg:svgBlip xmlns:asvg="http://schemas.microsoft.com/office/drawing/2016/SVG/main" r:embed="rId41"/>
                              </a:ext>
                            </a:extLst>
                          </a:blip>
                          <a:stretch>
                            <a:fillRect/>
                          </a:stretch>
                        </pic:blipFill>
                        <pic:spPr>
                          <a:xfrm>
                            <a:off x="0" y="0"/>
                            <a:ext cx="756000" cy="756000"/>
                          </a:xfrm>
                          <a:prstGeom prst="rect">
                            <a:avLst/>
                          </a:prstGeom>
                        </pic:spPr>
                      </pic:pic>
                    </a:graphicData>
                  </a:graphic>
                </wp:inline>
              </w:drawing>
            </w:r>
          </w:p>
        </w:tc>
        <w:tc>
          <w:tcPr>
            <w:tcW w:w="1158" w:type="pct"/>
            <w:tcBorders>
              <w:top w:val="single" w:sz="4" w:space="0" w:color="FFF0EF"/>
              <w:left w:val="nil"/>
              <w:bottom w:val="nil"/>
              <w:right w:val="single" w:sz="12" w:space="0" w:color="FFFFFF" w:themeColor="background1"/>
            </w:tcBorders>
            <w:shd w:val="clear" w:color="auto" w:fill="FFF0EF"/>
          </w:tcPr>
          <w:p w14:paraId="688B09BC" w14:textId="63AD2B17" w:rsidR="00695F4C" w:rsidRPr="004A1E47" w:rsidRDefault="00695F4C" w:rsidP="00E373EE">
            <w:pPr>
              <w:cnfStyle w:val="000000010000" w:firstRow="0" w:lastRow="0" w:firstColumn="0" w:lastColumn="0" w:oddVBand="0" w:evenVBand="0" w:oddHBand="0" w:evenHBand="1" w:firstRowFirstColumn="0" w:firstRowLastColumn="0" w:lastRowFirstColumn="0" w:lastRowLastColumn="0"/>
              <w:rPr>
                <w:b/>
                <w:bCs/>
              </w:rPr>
            </w:pPr>
            <w:r w:rsidRPr="004A1E47">
              <w:rPr>
                <w:b/>
                <w:bCs/>
              </w:rPr>
              <w:t>There is ongoing continuity of care.</w:t>
            </w:r>
          </w:p>
        </w:tc>
        <w:tc>
          <w:tcPr>
            <w:tcW w:w="2993" w:type="pct"/>
            <w:tcBorders>
              <w:top w:val="single" w:sz="4" w:space="0" w:color="FFF0EF"/>
              <w:left w:val="single" w:sz="12" w:space="0" w:color="FFFFFF" w:themeColor="background1"/>
              <w:bottom w:val="nil"/>
            </w:tcBorders>
            <w:shd w:val="clear" w:color="auto" w:fill="FFF0EF"/>
          </w:tcPr>
          <w:p w14:paraId="39015C38" w14:textId="31B9DFEE" w:rsidR="00695F4C" w:rsidRPr="00A21E64" w:rsidRDefault="00695F4C" w:rsidP="00D853E5">
            <w:pPr>
              <w:cnfStyle w:val="000000010000" w:firstRow="0" w:lastRow="0" w:firstColumn="0" w:lastColumn="0" w:oddVBand="0" w:evenVBand="0" w:oddHBand="0" w:evenHBand="1" w:firstRowFirstColumn="0" w:firstRowLastColumn="0" w:lastRowFirstColumn="0" w:lastRowLastColumn="0"/>
            </w:pPr>
            <w:r w:rsidRPr="00A21E64">
              <w:t xml:space="preserve">Discharge documentation is communicated in an agreed standardised </w:t>
            </w:r>
            <w:r w:rsidRPr="00D853E5">
              <w:t>format</w:t>
            </w:r>
            <w:r w:rsidRPr="00A21E64">
              <w:t xml:space="preserve"> (</w:t>
            </w:r>
            <w:r>
              <w:t xml:space="preserve">for example, </w:t>
            </w:r>
            <w:r w:rsidRPr="00A21E64">
              <w:t>terminologies and identifiers) and includes all information requirements to enable safe and high</w:t>
            </w:r>
            <w:r>
              <w:noBreakHyphen/>
            </w:r>
            <w:r w:rsidRPr="00A21E64">
              <w:t>quality ongoing</w:t>
            </w:r>
            <w:r>
              <w:t> </w:t>
            </w:r>
            <w:r w:rsidRPr="00A21E64">
              <w:t>care.</w:t>
            </w:r>
          </w:p>
        </w:tc>
      </w:tr>
    </w:tbl>
    <w:p w14:paraId="77B77983" w14:textId="77777777" w:rsidR="00883520" w:rsidRPr="00DF423A" w:rsidRDefault="00883520" w:rsidP="00DF423A">
      <w:pPr>
        <w:pStyle w:val="Heading2"/>
      </w:pPr>
      <w:bookmarkStart w:id="17" w:name="_Toc196287147"/>
      <w:bookmarkStart w:id="18" w:name="_Toc209177878"/>
      <w:r w:rsidRPr="00DF423A">
        <w:lastRenderedPageBreak/>
        <w:t>Guidance for health service organisations</w:t>
      </w:r>
      <w:bookmarkEnd w:id="17"/>
      <w:bookmarkEnd w:id="18"/>
    </w:p>
    <w:tbl>
      <w:tblPr>
        <w:tblStyle w:val="SQHTable"/>
        <w:tblW w:w="5000" w:type="pct"/>
        <w:tblBorders>
          <w:top w:val="none" w:sz="0" w:space="0" w:color="auto"/>
          <w:bottom w:val="single" w:sz="4" w:space="0" w:color="FFD4D6" w:themeColor="accent5" w:themeTint="66"/>
          <w:insideH w:val="single" w:sz="4" w:space="0" w:color="FFF1EF"/>
          <w:insideV w:val="single" w:sz="12" w:space="0" w:color="FFFFFF" w:themeColor="background1"/>
        </w:tblBorders>
        <w:tblLook w:val="04A0" w:firstRow="1" w:lastRow="0" w:firstColumn="1" w:lastColumn="0" w:noHBand="0" w:noVBand="1"/>
        <w:tblCaption w:val="Guidance for health service organisations"/>
      </w:tblPr>
      <w:tblGrid>
        <w:gridCol w:w="4326"/>
        <w:gridCol w:w="4858"/>
      </w:tblGrid>
      <w:tr w:rsidR="00883520" w:rsidRPr="00107504" w14:paraId="57677DD5" w14:textId="77777777" w:rsidTr="00D15F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81834"/>
          </w:tcPr>
          <w:p w14:paraId="54BD8B67" w14:textId="77777777" w:rsidR="00883520" w:rsidRPr="00107504" w:rsidRDefault="00883520" w:rsidP="00E373EE">
            <w:r w:rsidRPr="00107504">
              <w:t xml:space="preserve">Considerations </w:t>
            </w:r>
          </w:p>
        </w:tc>
        <w:tc>
          <w:tcPr>
            <w:tcW w:w="2645"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81834"/>
          </w:tcPr>
          <w:p w14:paraId="0699DAB1" w14:textId="77777777" w:rsidR="00883520" w:rsidRPr="00107504" w:rsidRDefault="00883520" w:rsidP="00E373EE">
            <w:pPr>
              <w:cnfStyle w:val="100000000000" w:firstRow="1" w:lastRow="0" w:firstColumn="0" w:lastColumn="0" w:oddVBand="0" w:evenVBand="0" w:oddHBand="0" w:evenHBand="0" w:firstRowFirstColumn="0" w:firstRowLastColumn="0" w:lastRowFirstColumn="0" w:lastRowLastColumn="0"/>
            </w:pPr>
            <w:r w:rsidRPr="00107504">
              <w:t>Rationale</w:t>
            </w:r>
          </w:p>
        </w:tc>
      </w:tr>
      <w:tr w:rsidR="00883520" w:rsidRPr="00107504" w14:paraId="1B424F5B" w14:textId="77777777" w:rsidTr="00D15F2D">
        <w:trPr>
          <w:trHeight w:val="783"/>
        </w:trPr>
        <w:tc>
          <w:tcPr>
            <w:cnfStyle w:val="001000000000" w:firstRow="0" w:lastRow="0" w:firstColumn="1" w:lastColumn="0" w:oddVBand="0" w:evenVBand="0" w:oddHBand="0" w:evenHBand="0" w:firstRowFirstColumn="0" w:firstRowLastColumn="0" w:lastRowFirstColumn="0" w:lastRowLastColumn="0"/>
            <w:tcW w:w="2355" w:type="pct"/>
          </w:tcPr>
          <w:p w14:paraId="385343CC" w14:textId="2B97EE1D" w:rsidR="00883520" w:rsidRPr="00107504" w:rsidRDefault="00883520" w:rsidP="00E373EE">
            <w:r w:rsidRPr="00107504">
              <w:t xml:space="preserve">Health services implementing an EDS should refer to the latest release of nationally agreed technical and informatics standards for </w:t>
            </w:r>
            <w:r w:rsidR="00BC08AA">
              <w:t>EDSs</w:t>
            </w:r>
            <w:r w:rsidRPr="00107504">
              <w:t xml:space="preserve">. </w:t>
            </w:r>
          </w:p>
        </w:tc>
        <w:tc>
          <w:tcPr>
            <w:tcW w:w="2645" w:type="pct"/>
          </w:tcPr>
          <w:p w14:paraId="6D5CC6C4" w14:textId="7444E25D" w:rsidR="00883520" w:rsidRPr="00107504" w:rsidRDefault="00BC08AA" w:rsidP="00E373EE">
            <w:pPr>
              <w:cnfStyle w:val="000000000000" w:firstRow="0" w:lastRow="0" w:firstColumn="0" w:lastColumn="0" w:oddVBand="0" w:evenVBand="0" w:oddHBand="0" w:evenHBand="0" w:firstRowFirstColumn="0" w:firstRowLastColumn="0" w:lastRowFirstColumn="0" w:lastRowLastColumn="0"/>
            </w:pPr>
            <w:r>
              <w:t>EDSs</w:t>
            </w:r>
            <w:r w:rsidR="002E5A83">
              <w:t xml:space="preserve"> </w:t>
            </w:r>
            <w:r w:rsidR="00883520" w:rsidRPr="00107504">
              <w:t xml:space="preserve">that do not comply with technical standards may not be uploaded to the My Health Record. </w:t>
            </w:r>
          </w:p>
        </w:tc>
      </w:tr>
      <w:tr w:rsidR="00883520" w:rsidRPr="00107504" w14:paraId="1BB08DCC" w14:textId="77777777" w:rsidTr="00D15F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5" w:type="pct"/>
            <w:shd w:val="clear" w:color="auto" w:fill="FFF1EF"/>
          </w:tcPr>
          <w:p w14:paraId="59EB1D2A" w14:textId="31DB238B" w:rsidR="00883520" w:rsidRPr="00107504" w:rsidRDefault="00883520" w:rsidP="00E373EE">
            <w:r w:rsidRPr="00107504">
              <w:t>Consider the use of auto-population or forcing functions for input of data in the EDS, ensuring clinicians are aware of data</w:t>
            </w:r>
            <w:r w:rsidR="00330501">
              <w:t> </w:t>
            </w:r>
            <w:r w:rsidRPr="00107504">
              <w:t>provenance.</w:t>
            </w:r>
          </w:p>
        </w:tc>
        <w:tc>
          <w:tcPr>
            <w:tcW w:w="2645" w:type="pct"/>
            <w:shd w:val="clear" w:color="auto" w:fill="FFF1EF"/>
          </w:tcPr>
          <w:p w14:paraId="2BCABC8F" w14:textId="35624C4C" w:rsidR="00883520" w:rsidRPr="00107504" w:rsidRDefault="00883520" w:rsidP="00E373EE">
            <w:pPr>
              <w:cnfStyle w:val="000000010000" w:firstRow="0" w:lastRow="0" w:firstColumn="0" w:lastColumn="0" w:oddVBand="0" w:evenVBand="0" w:oddHBand="0" w:evenHBand="1" w:firstRowFirstColumn="0" w:firstRowLastColumn="0" w:lastRowFirstColumn="0" w:lastRowLastColumn="0"/>
            </w:pPr>
            <w:r w:rsidRPr="00107504">
              <w:t>System-level configuration following a risk assessment should enable functionality that improves data quality and to reduces the administrative burden on clinicians authoring an</w:t>
            </w:r>
            <w:r w:rsidR="00627D5B">
              <w:t> </w:t>
            </w:r>
            <w:r w:rsidRPr="00107504">
              <w:t>EDS.</w:t>
            </w:r>
          </w:p>
        </w:tc>
      </w:tr>
      <w:tr w:rsidR="00883520" w:rsidRPr="00107504" w14:paraId="13BADE54" w14:textId="77777777" w:rsidTr="00D15F2D">
        <w:trPr>
          <w:trHeight w:val="20"/>
        </w:trPr>
        <w:tc>
          <w:tcPr>
            <w:cnfStyle w:val="001000000000" w:firstRow="0" w:lastRow="0" w:firstColumn="1" w:lastColumn="0" w:oddVBand="0" w:evenVBand="0" w:oddHBand="0" w:evenHBand="0" w:firstRowFirstColumn="0" w:firstRowLastColumn="0" w:lastRowFirstColumn="0" w:lastRowLastColumn="0"/>
            <w:tcW w:w="2355" w:type="pct"/>
          </w:tcPr>
          <w:p w14:paraId="5F3C8866" w14:textId="77777777" w:rsidR="00883520" w:rsidRPr="00107504" w:rsidRDefault="00883520" w:rsidP="00E373EE">
            <w:r w:rsidRPr="00107504">
              <w:t>Coded data should be used wherever possible and should be consistent with nationally agreed standards to support interoperability.</w:t>
            </w:r>
          </w:p>
        </w:tc>
        <w:tc>
          <w:tcPr>
            <w:tcW w:w="2645" w:type="pct"/>
          </w:tcPr>
          <w:p w14:paraId="3049A139" w14:textId="77777777" w:rsidR="00883520" w:rsidRPr="00107504" w:rsidRDefault="00883520" w:rsidP="00E373EE">
            <w:pPr>
              <w:cnfStyle w:val="000000000000" w:firstRow="0" w:lastRow="0" w:firstColumn="0" w:lastColumn="0" w:oddVBand="0" w:evenVBand="0" w:oddHBand="0" w:evenHBand="0" w:firstRowFirstColumn="0" w:firstRowLastColumn="0" w:lastRowFirstColumn="0" w:lastRowLastColumn="0"/>
            </w:pPr>
            <w:r w:rsidRPr="00107504">
              <w:t xml:space="preserve">Wherever data components are codable, this should be enabled. The use of coded data is critical for data quality and interoperability. A </w:t>
            </w:r>
            <w:hyperlink r:id="rId42" w:history="1">
              <w:r w:rsidRPr="00107504">
                <w:rPr>
                  <w:rStyle w:val="Hyperlink"/>
                </w:rPr>
                <w:t>digital health standards catalogue</w:t>
              </w:r>
            </w:hyperlink>
            <w:r w:rsidRPr="00107504">
              <w:t xml:space="preserve"> has been published by the Australian Digital Health Agency to consolidate all the relevant national and international standards for digital health in</w:t>
            </w:r>
            <w:r>
              <w:t> </w:t>
            </w:r>
            <w:r w:rsidRPr="00107504">
              <w:t>Australia.</w:t>
            </w:r>
          </w:p>
        </w:tc>
      </w:tr>
      <w:tr w:rsidR="00883520" w:rsidRPr="00107504" w14:paraId="219B8A9F" w14:textId="77777777" w:rsidTr="00D15F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5" w:type="pct"/>
            <w:shd w:val="clear" w:color="auto" w:fill="FFF1EF"/>
          </w:tcPr>
          <w:p w14:paraId="02EFEF19" w14:textId="187CCCE8" w:rsidR="00883520" w:rsidRPr="00107504" w:rsidRDefault="00883520" w:rsidP="00E373EE">
            <w:r w:rsidRPr="00107504">
              <w:t>A high-level summary of recommendations should be provided to support continuity of care. These recommendations should be in a prominent position towards the top of an</w:t>
            </w:r>
            <w:r w:rsidR="006B4332">
              <w:t> </w:t>
            </w:r>
            <w:r w:rsidRPr="00107504">
              <w:t>EDS.</w:t>
            </w:r>
          </w:p>
        </w:tc>
        <w:tc>
          <w:tcPr>
            <w:tcW w:w="2645" w:type="pct"/>
            <w:shd w:val="clear" w:color="auto" w:fill="FFF1EF"/>
          </w:tcPr>
          <w:p w14:paraId="49B4367F" w14:textId="02EE1AC6" w:rsidR="00883520" w:rsidRPr="00107504" w:rsidRDefault="00883520" w:rsidP="00E373EE">
            <w:pPr>
              <w:cnfStyle w:val="000000010000" w:firstRow="0" w:lastRow="0" w:firstColumn="0" w:lastColumn="0" w:oddVBand="0" w:evenVBand="0" w:oddHBand="0" w:evenHBand="1" w:firstRowFirstColumn="0" w:firstRowLastColumn="0" w:lastRowFirstColumn="0" w:lastRowLastColumn="0"/>
            </w:pPr>
            <w:r w:rsidRPr="00107504">
              <w:t>Feedback from stakeholder consultation indicated that there is a strong preference for the ‘Recommendations’</w:t>
            </w:r>
            <w:r w:rsidR="004151DE">
              <w:t xml:space="preserve"> </w:t>
            </w:r>
            <w:r w:rsidR="00575510" w:rsidRPr="001C3229">
              <w:t>section</w:t>
            </w:r>
            <w:r w:rsidR="00575510">
              <w:t xml:space="preserve"> </w:t>
            </w:r>
            <w:r w:rsidRPr="00107504">
              <w:t>to be presented in a prominent position towards the top to the EDS. This would ensure that important recommendations or follow-up actions are highlighted and quickly accessible to the EDS</w:t>
            </w:r>
            <w:r w:rsidR="00575510">
              <w:t> </w:t>
            </w:r>
            <w:r w:rsidRPr="00107504">
              <w:t xml:space="preserve">recipient. </w:t>
            </w:r>
          </w:p>
        </w:tc>
      </w:tr>
      <w:tr w:rsidR="00883520" w:rsidRPr="00107504" w14:paraId="400584B6" w14:textId="77777777" w:rsidTr="00D15F2D">
        <w:trPr>
          <w:trHeight w:val="20"/>
        </w:trPr>
        <w:tc>
          <w:tcPr>
            <w:cnfStyle w:val="001000000000" w:firstRow="0" w:lastRow="0" w:firstColumn="1" w:lastColumn="0" w:oddVBand="0" w:evenVBand="0" w:oddHBand="0" w:evenHBand="0" w:firstRowFirstColumn="0" w:firstRowLastColumn="0" w:lastRowFirstColumn="0" w:lastRowLastColumn="0"/>
            <w:tcW w:w="2355" w:type="pct"/>
          </w:tcPr>
          <w:p w14:paraId="6721B021" w14:textId="77777777" w:rsidR="00883520" w:rsidRPr="00107504" w:rsidRDefault="00883520" w:rsidP="00E373EE">
            <w:r w:rsidRPr="00107504">
              <w:t>Health service organisations should have processes in place to ensure contact details for a patient’s nominated primary healthcare provider are updated in the patient administration system before discharge from the hospital.</w:t>
            </w:r>
          </w:p>
        </w:tc>
        <w:tc>
          <w:tcPr>
            <w:tcW w:w="2645" w:type="pct"/>
          </w:tcPr>
          <w:p w14:paraId="126ECEF0" w14:textId="77777777" w:rsidR="00883520" w:rsidRPr="00107504" w:rsidRDefault="00883520" w:rsidP="00E373EE">
            <w:pPr>
              <w:cnfStyle w:val="000000000000" w:firstRow="0" w:lastRow="0" w:firstColumn="0" w:lastColumn="0" w:oddVBand="0" w:evenVBand="0" w:oddHBand="0" w:evenHBand="0" w:firstRowFirstColumn="0" w:firstRowLastColumn="0" w:lastRowFirstColumn="0" w:lastRowLastColumn="0"/>
            </w:pPr>
            <w:r w:rsidRPr="00107504">
              <w:t>Contact details of the patient’s nominated primary healthcare provider are usually documented by clerical staff on admission and should be confirmed again by the discharging clinician.</w:t>
            </w:r>
          </w:p>
        </w:tc>
      </w:tr>
      <w:tr w:rsidR="00883520" w:rsidRPr="00107504" w14:paraId="190479DF" w14:textId="77777777" w:rsidTr="00D15F2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5" w:type="pct"/>
            <w:shd w:val="clear" w:color="auto" w:fill="FFF1EF"/>
          </w:tcPr>
          <w:p w14:paraId="2EC10473" w14:textId="22319602" w:rsidR="00883520" w:rsidRPr="00107504" w:rsidRDefault="00883520" w:rsidP="00E373EE">
            <w:r w:rsidRPr="00107504">
              <w:t>Health services should have policies and procedures in place to support high</w:t>
            </w:r>
            <w:r w:rsidR="00DF423A">
              <w:noBreakHyphen/>
            </w:r>
            <w:r w:rsidRPr="00107504">
              <w:t>quality and timely discharge planning and</w:t>
            </w:r>
            <w:r w:rsidR="006B4332">
              <w:t> </w:t>
            </w:r>
            <w:r w:rsidRPr="00107504">
              <w:t xml:space="preserve">communication. </w:t>
            </w:r>
          </w:p>
        </w:tc>
        <w:tc>
          <w:tcPr>
            <w:tcW w:w="2645" w:type="pct"/>
            <w:shd w:val="clear" w:color="auto" w:fill="FFF1EF"/>
          </w:tcPr>
          <w:p w14:paraId="3DD46A72" w14:textId="10844525" w:rsidR="00883520" w:rsidRPr="00107504" w:rsidRDefault="001C3229" w:rsidP="00E373EE">
            <w:pPr>
              <w:cnfStyle w:val="000000010000" w:firstRow="0" w:lastRow="0" w:firstColumn="0" w:lastColumn="0" w:oddVBand="0" w:evenVBand="0" w:oddHBand="0" w:evenHBand="1" w:firstRowFirstColumn="0" w:firstRowLastColumn="0" w:lastRowFirstColumn="0" w:lastRowLastColumn="0"/>
            </w:pPr>
            <w:r w:rsidRPr="00107504">
              <w:t>Safer transitions of care following discharge from hospital are enabled by effective and timely communication. This is achieved through a well</w:t>
            </w:r>
            <w:r>
              <w:noBreakHyphen/>
            </w:r>
            <w:r w:rsidRPr="00107504">
              <w:t>planned and executed discharge process and a high</w:t>
            </w:r>
            <w:r>
              <w:noBreakHyphen/>
            </w:r>
            <w:r w:rsidRPr="00107504">
              <w:t xml:space="preserve">quality discharge summary. Importantly, the </w:t>
            </w:r>
            <w:r w:rsidRPr="00461DC7">
              <w:rPr>
                <w:lang w:val="en-GB"/>
              </w:rPr>
              <w:t>EDS</w:t>
            </w:r>
            <w:r w:rsidRPr="00107504">
              <w:t xml:space="preserve"> should be finalised and shared with the nominated primary healthcare provider, the patient or carer, and shared to the My Health Record, at the time of discharge.</w:t>
            </w:r>
          </w:p>
        </w:tc>
      </w:tr>
      <w:tr w:rsidR="00883520" w:rsidRPr="00107504" w14:paraId="2B994130" w14:textId="77777777" w:rsidTr="00D15F2D">
        <w:trPr>
          <w:trHeight w:val="20"/>
        </w:trPr>
        <w:tc>
          <w:tcPr>
            <w:cnfStyle w:val="001000000000" w:firstRow="0" w:lastRow="0" w:firstColumn="1" w:lastColumn="0" w:oddVBand="0" w:evenVBand="0" w:oddHBand="0" w:evenHBand="0" w:firstRowFirstColumn="0" w:firstRowLastColumn="0" w:lastRowFirstColumn="0" w:lastRowLastColumn="0"/>
            <w:tcW w:w="2355" w:type="pct"/>
          </w:tcPr>
          <w:p w14:paraId="5BC42D69" w14:textId="3D5D6173" w:rsidR="00883520" w:rsidRPr="00107504" w:rsidRDefault="00883520" w:rsidP="00E373EE">
            <w:r w:rsidRPr="00107504">
              <w:t>Health services should establish a mechanism for EDS recipients in primary care to provide feedback that informs local quality improvement activities. For</w:t>
            </w:r>
            <w:r w:rsidR="00D6258D">
              <w:t> </w:t>
            </w:r>
            <w:r w:rsidRPr="00107504">
              <w:t>example, a hyperlink or QR code within the discharge</w:t>
            </w:r>
            <w:r w:rsidR="00330501">
              <w:t> </w:t>
            </w:r>
            <w:r w:rsidRPr="00107504">
              <w:t>summary.</w:t>
            </w:r>
          </w:p>
        </w:tc>
        <w:tc>
          <w:tcPr>
            <w:tcW w:w="2645" w:type="pct"/>
          </w:tcPr>
          <w:p w14:paraId="100F0757" w14:textId="4E7B45DA" w:rsidR="00883520" w:rsidRPr="00107504" w:rsidRDefault="00883520" w:rsidP="00E373EE">
            <w:pPr>
              <w:cnfStyle w:val="000000000000" w:firstRow="0" w:lastRow="0" w:firstColumn="0" w:lastColumn="0" w:oddVBand="0" w:evenVBand="0" w:oddHBand="0" w:evenHBand="0" w:firstRowFirstColumn="0" w:firstRowLastColumn="0" w:lastRowFirstColumn="0" w:lastRowLastColumn="0"/>
            </w:pPr>
            <w:r w:rsidRPr="00107504">
              <w:t xml:space="preserve">Poor collaboration with recipients in primary care is a significant barrier to producing high-quality discharge summaries. Stakeholder feedback highlighted the importance of engagement with the primary care sector to implement </w:t>
            </w:r>
            <w:r w:rsidR="00BC08AA">
              <w:t xml:space="preserve">EDSs </w:t>
            </w:r>
            <w:r w:rsidRPr="00107504">
              <w:t>that are fit</w:t>
            </w:r>
            <w:r w:rsidR="00627D5B">
              <w:noBreakHyphen/>
            </w:r>
            <w:r w:rsidRPr="00107504">
              <w:t>for-purpose and responsive to evolving</w:t>
            </w:r>
            <w:r w:rsidR="00330501">
              <w:t> </w:t>
            </w:r>
            <w:r w:rsidRPr="00107504">
              <w:t>needs.</w:t>
            </w:r>
          </w:p>
        </w:tc>
      </w:tr>
    </w:tbl>
    <w:p w14:paraId="265E395C" w14:textId="77777777" w:rsidR="00883520" w:rsidRDefault="00883520" w:rsidP="00DF423A">
      <w:pPr>
        <w:pStyle w:val="Heading2"/>
      </w:pPr>
      <w:bookmarkStart w:id="19" w:name="_Toc196287148"/>
      <w:bookmarkStart w:id="20" w:name="_Toc209177879"/>
      <w:r>
        <w:lastRenderedPageBreak/>
        <w:t>Guidance f</w:t>
      </w:r>
      <w:r w:rsidRPr="00A35FD1">
        <w:t xml:space="preserve">or </w:t>
      </w:r>
      <w:r>
        <w:t>c</w:t>
      </w:r>
      <w:r w:rsidRPr="00A35FD1">
        <w:t>linicians</w:t>
      </w:r>
      <w:bookmarkEnd w:id="19"/>
      <w:bookmarkEnd w:id="20"/>
      <w:r w:rsidRPr="00A35FD1">
        <w:t xml:space="preserve"> </w:t>
      </w:r>
    </w:p>
    <w:p w14:paraId="07CB34E6" w14:textId="69ADF118" w:rsidR="00883520" w:rsidRPr="00854D95" w:rsidRDefault="00883520" w:rsidP="00883520">
      <w:pPr>
        <w:spacing w:after="240"/>
      </w:pPr>
      <w:r>
        <w:t xml:space="preserve">The considerations outlined below refer to </w:t>
      </w:r>
      <w:r w:rsidR="001C3229" w:rsidRPr="001C3229">
        <w:t>sections</w:t>
      </w:r>
      <w:r w:rsidR="000C740C">
        <w:t xml:space="preserve"> </w:t>
      </w:r>
      <w:r>
        <w:t>of the EDS</w:t>
      </w:r>
      <w:r w:rsidR="00BF3C7B">
        <w:t xml:space="preserve"> </w:t>
      </w:r>
      <w:r>
        <w:t>that are uncoded free text as these represent the greatest variability in structure and quality. Free text data fields give the EDS author flexibility and control over data input. This means EDS authors also have a responsibility to ensure that free text content is of high quality and utility.</w:t>
      </w:r>
    </w:p>
    <w:tbl>
      <w:tblPr>
        <w:tblStyle w:val="SQHTable"/>
        <w:tblW w:w="5000" w:type="pct"/>
        <w:tblBorders>
          <w:top w:val="none" w:sz="0" w:space="0" w:color="auto"/>
          <w:bottom w:val="single" w:sz="4" w:space="0" w:color="FFD4D6" w:themeColor="accent5" w:themeTint="66"/>
          <w:insideH w:val="single" w:sz="4" w:space="0" w:color="FFF1EF"/>
          <w:insideV w:val="single" w:sz="12" w:space="0" w:color="FFFFFF" w:themeColor="background1"/>
        </w:tblBorders>
        <w:tblLook w:val="04A0" w:firstRow="1" w:lastRow="0" w:firstColumn="1" w:lastColumn="0" w:noHBand="0" w:noVBand="1"/>
        <w:tblCaption w:val="Guidance for clinicians "/>
      </w:tblPr>
      <w:tblGrid>
        <w:gridCol w:w="3828"/>
        <w:gridCol w:w="5356"/>
      </w:tblGrid>
      <w:tr w:rsidR="00883520" w:rsidRPr="00966DB6" w14:paraId="289F6D34" w14:textId="77777777" w:rsidTr="00D15F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81834"/>
          </w:tcPr>
          <w:p w14:paraId="19B9110E" w14:textId="77777777" w:rsidR="00883520" w:rsidRPr="00966DB6" w:rsidRDefault="00883520" w:rsidP="00E373EE">
            <w:r w:rsidRPr="00966DB6">
              <w:t xml:space="preserve">Considerations </w:t>
            </w:r>
          </w:p>
        </w:tc>
        <w:tc>
          <w:tcPr>
            <w:tcW w:w="291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B81834"/>
          </w:tcPr>
          <w:p w14:paraId="6BD01415" w14:textId="77777777" w:rsidR="00883520" w:rsidRPr="00966DB6" w:rsidRDefault="00883520" w:rsidP="00E373EE">
            <w:pPr>
              <w:cnfStyle w:val="100000000000" w:firstRow="1" w:lastRow="0" w:firstColumn="0" w:lastColumn="0" w:oddVBand="0" w:evenVBand="0" w:oddHBand="0" w:evenHBand="0" w:firstRowFirstColumn="0" w:firstRowLastColumn="0" w:lastRowFirstColumn="0" w:lastRowLastColumn="0"/>
            </w:pPr>
            <w:r w:rsidRPr="00966DB6">
              <w:t>Rationale</w:t>
            </w:r>
          </w:p>
        </w:tc>
      </w:tr>
      <w:tr w:rsidR="00883520" w:rsidRPr="00966DB6" w14:paraId="76F1CDE2" w14:textId="77777777" w:rsidTr="00D15F2D">
        <w:tc>
          <w:tcPr>
            <w:cnfStyle w:val="001000000000" w:firstRow="0" w:lastRow="0" w:firstColumn="1" w:lastColumn="0" w:oddVBand="0" w:evenVBand="0" w:oddHBand="0" w:evenHBand="0" w:firstRowFirstColumn="0" w:firstRowLastColumn="0" w:lastRowFirstColumn="0" w:lastRowLastColumn="0"/>
            <w:tcW w:w="2084" w:type="pct"/>
          </w:tcPr>
          <w:p w14:paraId="072D3C3C" w14:textId="77777777" w:rsidR="00883520" w:rsidRPr="00966DB6" w:rsidRDefault="00883520" w:rsidP="00E373EE">
            <w:r w:rsidRPr="00966DB6">
              <w:t>Content should be curated to ensure information is patient-centred, concise and relevant.</w:t>
            </w:r>
          </w:p>
        </w:tc>
        <w:tc>
          <w:tcPr>
            <w:tcW w:w="2916" w:type="pct"/>
          </w:tcPr>
          <w:p w14:paraId="6D6C8331" w14:textId="77777777" w:rsidR="00883520" w:rsidRPr="00966DB6" w:rsidRDefault="00883520" w:rsidP="00E373EE">
            <w:pPr>
              <w:cnfStyle w:val="000000000000" w:firstRow="0" w:lastRow="0" w:firstColumn="0" w:lastColumn="0" w:oddVBand="0" w:evenVBand="0" w:oddHBand="0" w:evenHBand="0" w:firstRowFirstColumn="0" w:firstRowLastColumn="0" w:lastRowFirstColumn="0" w:lastRowLastColumn="0"/>
            </w:pPr>
            <w:r w:rsidRPr="00966DB6">
              <w:t>The EDS is a critical part of clinical handover. It is the responsibility of the discharging clinician to use their clinical judgement to prepare a high-quality EDS.</w:t>
            </w:r>
            <w:r w:rsidRPr="00966DB6" w:rsidDel="0096681E">
              <w:t xml:space="preserve"> </w:t>
            </w:r>
          </w:p>
        </w:tc>
      </w:tr>
      <w:tr w:rsidR="00883520" w:rsidRPr="00966DB6" w14:paraId="0B80B684" w14:textId="77777777" w:rsidTr="00D15F2D">
        <w:trPr>
          <w:cnfStyle w:val="000000010000" w:firstRow="0" w:lastRow="0" w:firstColumn="0" w:lastColumn="0" w:oddVBand="0" w:evenVBand="0" w:oddHBand="0" w:evenHBand="1" w:firstRowFirstColumn="0" w:firstRowLastColumn="0" w:lastRowFirstColumn="0" w:lastRowLastColumn="0"/>
          <w:trHeight w:val="1501"/>
        </w:trPr>
        <w:tc>
          <w:tcPr>
            <w:cnfStyle w:val="001000000000" w:firstRow="0" w:lastRow="0" w:firstColumn="1" w:lastColumn="0" w:oddVBand="0" w:evenVBand="0" w:oddHBand="0" w:evenHBand="0" w:firstRowFirstColumn="0" w:firstRowLastColumn="0" w:lastRowFirstColumn="0" w:lastRowLastColumn="0"/>
            <w:tcW w:w="2084" w:type="pct"/>
            <w:shd w:val="clear" w:color="auto" w:fill="FFF1EF"/>
          </w:tcPr>
          <w:p w14:paraId="35744446" w14:textId="77777777" w:rsidR="00883520" w:rsidRPr="00966DB6" w:rsidRDefault="00883520" w:rsidP="00E373EE">
            <w:r w:rsidRPr="00966DB6">
              <w:t xml:space="preserve">Avoid abbreviations and jargon in accordance with the </w:t>
            </w:r>
            <w:hyperlink r:id="rId43" w:history="1">
              <w:r w:rsidRPr="009B07E5">
                <w:rPr>
                  <w:rStyle w:val="Hyperlink"/>
                </w:rPr>
                <w:t>Recommendations for Safe Use of Medicines Terminology</w:t>
              </w:r>
            </w:hyperlink>
            <w:r w:rsidRPr="00966DB6">
              <w:t>.</w:t>
            </w:r>
          </w:p>
        </w:tc>
        <w:tc>
          <w:tcPr>
            <w:tcW w:w="2916" w:type="pct"/>
            <w:shd w:val="clear" w:color="auto" w:fill="FFF1EF"/>
          </w:tcPr>
          <w:p w14:paraId="486BFDEE" w14:textId="5B1F4ACB" w:rsidR="00883520" w:rsidRPr="00966DB6" w:rsidDel="00CA6722" w:rsidRDefault="00883520" w:rsidP="00E373EE">
            <w:pPr>
              <w:cnfStyle w:val="000000010000" w:firstRow="0" w:lastRow="0" w:firstColumn="0" w:lastColumn="0" w:oddVBand="0" w:evenVBand="0" w:oddHBand="0" w:evenHBand="1" w:firstRowFirstColumn="0" w:firstRowLastColumn="0" w:lastRowFirstColumn="0" w:lastRowLastColumn="0"/>
            </w:pPr>
            <w:r w:rsidRPr="00966DB6">
              <w:t>Some acronyms and abbreviations are highly specialised and do not have a commonly understood meaning. To</w:t>
            </w:r>
            <w:r>
              <w:t> </w:t>
            </w:r>
            <w:r w:rsidRPr="00966DB6">
              <w:t>reduce the risk of misinterpretation, abbreviations should be avoided</w:t>
            </w:r>
            <w:r w:rsidR="00313860">
              <w:t>.</w:t>
            </w:r>
            <w:r w:rsidRPr="008552DB">
              <w:rPr>
                <w:vertAlign w:val="superscript"/>
              </w:rPr>
              <w:t>8</w:t>
            </w:r>
            <w:r w:rsidRPr="00966DB6">
              <w:t xml:space="preserve"> If abbreviations must be used, they should be spelled out in full at the first use.</w:t>
            </w:r>
            <w:r w:rsidR="00B420FC">
              <w:t xml:space="preserve"> </w:t>
            </w:r>
          </w:p>
          <w:p w14:paraId="71F97EC1" w14:textId="0D494761" w:rsidR="00883520" w:rsidRPr="00966DB6" w:rsidRDefault="00883520" w:rsidP="00E373EE">
            <w:pPr>
              <w:cnfStyle w:val="000000010000" w:firstRow="0" w:lastRow="0" w:firstColumn="0" w:lastColumn="0" w:oddVBand="0" w:evenVBand="0" w:oddHBand="0" w:evenHBand="1" w:firstRowFirstColumn="0" w:firstRowLastColumn="0" w:lastRowFirstColumn="0" w:lastRowLastColumn="0"/>
            </w:pPr>
            <w:r w:rsidRPr="00966DB6" w:rsidDel="00CA6722">
              <w:t xml:space="preserve">Although an EDS is intended for </w:t>
            </w:r>
            <w:r w:rsidRPr="00966DB6">
              <w:t>use by clinicians and healthcare providers</w:t>
            </w:r>
            <w:r w:rsidRPr="00966DB6" w:rsidDel="00CA6722">
              <w:t>, patients and/or carers</w:t>
            </w:r>
            <w:r w:rsidRPr="00966DB6">
              <w:t xml:space="preserve"> </w:t>
            </w:r>
            <w:r w:rsidRPr="00966DB6" w:rsidDel="00CA6722">
              <w:t xml:space="preserve">also receive a copy. </w:t>
            </w:r>
            <w:r w:rsidRPr="00966DB6">
              <w:t>T</w:t>
            </w:r>
            <w:r w:rsidRPr="00966DB6" w:rsidDel="00CA6722">
              <w:t xml:space="preserve">he EDS should be written in a manner that can be </w:t>
            </w:r>
            <w:r w:rsidR="00E348D1" w:rsidRPr="00E348D1">
              <w:rPr>
                <w:lang w:val="en-GB"/>
              </w:rPr>
              <w:t>interpreted</w:t>
            </w:r>
            <w:r w:rsidR="00E348D1" w:rsidRPr="00E348D1" w:rsidDel="00CA6722">
              <w:t xml:space="preserve"> </w:t>
            </w:r>
            <w:r w:rsidRPr="00966DB6" w:rsidDel="00CA6722">
              <w:t>by patients.</w:t>
            </w:r>
            <w:r w:rsidR="00B420FC">
              <w:t xml:space="preserve"> </w:t>
            </w:r>
          </w:p>
        </w:tc>
      </w:tr>
      <w:tr w:rsidR="00883520" w:rsidRPr="00966DB6" w14:paraId="06BAF46E" w14:textId="77777777" w:rsidTr="00D15F2D">
        <w:tc>
          <w:tcPr>
            <w:cnfStyle w:val="001000000000" w:firstRow="0" w:lastRow="0" w:firstColumn="1" w:lastColumn="0" w:oddVBand="0" w:evenVBand="0" w:oddHBand="0" w:evenHBand="0" w:firstRowFirstColumn="0" w:firstRowLastColumn="0" w:lastRowFirstColumn="0" w:lastRowLastColumn="0"/>
            <w:tcW w:w="2084" w:type="pct"/>
          </w:tcPr>
          <w:p w14:paraId="63E697EE" w14:textId="16F0D9D9" w:rsidR="00883520" w:rsidRPr="00966DB6" w:rsidRDefault="00883520" w:rsidP="00E373EE">
            <w:r w:rsidRPr="00966DB6">
              <w:t xml:space="preserve">Avoid ‘copy and paste’ of information from the electronic medical record (EMR) into the </w:t>
            </w:r>
            <w:r w:rsidR="001C3229">
              <w:t>EDS</w:t>
            </w:r>
            <w:r w:rsidRPr="00966DB6">
              <w:t>.</w:t>
            </w:r>
          </w:p>
        </w:tc>
        <w:tc>
          <w:tcPr>
            <w:tcW w:w="2916" w:type="pct"/>
          </w:tcPr>
          <w:p w14:paraId="205F6539" w14:textId="77777777" w:rsidR="00883520" w:rsidRPr="00966DB6" w:rsidRDefault="00883520" w:rsidP="00E373EE">
            <w:pPr>
              <w:cnfStyle w:val="000000000000" w:firstRow="0" w:lastRow="0" w:firstColumn="0" w:lastColumn="0" w:oddVBand="0" w:evenVBand="0" w:oddHBand="0" w:evenHBand="0" w:firstRowFirstColumn="0" w:firstRowLastColumn="0" w:lastRowFirstColumn="0" w:lastRowLastColumn="0"/>
            </w:pPr>
            <w:r w:rsidRPr="00966DB6">
              <w:t xml:space="preserve">This has been identified in the literature as a consistently reported barrier to the effective use of an EDS due to the potential for errors and duplicate or irrelevant information. </w:t>
            </w:r>
          </w:p>
        </w:tc>
      </w:tr>
      <w:tr w:rsidR="00883520" w:rsidRPr="00966DB6" w14:paraId="414B8DB6" w14:textId="77777777" w:rsidTr="00D15F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4" w:type="pct"/>
            <w:shd w:val="clear" w:color="auto" w:fill="FFF1EF"/>
          </w:tcPr>
          <w:p w14:paraId="4D3FE6B1" w14:textId="77777777" w:rsidR="00883520" w:rsidRPr="00966DB6" w:rsidRDefault="00883520" w:rsidP="00E373EE">
            <w:r w:rsidRPr="00966DB6">
              <w:t>Confirm the details of the intended EDS recipient with the patient.</w:t>
            </w:r>
          </w:p>
        </w:tc>
        <w:tc>
          <w:tcPr>
            <w:tcW w:w="2916" w:type="pct"/>
            <w:shd w:val="clear" w:color="auto" w:fill="FFF1EF"/>
          </w:tcPr>
          <w:p w14:paraId="27820020" w14:textId="77777777" w:rsidR="00883520" w:rsidRPr="00966DB6" w:rsidRDefault="00883520" w:rsidP="00E373EE">
            <w:pPr>
              <w:cnfStyle w:val="000000010000" w:firstRow="0" w:lastRow="0" w:firstColumn="0" w:lastColumn="0" w:oddVBand="0" w:evenVBand="0" w:oddHBand="0" w:evenHBand="1" w:firstRowFirstColumn="0" w:firstRowLastColumn="0" w:lastRowFirstColumn="0" w:lastRowLastColumn="0"/>
            </w:pPr>
            <w:r w:rsidRPr="00966DB6">
              <w:t>The discharging clinician should confirm the details of the person’s nominated primary healthcare provider prior to discharge to facilitate delivery to the intended recipient.</w:t>
            </w:r>
            <w:r w:rsidRPr="00966DB6" w:rsidDel="00A41C35">
              <w:t xml:space="preserve"> </w:t>
            </w:r>
          </w:p>
        </w:tc>
      </w:tr>
      <w:tr w:rsidR="00883520" w:rsidRPr="00966DB6" w14:paraId="15821EA6" w14:textId="77777777" w:rsidTr="00D15F2D">
        <w:tc>
          <w:tcPr>
            <w:cnfStyle w:val="001000000000" w:firstRow="0" w:lastRow="0" w:firstColumn="1" w:lastColumn="0" w:oddVBand="0" w:evenVBand="0" w:oddHBand="0" w:evenHBand="0" w:firstRowFirstColumn="0" w:firstRowLastColumn="0" w:lastRowFirstColumn="0" w:lastRowLastColumn="0"/>
            <w:tcW w:w="2084" w:type="pct"/>
          </w:tcPr>
          <w:p w14:paraId="0A8860E7" w14:textId="4682CDE9" w:rsidR="00883520" w:rsidRPr="00966DB6" w:rsidRDefault="00883520" w:rsidP="00E373EE">
            <w:r w:rsidRPr="00966DB6">
              <w:t>An EDS should be used in combination with other handover methods (</w:t>
            </w:r>
            <w:r w:rsidR="00BD3681">
              <w:t>for</w:t>
            </w:r>
            <w:r w:rsidR="00313860">
              <w:t> </w:t>
            </w:r>
            <w:r w:rsidR="00BD3681">
              <w:t xml:space="preserve">example, </w:t>
            </w:r>
            <w:r w:rsidRPr="00966DB6">
              <w:t>phone call or case conference) for patients with complex needs or require timely follow-up.</w:t>
            </w:r>
          </w:p>
        </w:tc>
        <w:tc>
          <w:tcPr>
            <w:tcW w:w="2916" w:type="pct"/>
          </w:tcPr>
          <w:p w14:paraId="2CFA32F8" w14:textId="77777777" w:rsidR="00883520" w:rsidRPr="00966DB6" w:rsidRDefault="00883520" w:rsidP="00E373EE">
            <w:pPr>
              <w:cnfStyle w:val="000000000000" w:firstRow="0" w:lastRow="0" w:firstColumn="0" w:lastColumn="0" w:oddVBand="0" w:evenVBand="0" w:oddHBand="0" w:evenHBand="0" w:firstRowFirstColumn="0" w:firstRowLastColumn="0" w:lastRowFirstColumn="0" w:lastRowLastColumn="0"/>
            </w:pPr>
            <w:r w:rsidRPr="00966DB6">
              <w:t>There is no mechanism for the recipient of an EDS to acknowledge in real-time that an EDS has been received. Therefore, in complex or time-critical scenarios, a safe clinical handover may require additional communication between the discharging and the receiving healthcare provider, to supplement the</w:t>
            </w:r>
            <w:r>
              <w:t> </w:t>
            </w:r>
            <w:r w:rsidRPr="00966DB6">
              <w:t xml:space="preserve">EDS. </w:t>
            </w:r>
          </w:p>
        </w:tc>
      </w:tr>
    </w:tbl>
    <w:p w14:paraId="3BDE95E1" w14:textId="3D4B25B9" w:rsidR="007401FB" w:rsidRDefault="007401FB" w:rsidP="007401FB">
      <w:r>
        <w:br w:type="page"/>
      </w:r>
    </w:p>
    <w:p w14:paraId="7BA758EC" w14:textId="2D3223F3" w:rsidR="0081794A" w:rsidRPr="008702A8" w:rsidRDefault="0081794A" w:rsidP="0081794A">
      <w:pPr>
        <w:pStyle w:val="Heading1"/>
        <w:rPr>
          <w:lang w:val="en-GB"/>
        </w:rPr>
      </w:pPr>
      <w:bookmarkStart w:id="21" w:name="_Toc209177880"/>
      <w:r w:rsidRPr="008702A8">
        <w:rPr>
          <w:lang w:val="en-GB"/>
        </w:rPr>
        <w:lastRenderedPageBreak/>
        <w:t>Structure of an electronic discharge</w:t>
      </w:r>
      <w:r w:rsidR="00441CA3">
        <w:rPr>
          <w:lang w:val="en-GB"/>
        </w:rPr>
        <w:t> </w:t>
      </w:r>
      <w:r w:rsidRPr="008702A8">
        <w:rPr>
          <w:lang w:val="en-GB"/>
        </w:rPr>
        <w:t>summary</w:t>
      </w:r>
      <w:bookmarkEnd w:id="21"/>
    </w:p>
    <w:p w14:paraId="5E0B514A" w14:textId="46417083" w:rsidR="0081794A" w:rsidRDefault="0081794A" w:rsidP="00F23E69">
      <w:pPr>
        <w:rPr>
          <w:lang w:val="en-GB"/>
        </w:rPr>
      </w:pPr>
      <w:r>
        <w:rPr>
          <w:lang w:val="en-GB"/>
        </w:rPr>
        <w:t xml:space="preserve">Electronic transmission of clinical </w:t>
      </w:r>
      <w:r w:rsidRPr="00F23E69">
        <w:t>information</w:t>
      </w:r>
      <w:r>
        <w:rPr>
          <w:lang w:val="en-GB"/>
        </w:rPr>
        <w:t xml:space="preserve"> requires both human-readable and machine-readable formats. To fully appreciate the Guidelines, it is necessary to understand the technical structure of an </w:t>
      </w:r>
      <w:r w:rsidRPr="0081794A">
        <w:rPr>
          <w:lang w:val="en-GB"/>
        </w:rPr>
        <w:t xml:space="preserve">electronic discharge summary </w:t>
      </w:r>
      <w:r>
        <w:rPr>
          <w:lang w:val="en-GB"/>
        </w:rPr>
        <w:t>(EDS) based on the current technical document architecture.</w:t>
      </w:r>
    </w:p>
    <w:p w14:paraId="733A71F3" w14:textId="13FB427A" w:rsidR="0081794A" w:rsidRDefault="0081794A" w:rsidP="0081794A">
      <w:pPr>
        <w:rPr>
          <w:lang w:val="en-GB"/>
        </w:rPr>
      </w:pPr>
      <w:r>
        <w:rPr>
          <w:lang w:val="en-GB"/>
        </w:rPr>
        <w:t xml:space="preserve">The exchange of clinical documents between systems in Australia is organised based on Clinical Document Architecture (CDA) determined by Health Level 7 (HL7), an international standards development organisation. The basic structure of a CDA document (Figure 3) includes a header and a body. The header remains the same for all CDA document types, while the body contains the clinical information. The body of a CDA document contains individual data elements (entries) grouped within individual sections. </w:t>
      </w:r>
      <w:r w:rsidRPr="005C7B1F">
        <w:rPr>
          <w:lang w:val="en-GB"/>
        </w:rPr>
        <w:t xml:space="preserve">If the EDS </w:t>
      </w:r>
      <w:r>
        <w:rPr>
          <w:lang w:val="en-GB"/>
        </w:rPr>
        <w:t>implementation</w:t>
      </w:r>
      <w:r w:rsidRPr="005C7B1F">
        <w:rPr>
          <w:lang w:val="en-GB"/>
        </w:rPr>
        <w:t xml:space="preserve"> at a health service level does not conform to the CDA structure, it is likely that the receiving (rendering) system will be limited in what information is stored and</w:t>
      </w:r>
      <w:r>
        <w:rPr>
          <w:lang w:val="en-GB"/>
        </w:rPr>
        <w:t>/</w:t>
      </w:r>
      <w:r w:rsidRPr="005C7B1F">
        <w:rPr>
          <w:lang w:val="en-GB"/>
        </w:rPr>
        <w:t>or processed</w:t>
      </w:r>
      <w:r>
        <w:rPr>
          <w:lang w:val="en-GB"/>
        </w:rPr>
        <w:t>. This may</w:t>
      </w:r>
      <w:r w:rsidRPr="005C7B1F">
        <w:rPr>
          <w:lang w:val="en-GB"/>
        </w:rPr>
        <w:t xml:space="preserve"> impact</w:t>
      </w:r>
      <w:r>
        <w:rPr>
          <w:lang w:val="en-GB"/>
        </w:rPr>
        <w:t xml:space="preserve"> the completeness, accuracy and/or usability of the information being displayed to the end-user.</w:t>
      </w:r>
    </w:p>
    <w:p w14:paraId="3E24669B" w14:textId="2F169A80" w:rsidR="0081794A" w:rsidRPr="0002734D" w:rsidRDefault="0081794A" w:rsidP="00D57F24">
      <w:pPr>
        <w:pStyle w:val="Caption"/>
      </w:pPr>
      <w:r w:rsidRPr="0002734D">
        <w:t>Logical structure of the CDA document with corresponding data components in the</w:t>
      </w:r>
      <w:r w:rsidR="00BC08AA">
        <w:t xml:space="preserve"> </w:t>
      </w:r>
      <w:r w:rsidR="004D66E2" w:rsidRPr="004D66E2">
        <w:rPr>
          <w:lang w:val="en-GB"/>
        </w:rPr>
        <w:t>electronic discharge summary</w:t>
      </w:r>
    </w:p>
    <w:p w14:paraId="35D0AD6F" w14:textId="05525D8C" w:rsidR="006461FB" w:rsidRDefault="006461FB" w:rsidP="00B27AA1">
      <w:pPr>
        <w:spacing w:before="360"/>
        <w:jc w:val="center"/>
      </w:pPr>
      <w:bookmarkStart w:id="22" w:name="_Toc196287150"/>
      <w:r w:rsidRPr="006461FB">
        <w:rPr>
          <w:noProof/>
        </w:rPr>
        <w:drawing>
          <wp:inline distT="0" distB="0" distL="0" distR="0" wp14:anchorId="43DB89C4" wp14:editId="1555AF3C">
            <wp:extent cx="3022600" cy="4019061"/>
            <wp:effectExtent l="0" t="0" r="0" b="0"/>
            <wp:docPr id="2120249593" name="Picture 1" descr="Figure 2&#10;Logical structure of the CDA document with corresponding data components in the electronic discharge summary&#10;&#10;Header:&#10;– Consistent across all CDA documents&#10;– Identifies and classifies the document&#10;&#10;Body:&#10;– Clinical content of the document&#10;&#10;Section:&#10;– Entry&#10;– Entry&#10;&#10;Section:&#10;– Entry&#10;– Ent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49593" name="Picture 1" descr="Figure 2&#10;Logical structure of the CDA document with corresponding data components in the electronic discharge summary&#10;&#10;Header:&#10;– Consistent across all CDA documents&#10;– Identifies and classifies the document&#10;&#10;Body:&#10;– Clinical content of the document&#10;&#10;Section:&#10;– Entry&#10;– Entry&#10;&#10;Section:&#10;– Entry&#10;– Entry&#10;&#10;"/>
                    <pic:cNvPicPr/>
                  </pic:nvPicPr>
                  <pic:blipFill>
                    <a:blip r:embed="rId44">
                      <a:extLst>
                        <a:ext uri="{96DAC541-7B7A-43D3-8B79-37D633B846F1}">
                          <asvg:svgBlip xmlns:asvg="http://schemas.microsoft.com/office/drawing/2016/SVG/main" r:embed="rId45"/>
                        </a:ext>
                      </a:extLst>
                    </a:blip>
                    <a:stretch>
                      <a:fillRect/>
                    </a:stretch>
                  </pic:blipFill>
                  <pic:spPr>
                    <a:xfrm>
                      <a:off x="0" y="0"/>
                      <a:ext cx="3022600" cy="4019061"/>
                    </a:xfrm>
                    <a:prstGeom prst="rect">
                      <a:avLst/>
                    </a:prstGeom>
                  </pic:spPr>
                </pic:pic>
              </a:graphicData>
            </a:graphic>
          </wp:inline>
        </w:drawing>
      </w:r>
    </w:p>
    <w:p w14:paraId="17F3675D" w14:textId="53137E80" w:rsidR="0081794A" w:rsidRPr="0036248A" w:rsidRDefault="0081794A" w:rsidP="006461FB">
      <w:pPr>
        <w:spacing w:before="360"/>
      </w:pPr>
    </w:p>
    <w:p w14:paraId="39E0B49C" w14:textId="40BBAE52" w:rsidR="007401FB" w:rsidRDefault="007401FB" w:rsidP="007401FB">
      <w:pPr>
        <w:pStyle w:val="Heading1"/>
        <w:rPr>
          <w:lang w:val="en-GB"/>
        </w:rPr>
      </w:pPr>
      <w:bookmarkStart w:id="23" w:name="_Toc209177881"/>
      <w:r w:rsidRPr="00C03A1A">
        <w:rPr>
          <w:lang w:val="en-GB"/>
        </w:rPr>
        <w:lastRenderedPageBreak/>
        <w:t xml:space="preserve">Data </w:t>
      </w:r>
      <w:r w:rsidRPr="007401FB">
        <w:t>components</w:t>
      </w:r>
      <w:r w:rsidRPr="00C03A1A">
        <w:rPr>
          <w:lang w:val="en-GB"/>
        </w:rPr>
        <w:t xml:space="preserve"> of an </w:t>
      </w:r>
      <w:r w:rsidR="003C3979" w:rsidRPr="00892C60">
        <w:rPr>
          <w:lang w:val="en-GB"/>
        </w:rPr>
        <w:t>electronic discharge summary</w:t>
      </w:r>
      <w:bookmarkEnd w:id="23"/>
      <w:r w:rsidR="003C3979" w:rsidRPr="00C03A1A">
        <w:rPr>
          <w:lang w:val="en-GB"/>
        </w:rPr>
        <w:t xml:space="preserve"> </w:t>
      </w:r>
      <w:bookmarkEnd w:id="22"/>
    </w:p>
    <w:p w14:paraId="7C7D8661" w14:textId="71F7AC8A" w:rsidR="007401FB" w:rsidRPr="003D342C" w:rsidRDefault="007401FB" w:rsidP="00CC72FB">
      <w:pPr>
        <w:rPr>
          <w:lang w:val="en-GB"/>
        </w:rPr>
      </w:pPr>
      <w:r>
        <w:rPr>
          <w:lang w:val="en-GB"/>
        </w:rPr>
        <w:t xml:space="preserve">The recommendations in this part of the Guidelines should be considered alongside technical standards and requirements published on the Australian Digital Health Agency’s </w:t>
      </w:r>
      <w:hyperlink r:id="rId46" w:history="1">
        <w:r w:rsidRPr="009767B9">
          <w:rPr>
            <w:rStyle w:val="Hyperlink"/>
            <w:lang w:val="en-GB"/>
          </w:rPr>
          <w:t>Developer</w:t>
        </w:r>
        <w:r>
          <w:rPr>
            <w:rStyle w:val="Hyperlink"/>
            <w:lang w:val="en-GB"/>
          </w:rPr>
          <w:t> </w:t>
        </w:r>
        <w:r w:rsidRPr="009767B9">
          <w:rPr>
            <w:rStyle w:val="Hyperlink"/>
            <w:lang w:val="en-GB"/>
          </w:rPr>
          <w:t>Portal</w:t>
        </w:r>
      </w:hyperlink>
      <w:r>
        <w:rPr>
          <w:lang w:val="en-GB"/>
        </w:rPr>
        <w:t>.</w:t>
      </w:r>
    </w:p>
    <w:p w14:paraId="769942E7" w14:textId="2EF9E67E" w:rsidR="007401FB" w:rsidRPr="008E6D38" w:rsidRDefault="007401FB" w:rsidP="00DF423A">
      <w:pPr>
        <w:pStyle w:val="Heading2"/>
        <w:rPr>
          <w:lang w:val="en-GB"/>
        </w:rPr>
      </w:pPr>
      <w:bookmarkStart w:id="24" w:name="_Toc194398963"/>
      <w:bookmarkStart w:id="25" w:name="_Toc196287151"/>
      <w:bookmarkStart w:id="26" w:name="_Toc209177882"/>
      <w:r w:rsidRPr="008E6D38">
        <w:rPr>
          <w:lang w:val="en-GB"/>
        </w:rPr>
        <w:t>Header</w:t>
      </w:r>
      <w:bookmarkEnd w:id="24"/>
      <w:bookmarkEnd w:id="25"/>
      <w:bookmarkEnd w:id="26"/>
    </w:p>
    <w:p w14:paraId="70A887EF" w14:textId="77777777" w:rsidR="007401FB" w:rsidRDefault="007401FB" w:rsidP="007401FB">
      <w:pPr>
        <w:pStyle w:val="Heading3"/>
        <w:spacing w:before="0" w:after="0"/>
        <w:rPr>
          <w:rFonts w:eastAsiaTheme="minorEastAsia"/>
        </w:rPr>
      </w:pPr>
      <w:r>
        <w:rPr>
          <w:rFonts w:eastAsiaTheme="minorEastAsia"/>
        </w:rPr>
        <w:t>Patient details</w:t>
      </w:r>
    </w:p>
    <w:p w14:paraId="0C73CAF2" w14:textId="77777777" w:rsidR="007401FB" w:rsidRPr="00B51C52" w:rsidRDefault="007401FB" w:rsidP="009768BA">
      <w:pPr>
        <w:spacing w:after="240"/>
        <w:rPr>
          <w:rFonts w:eastAsiaTheme="minorEastAsia"/>
        </w:rPr>
      </w:pPr>
      <w:r>
        <w:rPr>
          <w:rFonts w:eastAsiaTheme="minorEastAsia"/>
        </w:rPr>
        <w:t>This component should contain all the relevant information to accurately identify the individual that has received care in a health service.</w:t>
      </w:r>
    </w:p>
    <w:tbl>
      <w:tblPr>
        <w:tblStyle w:val="SQHTable"/>
        <w:tblW w:w="5000" w:type="pct"/>
        <w:tblBorders>
          <w:top w:val="none" w:sz="0" w:space="0" w:color="auto"/>
          <w:insideV w:val="single" w:sz="12" w:space="0" w:color="FFFFFF" w:themeColor="background1"/>
        </w:tblBorders>
        <w:tblLook w:val="0420" w:firstRow="1" w:lastRow="0" w:firstColumn="0" w:lastColumn="0" w:noHBand="0" w:noVBand="1"/>
        <w:tblCaption w:val="Patient details"/>
      </w:tblPr>
      <w:tblGrid>
        <w:gridCol w:w="4035"/>
        <w:gridCol w:w="5149"/>
      </w:tblGrid>
      <w:tr w:rsidR="007401FB" w14:paraId="4469FB66" w14:textId="77777777" w:rsidTr="00D15F2D">
        <w:trPr>
          <w:cnfStyle w:val="100000000000" w:firstRow="1" w:lastRow="0" w:firstColumn="0" w:lastColumn="0" w:oddVBand="0" w:evenVBand="0" w:oddHBand="0" w:evenHBand="0" w:firstRowFirstColumn="0" w:firstRowLastColumn="0" w:lastRowFirstColumn="0" w:lastRowLastColumn="0"/>
        </w:trPr>
        <w:tc>
          <w:tcPr>
            <w:tcW w:w="219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13D67C6" w14:textId="77777777" w:rsidR="007401FB" w:rsidRDefault="007401FB" w:rsidP="00E373EE">
            <w:bookmarkStart w:id="27" w:name="_Hlk175668694"/>
            <w:r>
              <w:t>Recommendation</w:t>
            </w:r>
          </w:p>
        </w:tc>
        <w:tc>
          <w:tcPr>
            <w:tcW w:w="28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BC30A2C" w14:textId="77777777" w:rsidR="007401FB" w:rsidRDefault="007401FB" w:rsidP="00E373EE">
            <w:r>
              <w:t xml:space="preserve">Rationale </w:t>
            </w:r>
          </w:p>
        </w:tc>
      </w:tr>
      <w:tr w:rsidR="007401FB" w14:paraId="74500FD8" w14:textId="77777777" w:rsidTr="00D15F2D">
        <w:trPr>
          <w:trHeight w:val="1797"/>
        </w:trPr>
        <w:tc>
          <w:tcPr>
            <w:tcW w:w="2197" w:type="pct"/>
          </w:tcPr>
          <w:p w14:paraId="59830C2F" w14:textId="4048A366" w:rsidR="007401FB" w:rsidRDefault="00721ABD" w:rsidP="00E373EE">
            <w:pPr>
              <w:rPr>
                <w:lang w:bidi="en-US"/>
              </w:rPr>
            </w:pPr>
            <w:r w:rsidRPr="000C2005">
              <w:rPr>
                <w:lang w:bidi="en-US"/>
              </w:rPr>
              <w:t xml:space="preserve">Display the patient details on the upper left corner of the </w:t>
            </w:r>
            <w:r w:rsidRPr="00461DC7">
              <w:rPr>
                <w:lang w:val="en-GB"/>
              </w:rPr>
              <w:t>EDS</w:t>
            </w:r>
            <w:r w:rsidRPr="000C2005">
              <w:rPr>
                <w:lang w:bidi="en-US"/>
              </w:rPr>
              <w:t xml:space="preserve">, within the </w:t>
            </w:r>
            <w:r w:rsidRPr="00461DC7">
              <w:rPr>
                <w:lang w:bidi="en-US"/>
              </w:rPr>
              <w:t>‘Header’ component</w:t>
            </w:r>
            <w:r w:rsidRPr="003E125B">
              <w:rPr>
                <w:lang w:bidi="en-US"/>
              </w:rPr>
              <w:t>.</w:t>
            </w:r>
          </w:p>
        </w:tc>
        <w:tc>
          <w:tcPr>
            <w:tcW w:w="2803" w:type="pct"/>
          </w:tcPr>
          <w:p w14:paraId="1377549F" w14:textId="77777777" w:rsidR="007401FB" w:rsidRPr="00B51C52" w:rsidRDefault="007401FB" w:rsidP="007401FB">
            <w:pPr>
              <w:pStyle w:val="ListBullet"/>
              <w:rPr>
                <w:lang w:bidi="en-US"/>
              </w:rPr>
            </w:pPr>
            <w:r w:rsidRPr="00B51C52">
              <w:rPr>
                <w:lang w:bidi="en-US"/>
              </w:rPr>
              <w:t>Patient identification details should be displayed in a consistent manner so users can efficiently and accurately identify the patient.</w:t>
            </w:r>
          </w:p>
          <w:p w14:paraId="63F620AA" w14:textId="77777777" w:rsidR="007401FB" w:rsidRPr="000C2005" w:rsidRDefault="007401FB" w:rsidP="007401FB">
            <w:pPr>
              <w:pStyle w:val="ListBullet"/>
            </w:pPr>
            <w:r w:rsidRPr="000C2005">
              <w:rPr>
                <w:lang w:bidi="en-US"/>
              </w:rPr>
              <w:t>Eye-tracking sessions revealed that the upper left corner of the summary received a significant number of fixations.</w:t>
            </w:r>
          </w:p>
        </w:tc>
      </w:tr>
      <w:tr w:rsidR="007401FB" w14:paraId="608C81E6" w14:textId="77777777" w:rsidTr="00D15F2D">
        <w:trPr>
          <w:cnfStyle w:val="000000010000" w:firstRow="0" w:lastRow="0" w:firstColumn="0" w:lastColumn="0" w:oddVBand="0" w:evenVBand="0" w:oddHBand="0" w:evenHBand="1" w:firstRowFirstColumn="0" w:firstRowLastColumn="0" w:lastRowFirstColumn="0" w:lastRowLastColumn="0"/>
        </w:trPr>
        <w:tc>
          <w:tcPr>
            <w:tcW w:w="2197" w:type="pct"/>
          </w:tcPr>
          <w:p w14:paraId="3E7CB580" w14:textId="4D9D8F1D" w:rsidR="007401FB" w:rsidRPr="00207295" w:rsidRDefault="007401FB" w:rsidP="00113133">
            <w:r>
              <w:rPr>
                <w:lang w:bidi="en-US"/>
              </w:rPr>
              <w:t xml:space="preserve">Display the </w:t>
            </w:r>
            <w:r w:rsidRPr="00113133">
              <w:t>patient’s</w:t>
            </w:r>
            <w:r>
              <w:rPr>
                <w:lang w:bidi="en-US"/>
              </w:rPr>
              <w:t xml:space="preserve"> name on a single line, in a larger, </w:t>
            </w:r>
            <w:r w:rsidRPr="007401FB">
              <w:t>bold</w:t>
            </w:r>
            <w:r>
              <w:rPr>
                <w:lang w:bidi="en-US"/>
              </w:rPr>
              <w:t xml:space="preserve"> font</w:t>
            </w:r>
            <w:r w:rsidR="003C3979">
              <w:rPr>
                <w:lang w:bidi="en-US"/>
              </w:rPr>
              <w:t>.</w:t>
            </w:r>
          </w:p>
        </w:tc>
        <w:tc>
          <w:tcPr>
            <w:tcW w:w="2803" w:type="pct"/>
          </w:tcPr>
          <w:p w14:paraId="514BB5DB" w14:textId="111DF98E" w:rsidR="007401FB" w:rsidRDefault="007401FB" w:rsidP="00113133">
            <w:r w:rsidRPr="000C2005">
              <w:rPr>
                <w:lang w:bidi="en-US"/>
              </w:rPr>
              <w:t xml:space="preserve">Presenting the patient’s name in bold and using a larger font </w:t>
            </w:r>
            <w:r>
              <w:rPr>
                <w:lang w:bidi="en-US"/>
              </w:rPr>
              <w:t>improves contrast and visibility of critical</w:t>
            </w:r>
            <w:r w:rsidR="00667C32">
              <w:rPr>
                <w:lang w:bidi="en-US"/>
              </w:rPr>
              <w:t> </w:t>
            </w:r>
            <w:r>
              <w:rPr>
                <w:lang w:bidi="en-US"/>
              </w:rPr>
              <w:t>information.</w:t>
            </w:r>
          </w:p>
        </w:tc>
      </w:tr>
      <w:tr w:rsidR="007401FB" w14:paraId="27FF56C5" w14:textId="77777777" w:rsidTr="00D15F2D">
        <w:trPr>
          <w:trHeight w:val="2653"/>
        </w:trPr>
        <w:tc>
          <w:tcPr>
            <w:tcW w:w="2197" w:type="pct"/>
          </w:tcPr>
          <w:p w14:paraId="0960519D" w14:textId="676811F3" w:rsidR="007401FB" w:rsidRPr="00A028AA" w:rsidRDefault="007401FB" w:rsidP="00113133">
            <w:pPr>
              <w:rPr>
                <w:lang w:bidi="en-US"/>
              </w:rPr>
            </w:pPr>
            <w:r w:rsidRPr="00A028AA">
              <w:rPr>
                <w:lang w:bidi="en-US"/>
              </w:rPr>
              <w:t xml:space="preserve">Display </w:t>
            </w:r>
            <w:r>
              <w:rPr>
                <w:lang w:bidi="en-US"/>
              </w:rPr>
              <w:t>other</w:t>
            </w:r>
            <w:r w:rsidRPr="00A028AA">
              <w:rPr>
                <w:lang w:bidi="en-US"/>
              </w:rPr>
              <w:t xml:space="preserve"> patient’s details in the following</w:t>
            </w:r>
            <w:r w:rsidR="00113133">
              <w:rPr>
                <w:lang w:bidi="en-US"/>
              </w:rPr>
              <w:t> </w:t>
            </w:r>
            <w:r w:rsidRPr="00A028AA">
              <w:rPr>
                <w:lang w:bidi="en-US"/>
              </w:rPr>
              <w:t>order</w:t>
            </w:r>
            <w:r>
              <w:rPr>
                <w:lang w:bidi="en-US"/>
              </w:rPr>
              <w:t>:</w:t>
            </w:r>
            <w:r w:rsidRPr="00A028AA">
              <w:rPr>
                <w:lang w:bidi="en-US"/>
              </w:rPr>
              <w:t xml:space="preserve"> </w:t>
            </w:r>
          </w:p>
          <w:p w14:paraId="4F27AD94" w14:textId="1816CC89" w:rsidR="007401FB" w:rsidRPr="000C2005" w:rsidRDefault="00C96051" w:rsidP="00113133">
            <w:pPr>
              <w:pStyle w:val="ListBullet"/>
              <w:rPr>
                <w:lang w:bidi="en-US"/>
              </w:rPr>
            </w:pPr>
            <w:r>
              <w:rPr>
                <w:lang w:bidi="en-US"/>
              </w:rPr>
              <w:t>D</w:t>
            </w:r>
            <w:r w:rsidR="007401FB" w:rsidRPr="000C2005">
              <w:rPr>
                <w:lang w:bidi="en-US"/>
              </w:rPr>
              <w:t>ate of birth</w:t>
            </w:r>
            <w:r w:rsidR="007401FB">
              <w:rPr>
                <w:lang w:bidi="en-US"/>
              </w:rPr>
              <w:t xml:space="preserve"> (age)</w:t>
            </w:r>
          </w:p>
          <w:p w14:paraId="403AF3C9" w14:textId="5B32B21B" w:rsidR="007401FB" w:rsidRDefault="00C96051" w:rsidP="00113133">
            <w:pPr>
              <w:pStyle w:val="ListBullet"/>
              <w:rPr>
                <w:lang w:bidi="en-US"/>
              </w:rPr>
            </w:pPr>
            <w:r>
              <w:rPr>
                <w:lang w:bidi="en-US"/>
              </w:rPr>
              <w:t>S</w:t>
            </w:r>
            <w:r w:rsidR="007401FB" w:rsidRPr="000C2005">
              <w:rPr>
                <w:lang w:bidi="en-US"/>
              </w:rPr>
              <w:t>ex</w:t>
            </w:r>
            <w:r w:rsidR="007401FB">
              <w:rPr>
                <w:lang w:bidi="en-US"/>
              </w:rPr>
              <w:t xml:space="preserve"> assigned at birth</w:t>
            </w:r>
          </w:p>
          <w:p w14:paraId="30A74AE0" w14:textId="47E36BF6" w:rsidR="007401FB" w:rsidRDefault="00C96051" w:rsidP="00113133">
            <w:pPr>
              <w:pStyle w:val="ListBullet"/>
              <w:rPr>
                <w:lang w:bidi="en-US"/>
              </w:rPr>
            </w:pPr>
            <w:r>
              <w:rPr>
                <w:lang w:bidi="en-US"/>
              </w:rPr>
              <w:t>G</w:t>
            </w:r>
            <w:r w:rsidR="007401FB">
              <w:rPr>
                <w:lang w:bidi="en-US"/>
              </w:rPr>
              <w:t>ender identity</w:t>
            </w:r>
          </w:p>
          <w:p w14:paraId="1CF03996" w14:textId="77777777" w:rsidR="007401FB" w:rsidRPr="000C2005" w:rsidRDefault="007401FB" w:rsidP="00113133">
            <w:pPr>
              <w:pStyle w:val="ListBullet"/>
              <w:rPr>
                <w:lang w:bidi="en-US"/>
              </w:rPr>
            </w:pPr>
            <w:r>
              <w:rPr>
                <w:lang w:bidi="en-US"/>
              </w:rPr>
              <w:t xml:space="preserve">Indigenous status </w:t>
            </w:r>
          </w:p>
          <w:p w14:paraId="46DDEA89" w14:textId="08A5CEE6" w:rsidR="007401FB" w:rsidRPr="000C2005" w:rsidRDefault="00C96051" w:rsidP="00113133">
            <w:pPr>
              <w:pStyle w:val="ListBullet"/>
              <w:rPr>
                <w:lang w:bidi="en-US"/>
              </w:rPr>
            </w:pPr>
            <w:r>
              <w:rPr>
                <w:lang w:bidi="en-US"/>
              </w:rPr>
              <w:t>A</w:t>
            </w:r>
            <w:r w:rsidR="007401FB" w:rsidRPr="000C2005">
              <w:rPr>
                <w:lang w:bidi="en-US"/>
              </w:rPr>
              <w:t>ddress</w:t>
            </w:r>
          </w:p>
          <w:p w14:paraId="4A7B68B4" w14:textId="5E817C7A" w:rsidR="007401FB" w:rsidRDefault="00C96051" w:rsidP="00113133">
            <w:pPr>
              <w:pStyle w:val="ListBullet"/>
              <w:rPr>
                <w:lang w:bidi="en-US"/>
              </w:rPr>
            </w:pPr>
            <w:r>
              <w:rPr>
                <w:lang w:bidi="en-US"/>
              </w:rPr>
              <w:t>T</w:t>
            </w:r>
            <w:r w:rsidR="007401FB" w:rsidRPr="000C2005">
              <w:rPr>
                <w:lang w:bidi="en-US"/>
              </w:rPr>
              <w:t>elephone</w:t>
            </w:r>
          </w:p>
          <w:p w14:paraId="7B6CA08C" w14:textId="77777777" w:rsidR="007401FB" w:rsidRDefault="007401FB" w:rsidP="00113133">
            <w:pPr>
              <w:pStyle w:val="ListBullet"/>
              <w:rPr>
                <w:lang w:bidi="en-US"/>
              </w:rPr>
            </w:pPr>
            <w:r w:rsidRPr="000C2005">
              <w:rPr>
                <w:lang w:bidi="en-US"/>
              </w:rPr>
              <w:t>Medical Record Number (MRN)</w:t>
            </w:r>
          </w:p>
          <w:p w14:paraId="7A415B82" w14:textId="08769C5F" w:rsidR="007401FB" w:rsidRPr="004F71C5" w:rsidRDefault="007401FB" w:rsidP="00113133">
            <w:pPr>
              <w:pStyle w:val="ListBullet"/>
              <w:rPr>
                <w:lang w:bidi="en-US"/>
              </w:rPr>
            </w:pPr>
            <w:r w:rsidRPr="000C2005">
              <w:rPr>
                <w:lang w:bidi="en-US"/>
              </w:rPr>
              <w:t>Individual Healthcare Identifier (IHI)</w:t>
            </w:r>
            <w:r w:rsidR="00667C32">
              <w:rPr>
                <w:lang w:bidi="en-US"/>
              </w:rPr>
              <w:t>.</w:t>
            </w:r>
          </w:p>
        </w:tc>
        <w:tc>
          <w:tcPr>
            <w:tcW w:w="2803" w:type="pct"/>
          </w:tcPr>
          <w:p w14:paraId="38607A05" w14:textId="77777777" w:rsidR="007401FB" w:rsidRPr="000C2005" w:rsidRDefault="007401FB" w:rsidP="007401FB">
            <w:pPr>
              <w:pStyle w:val="ListBullet"/>
              <w:rPr>
                <w:lang w:bidi="en-US"/>
              </w:rPr>
            </w:pPr>
            <w:r>
              <w:rPr>
                <w:lang w:bidi="en-US"/>
              </w:rPr>
              <w:t>Inclusion of an Individual Healthcare Identifier</w:t>
            </w:r>
            <w:r w:rsidRPr="000C2005">
              <w:rPr>
                <w:lang w:bidi="en-US"/>
              </w:rPr>
              <w:t xml:space="preserve"> </w:t>
            </w:r>
            <w:r>
              <w:rPr>
                <w:lang w:bidi="en-US"/>
              </w:rPr>
              <w:t>(</w:t>
            </w:r>
            <w:r w:rsidRPr="000C2005">
              <w:rPr>
                <w:lang w:bidi="en-US"/>
              </w:rPr>
              <w:t>IHI</w:t>
            </w:r>
            <w:r>
              <w:rPr>
                <w:lang w:bidi="en-US"/>
              </w:rPr>
              <w:t xml:space="preserve">) aligns with objectives of the national Healthcare Identifiers Service. </w:t>
            </w:r>
          </w:p>
          <w:p w14:paraId="6835EBF4" w14:textId="77777777" w:rsidR="007401FB" w:rsidRDefault="007401FB" w:rsidP="007401FB">
            <w:pPr>
              <w:pStyle w:val="ListBullet"/>
              <w:rPr>
                <w:lang w:bidi="en-US"/>
              </w:rPr>
            </w:pPr>
            <w:r w:rsidRPr="000C2005">
              <w:rPr>
                <w:lang w:bidi="en-US"/>
              </w:rPr>
              <w:t>Displaying patient details consistently can help minimise clinical safety risks</w:t>
            </w:r>
            <w:r>
              <w:rPr>
                <w:lang w:bidi="en-US"/>
              </w:rPr>
              <w:t xml:space="preserve"> through accurate identification and matching</w:t>
            </w:r>
            <w:r w:rsidRPr="000C2005">
              <w:rPr>
                <w:lang w:bidi="en-US"/>
              </w:rPr>
              <w:t>.</w:t>
            </w:r>
          </w:p>
          <w:p w14:paraId="4A974358" w14:textId="225044D7" w:rsidR="007401FB" w:rsidRPr="007401FB" w:rsidRDefault="007401FB" w:rsidP="007401FB">
            <w:pPr>
              <w:pStyle w:val="ListBullet"/>
              <w:rPr>
                <w:lang w:bidi="en-US"/>
              </w:rPr>
            </w:pPr>
            <w:r>
              <w:rPr>
                <w:lang w:bidi="en-US"/>
              </w:rPr>
              <w:t>Inclusion of Indigenous status improves data quality and outcome measures of First Nations people and aligns with the national ‘Closing the Gap’ initiative.</w:t>
            </w:r>
          </w:p>
        </w:tc>
      </w:tr>
      <w:tr w:rsidR="007401FB" w14:paraId="6676DC78" w14:textId="77777777" w:rsidTr="00D15F2D">
        <w:trPr>
          <w:cnfStyle w:val="000000010000" w:firstRow="0" w:lastRow="0" w:firstColumn="0" w:lastColumn="0" w:oddVBand="0" w:evenVBand="0" w:oddHBand="0" w:evenHBand="1" w:firstRowFirstColumn="0" w:firstRowLastColumn="0" w:lastRowFirstColumn="0" w:lastRowLastColumn="0"/>
        </w:trPr>
        <w:tc>
          <w:tcPr>
            <w:tcW w:w="2197" w:type="pct"/>
          </w:tcPr>
          <w:p w14:paraId="09B08834" w14:textId="5FBC8735" w:rsidR="007401FB" w:rsidRDefault="007401FB" w:rsidP="00C16C1C">
            <w:pPr>
              <w:rPr>
                <w:lang w:bidi="en-US"/>
              </w:rPr>
            </w:pPr>
            <w:r w:rsidRPr="000C2005">
              <w:rPr>
                <w:lang w:bidi="en-US"/>
              </w:rPr>
              <w:t xml:space="preserve">Ensure the patient’s details are always visible, regardless of </w:t>
            </w:r>
            <w:r w:rsidRPr="00C16C1C">
              <w:t>whether</w:t>
            </w:r>
            <w:r w:rsidRPr="000C2005">
              <w:rPr>
                <w:lang w:bidi="en-US"/>
              </w:rPr>
              <w:t xml:space="preserve"> the user scrolls up or down</w:t>
            </w:r>
            <w:r w:rsidR="00667C32">
              <w:rPr>
                <w:lang w:bidi="en-US"/>
              </w:rPr>
              <w:t>.</w:t>
            </w:r>
          </w:p>
        </w:tc>
        <w:tc>
          <w:tcPr>
            <w:tcW w:w="2803" w:type="pct"/>
          </w:tcPr>
          <w:p w14:paraId="5465F50D" w14:textId="37C0A93E" w:rsidR="007401FB" w:rsidRPr="00113133" w:rsidRDefault="007401FB" w:rsidP="00113133">
            <w:r w:rsidRPr="00113133">
              <w:t xml:space="preserve">Displaying hospital information in a static position allows this information to be readily available regardless of the section of the </w:t>
            </w:r>
            <w:r w:rsidR="00721ABD">
              <w:t>EDS</w:t>
            </w:r>
            <w:r w:rsidR="00CC5A0A" w:rsidRPr="00113133">
              <w:t xml:space="preserve"> </w:t>
            </w:r>
            <w:r w:rsidRPr="00113133">
              <w:t>that is being</w:t>
            </w:r>
            <w:r w:rsidR="00721ABD">
              <w:t> </w:t>
            </w:r>
            <w:r w:rsidRPr="00113133">
              <w:t>reviewed</w:t>
            </w:r>
            <w:r w:rsidR="00667C32" w:rsidRPr="00113133">
              <w:t>.</w:t>
            </w:r>
          </w:p>
        </w:tc>
      </w:tr>
      <w:tr w:rsidR="007401FB" w14:paraId="651A17C3" w14:textId="77777777" w:rsidTr="00D15F2D">
        <w:tc>
          <w:tcPr>
            <w:tcW w:w="2197" w:type="pct"/>
          </w:tcPr>
          <w:p w14:paraId="78F4E53F" w14:textId="6C53A3B7" w:rsidR="007401FB" w:rsidRPr="002D2614" w:rsidRDefault="007401FB" w:rsidP="00113133">
            <w:pPr>
              <w:rPr>
                <w:lang w:bidi="en-US"/>
              </w:rPr>
            </w:pPr>
            <w:r w:rsidRPr="002D2614">
              <w:rPr>
                <w:lang w:bidi="en-US"/>
              </w:rPr>
              <w:t xml:space="preserve">If a patient is deceased, display ‘DECEASED’ </w:t>
            </w:r>
            <w:r w:rsidRPr="007401FB">
              <w:t>next to the patient’s</w:t>
            </w:r>
            <w:r w:rsidRPr="002D2614">
              <w:rPr>
                <w:lang w:bidi="en-US"/>
              </w:rPr>
              <w:t xml:space="preserve"> name in bold, upper-case letters</w:t>
            </w:r>
            <w:r w:rsidR="00667C32">
              <w:rPr>
                <w:lang w:bidi="en-US"/>
              </w:rPr>
              <w:t>.</w:t>
            </w:r>
          </w:p>
        </w:tc>
        <w:tc>
          <w:tcPr>
            <w:tcW w:w="2803" w:type="pct"/>
          </w:tcPr>
          <w:p w14:paraId="660B932D" w14:textId="2B7B1722" w:rsidR="007401FB" w:rsidRPr="00113133" w:rsidRDefault="007401FB" w:rsidP="00113133">
            <w:r w:rsidRPr="00113133">
              <w:t xml:space="preserve">Healthcare providers should be able to immediately identify whether the patient for whom </w:t>
            </w:r>
            <w:r w:rsidR="001570A8">
              <w:t xml:space="preserve">the EDS </w:t>
            </w:r>
            <w:r w:rsidRPr="00113133">
              <w:t>has been written is deceased</w:t>
            </w:r>
            <w:r w:rsidR="00667C32" w:rsidRPr="00113133">
              <w:t>.</w:t>
            </w:r>
          </w:p>
        </w:tc>
      </w:tr>
    </w:tbl>
    <w:bookmarkEnd w:id="27"/>
    <w:p w14:paraId="3A20E4A2" w14:textId="77777777" w:rsidR="009768BA" w:rsidRDefault="009768BA" w:rsidP="00FA37BA">
      <w:pPr>
        <w:pStyle w:val="Heading3"/>
        <w:spacing w:after="240"/>
        <w:rPr>
          <w:rFonts w:eastAsiaTheme="minorEastAsia"/>
        </w:rPr>
      </w:pPr>
      <w:r>
        <w:rPr>
          <w:rFonts w:eastAsiaTheme="minorEastAsia"/>
        </w:rPr>
        <w:lastRenderedPageBreak/>
        <w:t>Hospital details</w:t>
      </w:r>
    </w:p>
    <w:tbl>
      <w:tblPr>
        <w:tblStyle w:val="SQHTable"/>
        <w:tblW w:w="5000" w:type="pct"/>
        <w:tblLook w:val="0420" w:firstRow="1" w:lastRow="0" w:firstColumn="0" w:lastColumn="0" w:noHBand="0" w:noVBand="1"/>
        <w:tblCaption w:val="Hospital details"/>
      </w:tblPr>
      <w:tblGrid>
        <w:gridCol w:w="3920"/>
        <w:gridCol w:w="5264"/>
      </w:tblGrid>
      <w:tr w:rsidR="009768BA" w:rsidRPr="000C2005" w14:paraId="541F326D" w14:textId="77777777" w:rsidTr="00D15F2D">
        <w:trPr>
          <w:cnfStyle w:val="100000000000" w:firstRow="1" w:lastRow="0" w:firstColumn="0" w:lastColumn="0" w:oddVBand="0" w:evenVBand="0" w:oddHBand="0" w:evenHBand="0" w:firstRowFirstColumn="0" w:firstRowLastColumn="0" w:lastRowFirstColumn="0" w:lastRowLastColumn="0"/>
        </w:trPr>
        <w:tc>
          <w:tcPr>
            <w:tcW w:w="2134" w:type="pct"/>
            <w:tcBorders>
              <w:right w:val="single" w:sz="12" w:space="0" w:color="FFFFFF" w:themeColor="background1"/>
            </w:tcBorders>
          </w:tcPr>
          <w:p w14:paraId="1AEFFA76" w14:textId="77777777" w:rsidR="009768BA" w:rsidRPr="001570A8" w:rsidRDefault="009768BA" w:rsidP="001570A8">
            <w:r w:rsidRPr="001570A8">
              <w:t>Recommendation</w:t>
            </w:r>
          </w:p>
        </w:tc>
        <w:tc>
          <w:tcPr>
            <w:tcW w:w="2866" w:type="pct"/>
            <w:tcBorders>
              <w:left w:val="single" w:sz="12" w:space="0" w:color="FFFFFF" w:themeColor="background1"/>
            </w:tcBorders>
          </w:tcPr>
          <w:p w14:paraId="03685205" w14:textId="77777777" w:rsidR="009768BA" w:rsidRPr="001570A8" w:rsidRDefault="009768BA" w:rsidP="001570A8">
            <w:r w:rsidRPr="001570A8">
              <w:t xml:space="preserve">Rationale </w:t>
            </w:r>
          </w:p>
        </w:tc>
      </w:tr>
      <w:tr w:rsidR="009768BA" w:rsidRPr="000C2005" w14:paraId="0D4398AB" w14:textId="77777777" w:rsidTr="00D15F2D">
        <w:trPr>
          <w:trHeight w:val="862"/>
        </w:trPr>
        <w:tc>
          <w:tcPr>
            <w:tcW w:w="2134" w:type="pct"/>
            <w:tcBorders>
              <w:right w:val="single" w:sz="12" w:space="0" w:color="FFFFFF" w:themeColor="background1"/>
            </w:tcBorders>
          </w:tcPr>
          <w:p w14:paraId="4BDE6AAB" w14:textId="7CFBBDD8" w:rsidR="009768BA" w:rsidRPr="00C96051" w:rsidRDefault="009768BA" w:rsidP="00C96051">
            <w:r w:rsidRPr="00C96051">
              <w:t>Include the facility’s unique national identifier known as the Healthcare Provider Identifier – Organisation (HPI</w:t>
            </w:r>
            <w:r w:rsidR="00CC5A0A">
              <w:noBreakHyphen/>
            </w:r>
            <w:r w:rsidRPr="00C96051">
              <w:t>O).</w:t>
            </w:r>
          </w:p>
        </w:tc>
        <w:tc>
          <w:tcPr>
            <w:tcW w:w="2866" w:type="pct"/>
            <w:tcBorders>
              <w:left w:val="single" w:sz="12" w:space="0" w:color="FFFFFF" w:themeColor="background1"/>
            </w:tcBorders>
          </w:tcPr>
          <w:p w14:paraId="2EAF119E" w14:textId="77777777" w:rsidR="009768BA" w:rsidRPr="00C96051" w:rsidRDefault="009768BA" w:rsidP="00C96051">
            <w:r w:rsidRPr="00C96051">
              <w:t>Aligns with the objectives of the national Healthcare Identifiers Service and is a foundational element to enable interoperability.</w:t>
            </w:r>
          </w:p>
        </w:tc>
      </w:tr>
      <w:tr w:rsidR="001570A8" w:rsidRPr="000C2005" w14:paraId="29E31E40" w14:textId="77777777" w:rsidTr="00D15F2D">
        <w:trPr>
          <w:cnfStyle w:val="000000010000" w:firstRow="0" w:lastRow="0" w:firstColumn="0" w:lastColumn="0" w:oddVBand="0" w:evenVBand="0" w:oddHBand="0" w:evenHBand="1" w:firstRowFirstColumn="0" w:firstRowLastColumn="0" w:lastRowFirstColumn="0" w:lastRowLastColumn="0"/>
        </w:trPr>
        <w:tc>
          <w:tcPr>
            <w:tcW w:w="2134" w:type="pct"/>
            <w:tcBorders>
              <w:right w:val="single" w:sz="12" w:space="0" w:color="FFFFFF" w:themeColor="background1"/>
            </w:tcBorders>
          </w:tcPr>
          <w:p w14:paraId="7544896C" w14:textId="1ABEF9D7" w:rsidR="001570A8" w:rsidRPr="00C96051" w:rsidRDefault="001570A8" w:rsidP="001570A8">
            <w:r w:rsidRPr="00C96051">
              <w:t xml:space="preserve">Display the hospital details in the upper right corner of the </w:t>
            </w:r>
            <w:r w:rsidRPr="00461DC7">
              <w:rPr>
                <w:lang w:val="en-GB"/>
              </w:rPr>
              <w:t>EDS</w:t>
            </w:r>
            <w:r w:rsidRPr="00D87A3B">
              <w:t>,</w:t>
            </w:r>
            <w:r w:rsidRPr="00C96051">
              <w:t xml:space="preserve"> within the document </w:t>
            </w:r>
            <w:r w:rsidRPr="00461DC7">
              <w:t>‘Header’ component</w:t>
            </w:r>
            <w:r>
              <w:t>.</w:t>
            </w:r>
          </w:p>
        </w:tc>
        <w:tc>
          <w:tcPr>
            <w:tcW w:w="2866" w:type="pct"/>
            <w:tcBorders>
              <w:left w:val="single" w:sz="12" w:space="0" w:color="FFFFFF" w:themeColor="background1"/>
            </w:tcBorders>
          </w:tcPr>
          <w:p w14:paraId="6158E201" w14:textId="6A8D20C1" w:rsidR="001570A8" w:rsidRPr="00C96051" w:rsidRDefault="001570A8" w:rsidP="001570A8">
            <w:r w:rsidRPr="00C96051">
              <w:t>Stakeholder consultation revealed that details of the treating hospital are critical pieces of information. They allow the healthcare provider to seek additional information on the patient’s episode of care, if</w:t>
            </w:r>
            <w:r>
              <w:t> </w:t>
            </w:r>
            <w:r w:rsidRPr="00C96051">
              <w:t>required.</w:t>
            </w:r>
          </w:p>
        </w:tc>
      </w:tr>
      <w:tr w:rsidR="001570A8" w:rsidRPr="000C2005" w14:paraId="4F0A4991" w14:textId="77777777" w:rsidTr="00D15F2D">
        <w:trPr>
          <w:trHeight w:val="916"/>
        </w:trPr>
        <w:tc>
          <w:tcPr>
            <w:tcW w:w="2134" w:type="pct"/>
            <w:tcBorders>
              <w:right w:val="single" w:sz="12" w:space="0" w:color="FFFFFF" w:themeColor="background1"/>
            </w:tcBorders>
          </w:tcPr>
          <w:p w14:paraId="090C4795" w14:textId="6AA1BE6A" w:rsidR="001570A8" w:rsidRPr="00C96051" w:rsidRDefault="001570A8" w:rsidP="001570A8">
            <w:r w:rsidRPr="00C96051">
              <w:t>Display the hospital name on a single line, in bold, with a larger font.</w:t>
            </w:r>
          </w:p>
        </w:tc>
        <w:tc>
          <w:tcPr>
            <w:tcW w:w="2866" w:type="pct"/>
            <w:tcBorders>
              <w:left w:val="single" w:sz="12" w:space="0" w:color="FFFFFF" w:themeColor="background1"/>
            </w:tcBorders>
          </w:tcPr>
          <w:p w14:paraId="3722D9CC" w14:textId="22C3FC4D" w:rsidR="001570A8" w:rsidRPr="00C96051" w:rsidRDefault="001570A8" w:rsidP="001570A8">
            <w:r w:rsidRPr="00C96051">
              <w:t>Presenting the hospital name in bold and using a larger font improves contrast and visibility of critical</w:t>
            </w:r>
            <w:r>
              <w:t> </w:t>
            </w:r>
            <w:r w:rsidRPr="00C96051">
              <w:t>information.</w:t>
            </w:r>
          </w:p>
        </w:tc>
      </w:tr>
      <w:tr w:rsidR="001570A8" w:rsidRPr="000C2005" w14:paraId="652A21BD" w14:textId="77777777" w:rsidTr="00D15F2D">
        <w:trPr>
          <w:cnfStyle w:val="000000010000" w:firstRow="0" w:lastRow="0" w:firstColumn="0" w:lastColumn="0" w:oddVBand="0" w:evenVBand="0" w:oddHBand="0" w:evenHBand="1" w:firstRowFirstColumn="0" w:firstRowLastColumn="0" w:lastRowFirstColumn="0" w:lastRowLastColumn="0"/>
          <w:trHeight w:val="1243"/>
        </w:trPr>
        <w:tc>
          <w:tcPr>
            <w:tcW w:w="2134" w:type="pct"/>
            <w:tcBorders>
              <w:bottom w:val="single" w:sz="4" w:space="0" w:color="FFFFFF" w:themeColor="background1"/>
              <w:right w:val="single" w:sz="12" w:space="0" w:color="FFFFFF" w:themeColor="background1"/>
            </w:tcBorders>
          </w:tcPr>
          <w:p w14:paraId="0D686CA2" w14:textId="77777777" w:rsidR="001570A8" w:rsidRPr="007B4649" w:rsidRDefault="001570A8" w:rsidP="001570A8">
            <w:r w:rsidRPr="007B4649">
              <w:t>Display the hospital details in the following</w:t>
            </w:r>
            <w:r>
              <w:rPr>
                <w:rFonts w:eastAsiaTheme="minorEastAsia"/>
              </w:rPr>
              <w:t> </w:t>
            </w:r>
            <w:r w:rsidRPr="007B4649">
              <w:t>order:</w:t>
            </w:r>
          </w:p>
          <w:p w14:paraId="7A1C3C3E" w14:textId="77777777" w:rsidR="001570A8" w:rsidRPr="00E144EC" w:rsidRDefault="001570A8" w:rsidP="001570A8">
            <w:pPr>
              <w:pStyle w:val="ListBullet"/>
              <w:rPr>
                <w:rFonts w:eastAsiaTheme="minorEastAsia"/>
              </w:rPr>
            </w:pPr>
            <w:r>
              <w:rPr>
                <w:rFonts w:eastAsiaTheme="minorEastAsia"/>
              </w:rPr>
              <w:t>L</w:t>
            </w:r>
            <w:r w:rsidRPr="00E144EC">
              <w:rPr>
                <w:rFonts w:eastAsiaTheme="minorEastAsia"/>
              </w:rPr>
              <w:t xml:space="preserve">ocal </w:t>
            </w:r>
            <w:r>
              <w:rPr>
                <w:rFonts w:eastAsiaTheme="minorEastAsia"/>
              </w:rPr>
              <w:t>h</w:t>
            </w:r>
            <w:r w:rsidRPr="00E144EC">
              <w:rPr>
                <w:rFonts w:eastAsiaTheme="minorEastAsia"/>
              </w:rPr>
              <w:t xml:space="preserve">ealth </w:t>
            </w:r>
            <w:r>
              <w:rPr>
                <w:rFonts w:eastAsiaTheme="minorEastAsia"/>
              </w:rPr>
              <w:t>d</w:t>
            </w:r>
            <w:r w:rsidRPr="00E144EC">
              <w:rPr>
                <w:rFonts w:eastAsiaTheme="minorEastAsia"/>
              </w:rPr>
              <w:t xml:space="preserve">istrict, </w:t>
            </w:r>
            <w:r>
              <w:rPr>
                <w:rFonts w:eastAsiaTheme="minorEastAsia"/>
              </w:rPr>
              <w:t>or equivalent</w:t>
            </w:r>
          </w:p>
          <w:p w14:paraId="28401BF9" w14:textId="77777777" w:rsidR="001570A8" w:rsidRPr="00E144EC" w:rsidRDefault="001570A8" w:rsidP="001570A8">
            <w:pPr>
              <w:pStyle w:val="ListBullet"/>
              <w:rPr>
                <w:rFonts w:eastAsiaTheme="minorEastAsia"/>
              </w:rPr>
            </w:pPr>
            <w:r>
              <w:rPr>
                <w:rFonts w:eastAsiaTheme="minorEastAsia"/>
              </w:rPr>
              <w:t>A</w:t>
            </w:r>
            <w:r w:rsidRPr="00E144EC">
              <w:rPr>
                <w:rFonts w:eastAsiaTheme="minorEastAsia"/>
              </w:rPr>
              <w:t>ddress</w:t>
            </w:r>
          </w:p>
          <w:p w14:paraId="21F5D985" w14:textId="3E7DE644" w:rsidR="001570A8" w:rsidRPr="008A5B36" w:rsidRDefault="001570A8" w:rsidP="001570A8">
            <w:pPr>
              <w:pStyle w:val="ListBullet"/>
              <w:rPr>
                <w:rFonts w:eastAsiaTheme="minorEastAsia"/>
              </w:rPr>
            </w:pPr>
            <w:r>
              <w:rPr>
                <w:rFonts w:eastAsiaTheme="minorEastAsia"/>
              </w:rPr>
              <w:t>Phone number (where possible, include ward phone number in addition to main hospital number).</w:t>
            </w:r>
          </w:p>
        </w:tc>
        <w:tc>
          <w:tcPr>
            <w:tcW w:w="2866" w:type="pct"/>
            <w:tcBorders>
              <w:left w:val="single" w:sz="12" w:space="0" w:color="FFFFFF" w:themeColor="background1"/>
              <w:bottom w:val="single" w:sz="4" w:space="0" w:color="FFFFFF" w:themeColor="background1"/>
            </w:tcBorders>
          </w:tcPr>
          <w:p w14:paraId="6FA69835" w14:textId="79A15550" w:rsidR="001570A8" w:rsidRPr="00E26E5B" w:rsidRDefault="001570A8" w:rsidP="001570A8">
            <w:r w:rsidRPr="00E26E5B">
              <w:t>Hospital phone numbers are included in case the primary healthcare provider needs to contact the author or senior clinician for clarification.</w:t>
            </w:r>
          </w:p>
        </w:tc>
      </w:tr>
      <w:tr w:rsidR="001570A8" w:rsidRPr="000C2005" w14:paraId="64D79335" w14:textId="77777777" w:rsidTr="00D15F2D">
        <w:tc>
          <w:tcPr>
            <w:tcW w:w="2134" w:type="pct"/>
            <w:tcBorders>
              <w:bottom w:val="single" w:sz="4" w:space="0" w:color="E9E0FF"/>
              <w:right w:val="single" w:sz="12" w:space="0" w:color="FFFFFF" w:themeColor="background1"/>
            </w:tcBorders>
          </w:tcPr>
          <w:p w14:paraId="3D52E6A8" w14:textId="77777777" w:rsidR="001570A8" w:rsidRDefault="001570A8" w:rsidP="001570A8">
            <w:r w:rsidRPr="00E144EC">
              <w:t xml:space="preserve">Ensure the hospital details are always visible, regardless of whether the </w:t>
            </w:r>
            <w:r w:rsidRPr="00E26E5B">
              <w:t>user</w:t>
            </w:r>
            <w:r w:rsidRPr="00E144EC">
              <w:t xml:space="preserve"> scrolls up or</w:t>
            </w:r>
            <w:r>
              <w:rPr>
                <w:rFonts w:eastAsiaTheme="minorEastAsia"/>
              </w:rPr>
              <w:t> </w:t>
            </w:r>
            <w:r w:rsidRPr="00E144EC">
              <w:t>down</w:t>
            </w:r>
            <w:r>
              <w:rPr>
                <w:rFonts w:eastAsiaTheme="minorEastAsia"/>
              </w:rPr>
              <w:t>.</w:t>
            </w:r>
          </w:p>
          <w:p w14:paraId="3D80E000" w14:textId="77777777" w:rsidR="001570A8" w:rsidRPr="00E144EC" w:rsidRDefault="001570A8" w:rsidP="001570A8">
            <w:pPr>
              <w:pStyle w:val="ListParagraph"/>
              <w:ind w:left="284"/>
              <w:rPr>
                <w:rFonts w:eastAsiaTheme="minorEastAsia"/>
              </w:rPr>
            </w:pPr>
          </w:p>
        </w:tc>
        <w:tc>
          <w:tcPr>
            <w:tcW w:w="2866" w:type="pct"/>
            <w:tcBorders>
              <w:left w:val="single" w:sz="12" w:space="0" w:color="FFFFFF" w:themeColor="background1"/>
              <w:bottom w:val="single" w:sz="4" w:space="0" w:color="E9E0FF"/>
            </w:tcBorders>
          </w:tcPr>
          <w:p w14:paraId="141E2E01" w14:textId="118A77E4" w:rsidR="001570A8" w:rsidRPr="00E26E5B" w:rsidRDefault="001570A8" w:rsidP="001570A8">
            <w:r w:rsidRPr="00E26E5B">
              <w:t xml:space="preserve">Displaying hospital information in a static position allows this information to be readily available regardless of the section of the </w:t>
            </w:r>
            <w:r w:rsidRPr="00461DC7">
              <w:rPr>
                <w:lang w:val="en-GB"/>
              </w:rPr>
              <w:t>EDS</w:t>
            </w:r>
            <w:r w:rsidRPr="00E26E5B">
              <w:t xml:space="preserve"> that is being</w:t>
            </w:r>
            <w:r>
              <w:t> </w:t>
            </w:r>
            <w:r w:rsidRPr="00E26E5B">
              <w:t>reviewed.</w:t>
            </w:r>
          </w:p>
        </w:tc>
      </w:tr>
    </w:tbl>
    <w:p w14:paraId="36DD70B1" w14:textId="77777777" w:rsidR="00666185" w:rsidRDefault="00666185" w:rsidP="00DF423A">
      <w:pPr>
        <w:pStyle w:val="Heading2"/>
        <w:rPr>
          <w:highlight w:val="yellow"/>
          <w:lang w:val="en-GB"/>
        </w:rPr>
      </w:pPr>
      <w:bookmarkStart w:id="28" w:name="_Toc194398967"/>
      <w:bookmarkStart w:id="29" w:name="_Toc196287152"/>
      <w:r>
        <w:rPr>
          <w:highlight w:val="yellow"/>
          <w:lang w:val="en-GB"/>
        </w:rPr>
        <w:br w:type="page"/>
      </w:r>
    </w:p>
    <w:p w14:paraId="0F0FD4C4" w14:textId="114E87D1" w:rsidR="009768BA" w:rsidRPr="008E6D38" w:rsidRDefault="009768BA" w:rsidP="00DF423A">
      <w:pPr>
        <w:pStyle w:val="Heading2"/>
        <w:rPr>
          <w:lang w:val="en-GB"/>
        </w:rPr>
      </w:pPr>
      <w:bookmarkStart w:id="30" w:name="_Toc209177883"/>
      <w:r w:rsidRPr="008E6D38">
        <w:rPr>
          <w:lang w:val="en-GB"/>
        </w:rPr>
        <w:lastRenderedPageBreak/>
        <w:t>Body</w:t>
      </w:r>
      <w:bookmarkEnd w:id="28"/>
      <w:bookmarkEnd w:id="29"/>
      <w:bookmarkEnd w:id="30"/>
    </w:p>
    <w:p w14:paraId="6D621BEC" w14:textId="45D36EB7" w:rsidR="009768BA" w:rsidRDefault="009768BA" w:rsidP="009768BA">
      <w:pPr>
        <w:spacing w:after="0"/>
        <w:rPr>
          <w:rFonts w:eastAsiaTheme="minorEastAsia"/>
        </w:rPr>
      </w:pPr>
      <w:r>
        <w:rPr>
          <w:rFonts w:eastAsiaTheme="minorEastAsia"/>
        </w:rPr>
        <w:t>The following sub-headings represent the sections within the body of a CDA</w:t>
      </w:r>
      <w:r w:rsidR="00BF35FF">
        <w:rPr>
          <w:rFonts w:eastAsiaTheme="minorEastAsia"/>
        </w:rPr>
        <w:t xml:space="preserve"> </w:t>
      </w:r>
      <w:r>
        <w:rPr>
          <w:rFonts w:eastAsiaTheme="minorEastAsia"/>
        </w:rPr>
        <w:t>structured electronic discharge summary (EDS).</w:t>
      </w:r>
    </w:p>
    <w:p w14:paraId="67D619D4" w14:textId="7016AA4E" w:rsidR="009768BA" w:rsidRDefault="009768BA" w:rsidP="009768BA">
      <w:pPr>
        <w:pStyle w:val="Heading3"/>
        <w:spacing w:after="0"/>
        <w:rPr>
          <w:rFonts w:eastAsiaTheme="minorEastAsia"/>
        </w:rPr>
      </w:pPr>
      <w:r>
        <w:rPr>
          <w:rFonts w:eastAsiaTheme="minorEastAsia"/>
        </w:rPr>
        <w:t>Author</w:t>
      </w:r>
    </w:p>
    <w:p w14:paraId="1BA9C5D7" w14:textId="309059AA" w:rsidR="009768BA" w:rsidRDefault="009768BA" w:rsidP="00C13EC6">
      <w:pPr>
        <w:spacing w:after="240"/>
        <w:rPr>
          <w:rFonts w:eastAsiaTheme="minorEastAsia"/>
        </w:rPr>
      </w:pPr>
      <w:r>
        <w:rPr>
          <w:rFonts w:eastAsiaTheme="minorEastAsia"/>
        </w:rPr>
        <w:t>This component should include information for the</w:t>
      </w:r>
      <w:r w:rsidR="008B793C">
        <w:rPr>
          <w:rFonts w:eastAsiaTheme="minorEastAsia"/>
        </w:rPr>
        <w:t xml:space="preserve"> EDS</w:t>
      </w:r>
      <w:r>
        <w:rPr>
          <w:rFonts w:eastAsiaTheme="minorEastAsia"/>
        </w:rPr>
        <w:t xml:space="preserve"> recipient to be able to identify the author of the document should any follow up contact be required. If there are multiple contributors to the EDS, the author details should correspond to the clinician with delegated authority to finalise and attest (or electronically signs) the EDS prior to transmission.</w:t>
      </w:r>
    </w:p>
    <w:tbl>
      <w:tblPr>
        <w:tblStyle w:val="SQHTable"/>
        <w:tblW w:w="5000" w:type="pct"/>
        <w:tblBorders>
          <w:top w:val="none" w:sz="0" w:space="0" w:color="auto"/>
          <w:insideV w:val="single" w:sz="12" w:space="0" w:color="FFFFFF" w:themeColor="background1"/>
        </w:tblBorders>
        <w:tblLook w:val="0420" w:firstRow="1" w:lastRow="0" w:firstColumn="0" w:lastColumn="0" w:noHBand="0" w:noVBand="1"/>
        <w:tblCaption w:val="Author"/>
      </w:tblPr>
      <w:tblGrid>
        <w:gridCol w:w="3475"/>
        <w:gridCol w:w="5709"/>
      </w:tblGrid>
      <w:tr w:rsidR="009768BA" w:rsidRPr="000C2005" w14:paraId="0E0D078B" w14:textId="77777777" w:rsidTr="00D15F2D">
        <w:trPr>
          <w:cnfStyle w:val="100000000000" w:firstRow="1" w:lastRow="0" w:firstColumn="0" w:lastColumn="0" w:oddVBand="0" w:evenVBand="0" w:oddHBand="0" w:evenHBand="0" w:firstRowFirstColumn="0" w:firstRowLastColumn="0" w:lastRowFirstColumn="0" w:lastRowLastColumn="0"/>
        </w:trPr>
        <w:tc>
          <w:tcPr>
            <w:tcW w:w="189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178B31" w14:textId="77777777" w:rsidR="009768BA" w:rsidRPr="00BF35FF" w:rsidRDefault="009768BA" w:rsidP="00BF35FF">
            <w:r w:rsidRPr="00BF35FF">
              <w:t>Recommendation</w:t>
            </w:r>
          </w:p>
        </w:tc>
        <w:tc>
          <w:tcPr>
            <w:tcW w:w="310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143B895" w14:textId="77777777" w:rsidR="009768BA" w:rsidRPr="00BF35FF" w:rsidRDefault="009768BA" w:rsidP="00BF35FF">
            <w:r w:rsidRPr="00BF35FF">
              <w:t xml:space="preserve">Rationale </w:t>
            </w:r>
          </w:p>
        </w:tc>
      </w:tr>
      <w:tr w:rsidR="009768BA" w:rsidRPr="000C2005" w14:paraId="5C8EA0EA" w14:textId="77777777" w:rsidTr="00D15F2D">
        <w:trPr>
          <w:trHeight w:val="1188"/>
        </w:trPr>
        <w:tc>
          <w:tcPr>
            <w:tcW w:w="1892" w:type="pct"/>
          </w:tcPr>
          <w:p w14:paraId="5345044C" w14:textId="536E3930" w:rsidR="009768BA" w:rsidRPr="005465E1" w:rsidRDefault="009768BA" w:rsidP="005465E1">
            <w:r w:rsidRPr="005465E1">
              <w:t>Display the name of the document’s author close to the hospital details.</w:t>
            </w:r>
          </w:p>
        </w:tc>
        <w:tc>
          <w:tcPr>
            <w:tcW w:w="3108" w:type="pct"/>
          </w:tcPr>
          <w:p w14:paraId="19C2ADB4" w14:textId="77777777" w:rsidR="009768BA" w:rsidRPr="005465E1" w:rsidRDefault="009768BA" w:rsidP="005465E1">
            <w:r w:rsidRPr="005465E1">
              <w:t>Stakeholder consultation highlighted that primary healthcare providers would like the author’s name displayed close to the hospital details. This allows healthcare providers to readily determine who they need to contact and how they can be contacted if further discussion is required.</w:t>
            </w:r>
          </w:p>
        </w:tc>
      </w:tr>
      <w:tr w:rsidR="009768BA" w:rsidRPr="000C2005" w14:paraId="4657D40F" w14:textId="77777777" w:rsidTr="00D15F2D">
        <w:trPr>
          <w:cnfStyle w:val="000000010000" w:firstRow="0" w:lastRow="0" w:firstColumn="0" w:lastColumn="0" w:oddVBand="0" w:evenVBand="0" w:oddHBand="0" w:evenHBand="1" w:firstRowFirstColumn="0" w:firstRowLastColumn="0" w:lastRowFirstColumn="0" w:lastRowLastColumn="0"/>
        </w:trPr>
        <w:tc>
          <w:tcPr>
            <w:tcW w:w="1892" w:type="pct"/>
          </w:tcPr>
          <w:p w14:paraId="66C018A2" w14:textId="77777777" w:rsidR="009768BA" w:rsidRPr="005465E1" w:rsidRDefault="009768BA" w:rsidP="005465E1">
            <w:r w:rsidRPr="005465E1">
              <w:t>Include additional information about the author including:</w:t>
            </w:r>
          </w:p>
          <w:p w14:paraId="727DE0B5" w14:textId="5D623042" w:rsidR="009768BA" w:rsidRPr="005465E1" w:rsidRDefault="005465E1" w:rsidP="005465E1">
            <w:pPr>
              <w:pStyle w:val="ListBullet"/>
              <w:rPr>
                <w:rFonts w:eastAsiaTheme="minorEastAsia"/>
              </w:rPr>
            </w:pPr>
            <w:r>
              <w:rPr>
                <w:rFonts w:eastAsiaTheme="minorEastAsia"/>
              </w:rPr>
              <w:t>A</w:t>
            </w:r>
            <w:r w:rsidR="009768BA" w:rsidRPr="005465E1">
              <w:rPr>
                <w:rFonts w:eastAsiaTheme="minorEastAsia"/>
              </w:rPr>
              <w:t>uthor</w:t>
            </w:r>
            <w:r w:rsidR="00D762A0" w:rsidRPr="005465E1">
              <w:rPr>
                <w:rFonts w:eastAsiaTheme="minorEastAsia"/>
              </w:rPr>
              <w:t>’</w:t>
            </w:r>
            <w:r w:rsidR="009768BA" w:rsidRPr="005465E1">
              <w:rPr>
                <w:rFonts w:eastAsiaTheme="minorEastAsia"/>
              </w:rPr>
              <w:t>s name</w:t>
            </w:r>
          </w:p>
          <w:p w14:paraId="62226222" w14:textId="741284EE" w:rsidR="009768BA" w:rsidRPr="005465E1" w:rsidRDefault="005465E1" w:rsidP="005465E1">
            <w:pPr>
              <w:pStyle w:val="ListBullet"/>
              <w:rPr>
                <w:rFonts w:eastAsiaTheme="minorEastAsia"/>
              </w:rPr>
            </w:pPr>
            <w:r>
              <w:rPr>
                <w:rFonts w:eastAsiaTheme="minorEastAsia"/>
              </w:rPr>
              <w:t>D</w:t>
            </w:r>
            <w:r w:rsidR="009768BA" w:rsidRPr="005465E1">
              <w:rPr>
                <w:rFonts w:eastAsiaTheme="minorEastAsia"/>
              </w:rPr>
              <w:t>esignation or job title</w:t>
            </w:r>
          </w:p>
          <w:p w14:paraId="5C1B9F39" w14:textId="7B33BDC9" w:rsidR="009768BA" w:rsidRPr="005465E1" w:rsidRDefault="005465E1" w:rsidP="005465E1">
            <w:pPr>
              <w:pStyle w:val="ListBullet"/>
              <w:rPr>
                <w:rFonts w:eastAsiaTheme="minorEastAsia"/>
              </w:rPr>
            </w:pPr>
            <w:r>
              <w:rPr>
                <w:rFonts w:eastAsiaTheme="minorEastAsia"/>
              </w:rPr>
              <w:t>P</w:t>
            </w:r>
            <w:r w:rsidR="009768BA" w:rsidRPr="005465E1">
              <w:rPr>
                <w:rFonts w:eastAsiaTheme="minorEastAsia"/>
              </w:rPr>
              <w:t>hone number or pager number if available</w:t>
            </w:r>
            <w:r w:rsidR="00C13EC6" w:rsidRPr="005465E1">
              <w:rPr>
                <w:rFonts w:eastAsiaTheme="minorEastAsia"/>
              </w:rPr>
              <w:t>.</w:t>
            </w:r>
          </w:p>
        </w:tc>
        <w:tc>
          <w:tcPr>
            <w:tcW w:w="3108" w:type="pct"/>
          </w:tcPr>
          <w:p w14:paraId="2AB824A0" w14:textId="6AE2A68F" w:rsidR="009768BA" w:rsidRPr="005465E1" w:rsidRDefault="009768BA" w:rsidP="005465E1">
            <w:r w:rsidRPr="005465E1">
              <w:t>Stakeholder consultation revealed challenges with contacting the author following discharge. Displaying the author’s designation or job title in a</w:t>
            </w:r>
            <w:r w:rsidR="00BF35FF">
              <w:t>n EDS</w:t>
            </w:r>
            <w:r w:rsidR="009178B6" w:rsidRPr="005465E1">
              <w:t xml:space="preserve"> </w:t>
            </w:r>
            <w:r w:rsidRPr="005465E1">
              <w:t>may facilitate efficient identification and contact (particularly if calling a hospital switchboard).</w:t>
            </w:r>
            <w:r w:rsidR="007F0839">
              <w:t xml:space="preserve"> </w:t>
            </w:r>
          </w:p>
          <w:p w14:paraId="7561DC92" w14:textId="4D4088E3" w:rsidR="009768BA" w:rsidRPr="005465E1" w:rsidRDefault="009768BA" w:rsidP="005465E1">
            <w:r w:rsidRPr="005465E1">
              <w:t>To minimise duplication, a phone number should only be included if it is different to the numbers provided under hospital details.</w:t>
            </w:r>
            <w:r w:rsidR="007F0839">
              <w:t xml:space="preserve"> </w:t>
            </w:r>
          </w:p>
        </w:tc>
      </w:tr>
    </w:tbl>
    <w:p w14:paraId="6D9ADC58" w14:textId="77777777" w:rsidR="009768BA" w:rsidRDefault="009768BA" w:rsidP="004151DE">
      <w:pPr>
        <w:pStyle w:val="Heading3"/>
        <w:spacing w:before="360"/>
      </w:pPr>
      <w:r>
        <w:t>Presentation details</w:t>
      </w:r>
    </w:p>
    <w:p w14:paraId="6904040B" w14:textId="7D2E72CD" w:rsidR="009768BA" w:rsidRPr="008F7640" w:rsidRDefault="009768BA" w:rsidP="009768BA">
      <w:pPr>
        <w:spacing w:before="0" w:after="0"/>
        <w:rPr>
          <w:rFonts w:eastAsiaTheme="minorEastAsia"/>
          <w:lang w:bidi="en-US"/>
        </w:rPr>
      </w:pPr>
      <w:r w:rsidRPr="00500A20">
        <w:rPr>
          <w:rFonts w:eastAsiaTheme="minorEastAsia"/>
        </w:rPr>
        <w:t xml:space="preserve">This </w:t>
      </w:r>
      <w:r>
        <w:rPr>
          <w:rFonts w:eastAsiaTheme="minorEastAsia"/>
        </w:rPr>
        <w:t>section includes administrative information, which provides context about</w:t>
      </w:r>
      <w:r w:rsidRPr="00500A20">
        <w:rPr>
          <w:rFonts w:eastAsiaTheme="minorEastAsia"/>
        </w:rPr>
        <w:t xml:space="preserve"> </w:t>
      </w:r>
      <w:r w:rsidR="00F71A48">
        <w:rPr>
          <w:rFonts w:eastAsiaTheme="minorEastAsia"/>
        </w:rPr>
        <w:t xml:space="preserve">the </w:t>
      </w:r>
      <w:r w:rsidRPr="00500A20">
        <w:rPr>
          <w:rFonts w:eastAsiaTheme="minorEastAsia"/>
        </w:rPr>
        <w:t>healthcare</w:t>
      </w:r>
      <w:r w:rsidR="00B0442F">
        <w:rPr>
          <w:rFonts w:eastAsiaTheme="minorEastAsia"/>
        </w:rPr>
        <w:t> </w:t>
      </w:r>
      <w:r w:rsidRPr="00500A20">
        <w:rPr>
          <w:rFonts w:eastAsiaTheme="minorEastAsia"/>
        </w:rPr>
        <w:t xml:space="preserve">encounter. </w:t>
      </w:r>
      <w:r>
        <w:rPr>
          <w:rFonts w:eastAsiaTheme="minorEastAsia"/>
        </w:rPr>
        <w:br/>
      </w:r>
    </w:p>
    <w:tbl>
      <w:tblPr>
        <w:tblStyle w:val="SQHTable"/>
        <w:tblW w:w="5000" w:type="pct"/>
        <w:tblBorders>
          <w:top w:val="none" w:sz="0" w:space="0" w:color="auto"/>
          <w:insideV w:val="single" w:sz="12" w:space="0" w:color="FFFFFF" w:themeColor="background1"/>
        </w:tblBorders>
        <w:tblLook w:val="0420" w:firstRow="1" w:lastRow="0" w:firstColumn="0" w:lastColumn="0" w:noHBand="0" w:noVBand="1"/>
        <w:tblCaption w:val="Presentation details"/>
      </w:tblPr>
      <w:tblGrid>
        <w:gridCol w:w="5812"/>
        <w:gridCol w:w="3372"/>
      </w:tblGrid>
      <w:tr w:rsidR="009768BA" w:rsidRPr="000C2005" w14:paraId="29D1B110" w14:textId="77777777" w:rsidTr="00D15F2D">
        <w:trPr>
          <w:cnfStyle w:val="100000000000" w:firstRow="1" w:lastRow="0" w:firstColumn="0" w:lastColumn="0" w:oddVBand="0" w:evenVBand="0" w:oddHBand="0" w:evenHBand="0" w:firstRowFirstColumn="0" w:firstRowLastColumn="0" w:lastRowFirstColumn="0" w:lastRowLastColumn="0"/>
        </w:trPr>
        <w:tc>
          <w:tcPr>
            <w:tcW w:w="316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1BFF5F" w14:textId="77777777" w:rsidR="009768BA" w:rsidRPr="00BF35FF" w:rsidRDefault="009768BA" w:rsidP="00BF35FF">
            <w:r w:rsidRPr="00BF35FF">
              <w:t>Recommendation</w:t>
            </w:r>
          </w:p>
        </w:tc>
        <w:tc>
          <w:tcPr>
            <w:tcW w:w="183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20D67F" w14:textId="77777777" w:rsidR="009768BA" w:rsidRPr="00BF35FF" w:rsidRDefault="009768BA" w:rsidP="00BF35FF">
            <w:r w:rsidRPr="00BF35FF">
              <w:t xml:space="preserve">Rationale </w:t>
            </w:r>
          </w:p>
        </w:tc>
      </w:tr>
      <w:tr w:rsidR="009768BA" w:rsidRPr="000C2005" w14:paraId="72A75FDF" w14:textId="77777777" w:rsidTr="00D15F2D">
        <w:tc>
          <w:tcPr>
            <w:tcW w:w="3164" w:type="pct"/>
          </w:tcPr>
          <w:p w14:paraId="62C5E91A" w14:textId="2746C42B" w:rsidR="009768BA" w:rsidRPr="007512D3" w:rsidRDefault="009768BA" w:rsidP="007512D3">
            <w:r w:rsidRPr="007512D3">
              <w:t>Display the presentation details in a horizontal table immediately following author details.</w:t>
            </w:r>
          </w:p>
        </w:tc>
        <w:tc>
          <w:tcPr>
            <w:tcW w:w="1836" w:type="pct"/>
          </w:tcPr>
          <w:p w14:paraId="5D8C83C1" w14:textId="77777777" w:rsidR="009768BA" w:rsidRPr="007512D3" w:rsidRDefault="009768BA" w:rsidP="007512D3">
            <w:r w:rsidRPr="007512D3">
              <w:t>Key details about the presentation or hospital encounter, presents contextual information concisely.</w:t>
            </w:r>
          </w:p>
        </w:tc>
      </w:tr>
      <w:tr w:rsidR="009768BA" w:rsidRPr="000C2005" w14:paraId="3BD39447" w14:textId="77777777" w:rsidTr="00D15F2D">
        <w:trPr>
          <w:cnfStyle w:val="000000010000" w:firstRow="0" w:lastRow="0" w:firstColumn="0" w:lastColumn="0" w:oddVBand="0" w:evenVBand="0" w:oddHBand="0" w:evenHBand="1" w:firstRowFirstColumn="0" w:firstRowLastColumn="0" w:lastRowFirstColumn="0" w:lastRowLastColumn="0"/>
        </w:trPr>
        <w:tc>
          <w:tcPr>
            <w:tcW w:w="3164" w:type="pct"/>
          </w:tcPr>
          <w:p w14:paraId="1A15E945" w14:textId="77777777" w:rsidR="009768BA" w:rsidRPr="007512D3" w:rsidRDefault="009768BA" w:rsidP="007512D3">
            <w:r w:rsidRPr="00294C00">
              <w:t>The following data</w:t>
            </w:r>
            <w:r>
              <w:t xml:space="preserve"> </w:t>
            </w:r>
            <w:r w:rsidRPr="007512D3">
              <w:t>elements should be included:</w:t>
            </w:r>
          </w:p>
          <w:p w14:paraId="55A2CE43" w14:textId="1F6C2DC8" w:rsidR="009768BA" w:rsidRPr="007512D3" w:rsidRDefault="007512D3" w:rsidP="007512D3">
            <w:pPr>
              <w:pStyle w:val="ListBullet"/>
              <w:rPr>
                <w:rFonts w:eastAsiaTheme="minorEastAsia"/>
              </w:rPr>
            </w:pPr>
            <w:r>
              <w:rPr>
                <w:rFonts w:eastAsiaTheme="minorEastAsia"/>
              </w:rPr>
              <w:t>P</w:t>
            </w:r>
            <w:r w:rsidR="009768BA" w:rsidRPr="007512D3">
              <w:rPr>
                <w:rFonts w:eastAsiaTheme="minorEastAsia"/>
              </w:rPr>
              <w:t>resentation date</w:t>
            </w:r>
          </w:p>
          <w:p w14:paraId="61CFC425" w14:textId="6CDDC887" w:rsidR="009768BA" w:rsidRPr="007512D3" w:rsidRDefault="007512D3" w:rsidP="007512D3">
            <w:pPr>
              <w:pStyle w:val="ListBullet"/>
              <w:rPr>
                <w:rFonts w:eastAsiaTheme="minorEastAsia"/>
              </w:rPr>
            </w:pPr>
            <w:r>
              <w:rPr>
                <w:rFonts w:eastAsiaTheme="minorEastAsia"/>
              </w:rPr>
              <w:t>D</w:t>
            </w:r>
            <w:r w:rsidR="009768BA" w:rsidRPr="007512D3">
              <w:rPr>
                <w:rFonts w:eastAsiaTheme="minorEastAsia"/>
              </w:rPr>
              <w:t>ischarge date</w:t>
            </w:r>
          </w:p>
          <w:p w14:paraId="7AA4972E" w14:textId="518FB242" w:rsidR="009768BA" w:rsidRPr="007512D3" w:rsidRDefault="007512D3" w:rsidP="007512D3">
            <w:pPr>
              <w:pStyle w:val="ListBullet"/>
              <w:rPr>
                <w:rFonts w:eastAsiaTheme="minorEastAsia"/>
              </w:rPr>
            </w:pPr>
            <w:r>
              <w:rPr>
                <w:rFonts w:eastAsiaTheme="minorEastAsia"/>
              </w:rPr>
              <w:t>L</w:t>
            </w:r>
            <w:r w:rsidR="009768BA" w:rsidRPr="007512D3">
              <w:rPr>
                <w:rFonts w:eastAsiaTheme="minorEastAsia"/>
              </w:rPr>
              <w:t>ength of stay (at hospital)</w:t>
            </w:r>
          </w:p>
          <w:p w14:paraId="1748B474" w14:textId="1916E51F" w:rsidR="009768BA" w:rsidRPr="007512D3" w:rsidRDefault="007512D3" w:rsidP="007512D3">
            <w:pPr>
              <w:pStyle w:val="ListBullet"/>
              <w:rPr>
                <w:rFonts w:eastAsiaTheme="minorEastAsia"/>
              </w:rPr>
            </w:pPr>
            <w:r>
              <w:rPr>
                <w:rFonts w:eastAsiaTheme="minorEastAsia"/>
              </w:rPr>
              <w:t>W</w:t>
            </w:r>
            <w:r w:rsidR="009768BA" w:rsidRPr="007512D3">
              <w:rPr>
                <w:rFonts w:eastAsiaTheme="minorEastAsia"/>
              </w:rPr>
              <w:t>ard/</w:t>
            </w:r>
            <w:r w:rsidR="00201AFE" w:rsidRPr="007512D3">
              <w:rPr>
                <w:rFonts w:eastAsiaTheme="minorEastAsia"/>
              </w:rPr>
              <w:t>u</w:t>
            </w:r>
            <w:r w:rsidR="009768BA" w:rsidRPr="007512D3">
              <w:rPr>
                <w:rFonts w:eastAsiaTheme="minorEastAsia"/>
              </w:rPr>
              <w:t>nit (the location from which the patient was</w:t>
            </w:r>
            <w:r w:rsidR="00E219CC">
              <w:rPr>
                <w:rFonts w:eastAsiaTheme="minorEastAsia"/>
              </w:rPr>
              <w:t> </w:t>
            </w:r>
            <w:r w:rsidR="009768BA" w:rsidRPr="007512D3">
              <w:rPr>
                <w:rFonts w:eastAsiaTheme="minorEastAsia"/>
              </w:rPr>
              <w:t>discharged)</w:t>
            </w:r>
          </w:p>
          <w:p w14:paraId="5B3F799D" w14:textId="2AFB3E43" w:rsidR="009768BA" w:rsidRPr="007512D3" w:rsidRDefault="007512D3" w:rsidP="007512D3">
            <w:pPr>
              <w:pStyle w:val="ListBullet"/>
              <w:rPr>
                <w:rFonts w:eastAsiaTheme="minorEastAsia"/>
              </w:rPr>
            </w:pPr>
            <w:r>
              <w:rPr>
                <w:rFonts w:eastAsiaTheme="minorEastAsia"/>
              </w:rPr>
              <w:t>E</w:t>
            </w:r>
            <w:r w:rsidR="009768BA" w:rsidRPr="007512D3">
              <w:rPr>
                <w:rFonts w:eastAsiaTheme="minorEastAsia"/>
              </w:rPr>
              <w:t>pisode type (</w:t>
            </w:r>
            <w:r w:rsidR="00692395" w:rsidRPr="007512D3">
              <w:rPr>
                <w:rFonts w:eastAsiaTheme="minorEastAsia"/>
              </w:rPr>
              <w:t xml:space="preserve">for example, </w:t>
            </w:r>
            <w:r w:rsidR="009768BA" w:rsidRPr="007512D3">
              <w:rPr>
                <w:rFonts w:eastAsiaTheme="minorEastAsia"/>
              </w:rPr>
              <w:t>emergency, medical, surgical, mental health)</w:t>
            </w:r>
          </w:p>
          <w:p w14:paraId="2D297412" w14:textId="02FFBDC6" w:rsidR="009768BA" w:rsidRPr="007512D3" w:rsidRDefault="007512D3" w:rsidP="007512D3">
            <w:pPr>
              <w:pStyle w:val="ListBullet"/>
              <w:rPr>
                <w:rFonts w:eastAsiaTheme="minorEastAsia"/>
              </w:rPr>
            </w:pPr>
            <w:r>
              <w:rPr>
                <w:rFonts w:eastAsiaTheme="minorEastAsia"/>
              </w:rPr>
              <w:t>S</w:t>
            </w:r>
            <w:r w:rsidR="009768BA" w:rsidRPr="007512D3">
              <w:rPr>
                <w:rFonts w:eastAsiaTheme="minorEastAsia"/>
              </w:rPr>
              <w:t>enior clinician (the healthcare professional responsible for the patient’s care at the time of</w:t>
            </w:r>
            <w:r w:rsidR="00E219CC">
              <w:rPr>
                <w:rFonts w:eastAsiaTheme="minorEastAsia"/>
              </w:rPr>
              <w:t> </w:t>
            </w:r>
            <w:r w:rsidR="009768BA" w:rsidRPr="007512D3">
              <w:rPr>
                <w:rFonts w:eastAsiaTheme="minorEastAsia"/>
              </w:rPr>
              <w:t>discharge)</w:t>
            </w:r>
          </w:p>
          <w:p w14:paraId="5AA80BAF" w14:textId="768B4CBA" w:rsidR="009768BA" w:rsidRPr="006368C7" w:rsidRDefault="007512D3" w:rsidP="007512D3">
            <w:pPr>
              <w:pStyle w:val="ListBullet"/>
              <w:rPr>
                <w:rFonts w:eastAsiaTheme="minorEastAsia"/>
              </w:rPr>
            </w:pPr>
            <w:r>
              <w:rPr>
                <w:rFonts w:eastAsiaTheme="minorEastAsia"/>
              </w:rPr>
              <w:t>D</w:t>
            </w:r>
            <w:r w:rsidR="009768BA" w:rsidRPr="007512D3">
              <w:rPr>
                <w:rFonts w:eastAsiaTheme="minorEastAsia"/>
              </w:rPr>
              <w:t>ischarge destination</w:t>
            </w:r>
            <w:r w:rsidR="006368C7">
              <w:rPr>
                <w:rFonts w:eastAsiaTheme="minorEastAsia"/>
                <w:lang w:bidi="en-US"/>
              </w:rPr>
              <w:t>.</w:t>
            </w:r>
          </w:p>
        </w:tc>
        <w:tc>
          <w:tcPr>
            <w:tcW w:w="1836" w:type="pct"/>
          </w:tcPr>
          <w:p w14:paraId="7BD52AB0" w14:textId="77777777" w:rsidR="009768BA" w:rsidRPr="00953A45" w:rsidRDefault="009768BA" w:rsidP="007512D3">
            <w:r>
              <w:t>These data elements are recommended based on consultation with healthcare providers and provide a more context for the hospital encounter.</w:t>
            </w:r>
          </w:p>
        </w:tc>
      </w:tr>
    </w:tbl>
    <w:p w14:paraId="3EEC48D3" w14:textId="772283F9" w:rsidR="009768BA" w:rsidRDefault="009768BA" w:rsidP="009768BA">
      <w:pPr>
        <w:pStyle w:val="Heading3"/>
        <w:spacing w:after="0"/>
        <w:rPr>
          <w:rFonts w:eastAsiaTheme="minorEastAsia"/>
        </w:rPr>
      </w:pPr>
      <w:r>
        <w:rPr>
          <w:rFonts w:eastAsiaTheme="minorEastAsia"/>
        </w:rPr>
        <w:lastRenderedPageBreak/>
        <w:t xml:space="preserve">Problems and </w:t>
      </w:r>
      <w:r w:rsidR="00583B39">
        <w:rPr>
          <w:rFonts w:eastAsiaTheme="minorEastAsia"/>
        </w:rPr>
        <w:t>d</w:t>
      </w:r>
      <w:r>
        <w:rPr>
          <w:rFonts w:eastAsiaTheme="minorEastAsia"/>
        </w:rPr>
        <w:t>iagnoses</w:t>
      </w:r>
    </w:p>
    <w:p w14:paraId="09B2A91D" w14:textId="0977B5C3" w:rsidR="009768BA" w:rsidRDefault="009768BA" w:rsidP="00583B39">
      <w:pPr>
        <w:spacing w:after="240"/>
        <w:rPr>
          <w:rFonts w:eastAsiaTheme="minorEastAsia"/>
        </w:rPr>
      </w:pPr>
      <w:r>
        <w:rPr>
          <w:rFonts w:eastAsiaTheme="minorEastAsia"/>
        </w:rPr>
        <w:t xml:space="preserve">This component of the </w:t>
      </w:r>
      <w:r w:rsidR="00BF35FF">
        <w:rPr>
          <w:rFonts w:eastAsiaTheme="minorEastAsia"/>
        </w:rPr>
        <w:t xml:space="preserve">EDS </w:t>
      </w:r>
      <w:r>
        <w:rPr>
          <w:rFonts w:eastAsiaTheme="minorEastAsia"/>
        </w:rPr>
        <w:t>should succinctly outline the reasons for the hospital encounter, diagnoses, and co-morbidities.</w:t>
      </w:r>
    </w:p>
    <w:tbl>
      <w:tblPr>
        <w:tblStyle w:val="SQHTable"/>
        <w:tblW w:w="5000" w:type="pct"/>
        <w:tblBorders>
          <w:top w:val="none" w:sz="0" w:space="0" w:color="auto"/>
          <w:insideV w:val="single" w:sz="12" w:space="0" w:color="FFFFFF" w:themeColor="background1"/>
        </w:tblBorders>
        <w:tblLook w:val="0420" w:firstRow="1" w:lastRow="0" w:firstColumn="0" w:lastColumn="0" w:noHBand="0" w:noVBand="1"/>
        <w:tblCaption w:val="Problems and diagnoses"/>
      </w:tblPr>
      <w:tblGrid>
        <w:gridCol w:w="4961"/>
        <w:gridCol w:w="4223"/>
      </w:tblGrid>
      <w:tr w:rsidR="009768BA" w:rsidRPr="000C2005" w14:paraId="3F2ED561" w14:textId="77777777" w:rsidTr="00D15F2D">
        <w:trPr>
          <w:cnfStyle w:val="100000000000" w:firstRow="1" w:lastRow="0" w:firstColumn="0" w:lastColumn="0" w:oddVBand="0" w:evenVBand="0" w:oddHBand="0" w:evenHBand="0" w:firstRowFirstColumn="0" w:firstRowLastColumn="0" w:lastRowFirstColumn="0" w:lastRowLastColumn="0"/>
        </w:trPr>
        <w:tc>
          <w:tcPr>
            <w:tcW w:w="2701"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60E6493" w14:textId="77777777" w:rsidR="009768BA" w:rsidRPr="00CB1E3F" w:rsidRDefault="009768BA" w:rsidP="00CB1E3F">
            <w:r w:rsidRPr="00CB1E3F">
              <w:t>Recommendation</w:t>
            </w:r>
          </w:p>
        </w:tc>
        <w:tc>
          <w:tcPr>
            <w:tcW w:w="2299"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135273C" w14:textId="77777777" w:rsidR="009768BA" w:rsidRPr="00CB1E3F" w:rsidRDefault="009768BA" w:rsidP="00CB1E3F">
            <w:r w:rsidRPr="00CB1E3F">
              <w:t xml:space="preserve">Rationale </w:t>
            </w:r>
          </w:p>
        </w:tc>
      </w:tr>
      <w:tr w:rsidR="009768BA" w:rsidRPr="000C2005" w14:paraId="5C66BAA3" w14:textId="77777777" w:rsidTr="00D15F2D">
        <w:tc>
          <w:tcPr>
            <w:tcW w:w="2701" w:type="pct"/>
          </w:tcPr>
          <w:p w14:paraId="02BCC701" w14:textId="14207938" w:rsidR="009768BA" w:rsidRDefault="009768BA" w:rsidP="001C743E">
            <w:r w:rsidRPr="00A82000">
              <w:t xml:space="preserve">The following </w:t>
            </w:r>
            <w:r w:rsidRPr="001C743E">
              <w:t>information</w:t>
            </w:r>
            <w:r w:rsidRPr="00A82000">
              <w:t xml:space="preserve"> </w:t>
            </w:r>
            <w:r>
              <w:t>should be included in a table</w:t>
            </w:r>
            <w:r w:rsidR="00583B39">
              <w:rPr>
                <w:rFonts w:eastAsiaTheme="minorEastAsia"/>
              </w:rPr>
              <w:t> </w:t>
            </w:r>
            <w:r>
              <w:t>format</w:t>
            </w:r>
            <w:r w:rsidRPr="00A82000">
              <w:t>:</w:t>
            </w:r>
          </w:p>
          <w:p w14:paraId="54736650" w14:textId="630AA391" w:rsidR="009768BA" w:rsidRPr="00D80CBF" w:rsidRDefault="009768BA" w:rsidP="001C743E">
            <w:pPr>
              <w:pStyle w:val="ListBullet"/>
              <w:rPr>
                <w:rFonts w:eastAsiaTheme="minorEastAsia"/>
              </w:rPr>
            </w:pPr>
            <w:r w:rsidRPr="00A82000">
              <w:rPr>
                <w:rFonts w:eastAsiaTheme="minorEastAsia"/>
                <w:b/>
                <w:bCs/>
                <w:lang w:bidi="en-US"/>
              </w:rPr>
              <w:t>Reason for presentation</w:t>
            </w:r>
            <w:r w:rsidRPr="00A82000">
              <w:rPr>
                <w:rFonts w:eastAsiaTheme="minorEastAsia"/>
                <w:lang w:bidi="en-US"/>
              </w:rPr>
              <w:t>: the symptom</w:t>
            </w:r>
            <w:r w:rsidR="00EC4DD4">
              <w:rPr>
                <w:rFonts w:eastAsiaTheme="minorEastAsia"/>
                <w:lang w:bidi="en-US"/>
              </w:rPr>
              <w:t>(s)</w:t>
            </w:r>
            <w:r w:rsidRPr="00A82000">
              <w:rPr>
                <w:rFonts w:eastAsiaTheme="minorEastAsia"/>
                <w:lang w:bidi="en-US"/>
              </w:rPr>
              <w:t xml:space="preserve"> or injury that was reported as the reason for initial presentation to the health service.</w:t>
            </w:r>
          </w:p>
          <w:p w14:paraId="6A28FEE6" w14:textId="1DC766A8" w:rsidR="009768BA" w:rsidRPr="00D80CBF" w:rsidRDefault="009768BA" w:rsidP="001C743E">
            <w:pPr>
              <w:pStyle w:val="ListBullet"/>
              <w:rPr>
                <w:rFonts w:eastAsiaTheme="minorEastAsia"/>
              </w:rPr>
            </w:pPr>
            <w:r w:rsidRPr="00A82000">
              <w:rPr>
                <w:rFonts w:eastAsiaTheme="minorEastAsia"/>
                <w:b/>
                <w:bCs/>
              </w:rPr>
              <w:t>Principal diagnosis</w:t>
            </w:r>
            <w:r w:rsidRPr="00A82000">
              <w:rPr>
                <w:rFonts w:eastAsiaTheme="minorEastAsia"/>
              </w:rPr>
              <w:t xml:space="preserve">: </w:t>
            </w:r>
            <w:r w:rsidRPr="00A82000">
              <w:rPr>
                <w:rFonts w:eastAsiaTheme="minorEastAsia"/>
                <w:lang w:bidi="en-US"/>
              </w:rPr>
              <w:t>The diagnosis established following medical assessment and determined to be the primary cause for admission to the health</w:t>
            </w:r>
            <w:r w:rsidR="00EC07A6">
              <w:rPr>
                <w:rFonts w:eastAsiaTheme="minorEastAsia"/>
                <w:lang w:bidi="en-US"/>
              </w:rPr>
              <w:t> </w:t>
            </w:r>
            <w:r w:rsidRPr="00A82000">
              <w:rPr>
                <w:rFonts w:eastAsiaTheme="minorEastAsia"/>
                <w:lang w:bidi="en-US"/>
              </w:rPr>
              <w:t>service.</w:t>
            </w:r>
          </w:p>
          <w:p w14:paraId="41C7B6B7" w14:textId="38B48728" w:rsidR="009768BA" w:rsidRPr="00D80CBF" w:rsidRDefault="009768BA" w:rsidP="001C743E">
            <w:pPr>
              <w:pStyle w:val="ListBullet"/>
              <w:rPr>
                <w:rFonts w:eastAsiaTheme="minorEastAsia"/>
                <w:lang w:bidi="en-US"/>
              </w:rPr>
            </w:pPr>
            <w:r w:rsidRPr="00A82000">
              <w:rPr>
                <w:rFonts w:eastAsiaTheme="minorEastAsia"/>
                <w:b/>
                <w:bCs/>
              </w:rPr>
              <w:t>Secondary diagnoses</w:t>
            </w:r>
            <w:r w:rsidRPr="00A82000">
              <w:rPr>
                <w:rFonts w:eastAsiaTheme="minorEastAsia"/>
              </w:rPr>
              <w:t>:</w:t>
            </w:r>
            <w:r w:rsidRPr="00A82000">
              <w:rPr>
                <w:rFonts w:eastAsiaTheme="minorEastAsia"/>
                <w:lang w:bidi="en-US"/>
              </w:rPr>
              <w:t xml:space="preserve"> Other health conditions that were identified or diagnosed during the hospital</w:t>
            </w:r>
            <w:r w:rsidR="00AC32F5">
              <w:rPr>
                <w:rFonts w:eastAsiaTheme="minorEastAsia"/>
                <w:lang w:bidi="en-US"/>
              </w:rPr>
              <w:t> </w:t>
            </w:r>
            <w:r w:rsidRPr="00A82000">
              <w:rPr>
                <w:rFonts w:eastAsiaTheme="minorEastAsia"/>
                <w:lang w:bidi="en-US"/>
              </w:rPr>
              <w:t>encounter</w:t>
            </w:r>
            <w:r w:rsidR="00583B39">
              <w:rPr>
                <w:rFonts w:eastAsiaTheme="minorEastAsia"/>
                <w:lang w:bidi="en-US"/>
              </w:rPr>
              <w:t>.</w:t>
            </w:r>
          </w:p>
          <w:p w14:paraId="25B9594F" w14:textId="30849520" w:rsidR="009768BA" w:rsidRPr="00D80CBF" w:rsidRDefault="009768BA" w:rsidP="001C743E">
            <w:pPr>
              <w:pStyle w:val="ListBullet"/>
              <w:rPr>
                <w:rFonts w:eastAsiaTheme="minorEastAsia"/>
              </w:rPr>
            </w:pPr>
            <w:r w:rsidRPr="00A82000">
              <w:rPr>
                <w:rFonts w:eastAsiaTheme="minorEastAsia"/>
                <w:b/>
                <w:bCs/>
              </w:rPr>
              <w:t>Complications:</w:t>
            </w:r>
            <w:r w:rsidRPr="00A82000">
              <w:rPr>
                <w:rFonts w:eastAsiaTheme="minorEastAsia"/>
              </w:rPr>
              <w:t xml:space="preserve"> </w:t>
            </w:r>
            <w:r w:rsidRPr="00A82000">
              <w:rPr>
                <w:rFonts w:eastAsiaTheme="minorEastAsia"/>
                <w:lang w:bidi="en-US"/>
              </w:rPr>
              <w:t>Conditions that arise because of a procedure or treatment and other</w:t>
            </w:r>
            <w:r>
              <w:rPr>
                <w:rFonts w:eastAsiaTheme="minorEastAsia"/>
                <w:lang w:bidi="en-US"/>
              </w:rPr>
              <w:t xml:space="preserve"> care-related</w:t>
            </w:r>
            <w:r w:rsidRPr="00A82000">
              <w:rPr>
                <w:rFonts w:eastAsiaTheme="minorEastAsia"/>
                <w:lang w:bidi="en-US"/>
              </w:rPr>
              <w:t xml:space="preserve"> incidents</w:t>
            </w:r>
            <w:r>
              <w:rPr>
                <w:rFonts w:eastAsiaTheme="minorEastAsia"/>
                <w:lang w:bidi="en-US"/>
              </w:rPr>
              <w:t xml:space="preserve"> (</w:t>
            </w:r>
            <w:r w:rsidR="00692395">
              <w:rPr>
                <w:rFonts w:eastAsiaTheme="minorEastAsia"/>
                <w:lang w:bidi="en-US"/>
              </w:rPr>
              <w:t xml:space="preserve">for example, </w:t>
            </w:r>
            <w:r>
              <w:rPr>
                <w:rFonts w:eastAsiaTheme="minorEastAsia"/>
                <w:lang w:bidi="en-US"/>
              </w:rPr>
              <w:t>Infection, pressure injury)</w:t>
            </w:r>
            <w:r w:rsidR="00583B39">
              <w:rPr>
                <w:rFonts w:eastAsiaTheme="minorEastAsia"/>
                <w:lang w:bidi="en-US"/>
              </w:rPr>
              <w:t>.</w:t>
            </w:r>
          </w:p>
          <w:p w14:paraId="74340D54" w14:textId="6ADCE373" w:rsidR="009768BA" w:rsidRPr="00583B39" w:rsidRDefault="009768BA" w:rsidP="001C743E">
            <w:pPr>
              <w:pStyle w:val="ListBullet"/>
              <w:rPr>
                <w:rFonts w:eastAsiaTheme="minorEastAsia"/>
              </w:rPr>
            </w:pPr>
            <w:r w:rsidRPr="00A82000">
              <w:rPr>
                <w:rFonts w:eastAsiaTheme="minorEastAsia"/>
                <w:b/>
                <w:bCs/>
              </w:rPr>
              <w:t>Past medical history</w:t>
            </w:r>
            <w:r w:rsidRPr="00A82000">
              <w:rPr>
                <w:rFonts w:eastAsiaTheme="minorEastAsia"/>
              </w:rPr>
              <w:t xml:space="preserve">: </w:t>
            </w:r>
            <w:r w:rsidRPr="00A82000">
              <w:rPr>
                <w:rFonts w:eastAsiaTheme="minorEastAsia"/>
                <w:lang w:bidi="en-US"/>
              </w:rPr>
              <w:t>Previous surgery,</w:t>
            </w:r>
            <w:r>
              <w:rPr>
                <w:rFonts w:eastAsiaTheme="minorEastAsia"/>
                <w:lang w:bidi="en-US"/>
              </w:rPr>
              <w:t xml:space="preserve"> previous</w:t>
            </w:r>
            <w:r w:rsidRPr="00A82000">
              <w:rPr>
                <w:rFonts w:eastAsiaTheme="minorEastAsia"/>
                <w:lang w:bidi="en-US"/>
              </w:rPr>
              <w:t xml:space="preserve"> diagnoses and chronic conditions</w:t>
            </w:r>
            <w:r w:rsidR="00583B39">
              <w:rPr>
                <w:rFonts w:eastAsiaTheme="minorEastAsia"/>
                <w:lang w:bidi="en-US"/>
              </w:rPr>
              <w:t>.</w:t>
            </w:r>
          </w:p>
        </w:tc>
        <w:tc>
          <w:tcPr>
            <w:tcW w:w="2299" w:type="pct"/>
          </w:tcPr>
          <w:p w14:paraId="0BF03366" w14:textId="3FA4C37A" w:rsidR="009768BA" w:rsidRDefault="009768BA" w:rsidP="00583B39">
            <w:pPr>
              <w:pStyle w:val="ListBullet"/>
              <w:rPr>
                <w:rFonts w:eastAsiaTheme="minorEastAsia"/>
              </w:rPr>
            </w:pPr>
            <w:r w:rsidRPr="00A82000">
              <w:rPr>
                <w:rFonts w:eastAsiaTheme="minorEastAsia"/>
              </w:rPr>
              <w:t xml:space="preserve">The </w:t>
            </w:r>
            <w:r>
              <w:rPr>
                <w:rFonts w:eastAsiaTheme="minorEastAsia"/>
              </w:rPr>
              <w:t>sub-</w:t>
            </w:r>
            <w:r w:rsidRPr="00A82000">
              <w:rPr>
                <w:rFonts w:eastAsiaTheme="minorEastAsia"/>
              </w:rPr>
              <w:t>headings selected for the various types of problems and diagnoses follow the recommendations of healthcare providers during stakeholder consultation</w:t>
            </w:r>
            <w:r w:rsidR="00583B39">
              <w:rPr>
                <w:rFonts w:eastAsiaTheme="minorEastAsia"/>
              </w:rPr>
              <w:t>.</w:t>
            </w:r>
          </w:p>
          <w:p w14:paraId="34668771" w14:textId="7732C447" w:rsidR="009768BA" w:rsidRPr="00583B39" w:rsidRDefault="009768BA" w:rsidP="00583B39">
            <w:pPr>
              <w:pStyle w:val="ListBullet"/>
              <w:rPr>
                <w:rFonts w:eastAsiaTheme="minorEastAsia"/>
              </w:rPr>
            </w:pPr>
            <w:r>
              <w:rPr>
                <w:rFonts w:eastAsiaTheme="minorEastAsia"/>
              </w:rPr>
              <w:t>Presentation of this information in a table format facilitates readability.</w:t>
            </w:r>
          </w:p>
        </w:tc>
      </w:tr>
      <w:tr w:rsidR="009768BA" w:rsidRPr="000C2005" w14:paraId="772FEAB8" w14:textId="77777777" w:rsidTr="00D15F2D">
        <w:trPr>
          <w:cnfStyle w:val="000000010000" w:firstRow="0" w:lastRow="0" w:firstColumn="0" w:lastColumn="0" w:oddVBand="0" w:evenVBand="0" w:oddHBand="0" w:evenHBand="1" w:firstRowFirstColumn="0" w:firstRowLastColumn="0" w:lastRowFirstColumn="0" w:lastRowLastColumn="0"/>
        </w:trPr>
        <w:tc>
          <w:tcPr>
            <w:tcW w:w="2701" w:type="pct"/>
          </w:tcPr>
          <w:p w14:paraId="6C12EF15" w14:textId="57E516F9" w:rsidR="009768BA" w:rsidRPr="00583B39" w:rsidRDefault="009768BA" w:rsidP="001C743E">
            <w:r w:rsidRPr="00583B39">
              <w:t>This section should be coded to standard terminologies.</w:t>
            </w:r>
            <w:r w:rsidR="00583B39" w:rsidRPr="00583B39">
              <w:rPr>
                <w:rStyle w:val="Superscript"/>
              </w:rPr>
              <w:t>6</w:t>
            </w:r>
            <w:r w:rsidRPr="00583B39">
              <w:t xml:space="preserve"> Free text entries should </w:t>
            </w:r>
            <w:r w:rsidRPr="001C743E">
              <w:t>only</w:t>
            </w:r>
            <w:r w:rsidRPr="00583B39">
              <w:t xml:space="preserve"> be used if no coded value is</w:t>
            </w:r>
            <w:r w:rsidR="001C743E">
              <w:t> </w:t>
            </w:r>
            <w:r w:rsidRPr="00583B39">
              <w:t>available.</w:t>
            </w:r>
          </w:p>
        </w:tc>
        <w:tc>
          <w:tcPr>
            <w:tcW w:w="2299" w:type="pct"/>
          </w:tcPr>
          <w:p w14:paraId="2D6AD9BD" w14:textId="77777777" w:rsidR="009768BA" w:rsidRPr="00583B39" w:rsidRDefault="009768BA" w:rsidP="001C743E">
            <w:r w:rsidRPr="00583B39">
              <w:t xml:space="preserve">Use of standard terminology improves data quality and interoperability. </w:t>
            </w:r>
          </w:p>
        </w:tc>
      </w:tr>
    </w:tbl>
    <w:p w14:paraId="40F1DD0A" w14:textId="77777777" w:rsidR="00D63FE3" w:rsidRDefault="00D63FE3" w:rsidP="009768BA">
      <w:pPr>
        <w:pStyle w:val="Heading3"/>
        <w:spacing w:after="0"/>
        <w:rPr>
          <w:rFonts w:eastAsiaTheme="minorEastAsia"/>
        </w:rPr>
      </w:pPr>
      <w:r>
        <w:rPr>
          <w:rFonts w:eastAsiaTheme="minorEastAsia"/>
        </w:rPr>
        <w:br w:type="page"/>
      </w:r>
    </w:p>
    <w:p w14:paraId="044C847E" w14:textId="07A0DAAD" w:rsidR="009768BA" w:rsidRDefault="009768BA" w:rsidP="009768BA">
      <w:pPr>
        <w:pStyle w:val="Heading3"/>
        <w:spacing w:after="0"/>
        <w:rPr>
          <w:rFonts w:eastAsiaTheme="minorEastAsia"/>
        </w:rPr>
      </w:pPr>
      <w:bookmarkStart w:id="31" w:name="Recs"/>
      <w:r>
        <w:rPr>
          <w:rFonts w:eastAsiaTheme="minorEastAsia"/>
        </w:rPr>
        <w:lastRenderedPageBreak/>
        <w:t>Recommendations</w:t>
      </w:r>
      <w:bookmarkEnd w:id="31"/>
      <w:r>
        <w:rPr>
          <w:rFonts w:eastAsiaTheme="minorEastAsia"/>
        </w:rPr>
        <w:t xml:space="preserve"> </w:t>
      </w:r>
    </w:p>
    <w:p w14:paraId="50A08EBE" w14:textId="2D76826B" w:rsidR="00E05985" w:rsidRPr="001B2205" w:rsidRDefault="009768BA" w:rsidP="001239C2">
      <w:pPr>
        <w:spacing w:after="240"/>
        <w:rPr>
          <w:rFonts w:eastAsiaTheme="minorEastAsia"/>
        </w:rPr>
      </w:pPr>
      <w:r>
        <w:rPr>
          <w:rFonts w:eastAsiaTheme="minorEastAsia"/>
        </w:rPr>
        <w:t xml:space="preserve">This section of the EDS presents the most critical information for the continuity of patient care following discharge. </w:t>
      </w:r>
      <w:r>
        <w:rPr>
          <w:rFonts w:eastAsiaTheme="minorEastAsia"/>
          <w:szCs w:val="20"/>
        </w:rPr>
        <w:t xml:space="preserve">The recommendations are not intended to duplicate details from other parts of the EDS, but rather </w:t>
      </w:r>
      <w:r>
        <w:rPr>
          <w:rFonts w:eastAsiaTheme="minorEastAsia"/>
        </w:rPr>
        <w:t>to provide a high-level summary of important findings or changes that require action or ongoing monitoring. This section should also include recommended actions made by the broader multidisciplinary team (</w:t>
      </w:r>
      <w:r w:rsidR="00692395">
        <w:rPr>
          <w:rFonts w:eastAsiaTheme="minorEastAsia"/>
        </w:rPr>
        <w:t xml:space="preserve">for example, </w:t>
      </w:r>
      <w:r>
        <w:rPr>
          <w:rFonts w:eastAsiaTheme="minorEastAsia"/>
        </w:rPr>
        <w:t xml:space="preserve">Aboriginal Liaison Officer, allied health, nursing, pharmacy, aged care liaison) to facilitate person-centred and culturally appropriate ongoing care. </w:t>
      </w:r>
    </w:p>
    <w:tbl>
      <w:tblPr>
        <w:tblStyle w:val="SQHTable"/>
        <w:tblW w:w="5000" w:type="pct"/>
        <w:tblBorders>
          <w:top w:val="none" w:sz="0" w:space="0" w:color="auto"/>
          <w:insideV w:val="single" w:sz="12" w:space="0" w:color="FFFFFF" w:themeColor="background1"/>
        </w:tblBorders>
        <w:tblLook w:val="0420" w:firstRow="1" w:lastRow="0" w:firstColumn="0" w:lastColumn="0" w:noHBand="0" w:noVBand="1"/>
        <w:tblCaption w:val="Recommendations "/>
      </w:tblPr>
      <w:tblGrid>
        <w:gridCol w:w="4111"/>
        <w:gridCol w:w="5073"/>
      </w:tblGrid>
      <w:tr w:rsidR="009768BA" w:rsidRPr="000C2005" w14:paraId="0810856E" w14:textId="77777777" w:rsidTr="00D15F2D">
        <w:trPr>
          <w:cnfStyle w:val="100000000000" w:firstRow="1" w:lastRow="0" w:firstColumn="0" w:lastColumn="0" w:oddVBand="0" w:evenVBand="0" w:oddHBand="0" w:evenHBand="0" w:firstRowFirstColumn="0" w:firstRowLastColumn="0" w:lastRowFirstColumn="0" w:lastRowLastColumn="0"/>
        </w:trPr>
        <w:tc>
          <w:tcPr>
            <w:tcW w:w="22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D2FC532" w14:textId="77777777" w:rsidR="009768BA" w:rsidRPr="003A0DCA" w:rsidRDefault="009768BA" w:rsidP="003A0DCA">
            <w:r w:rsidRPr="003A0DCA">
              <w:t>Recommendation</w:t>
            </w:r>
          </w:p>
        </w:tc>
        <w:tc>
          <w:tcPr>
            <w:tcW w:w="276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AD1BCE" w14:textId="77777777" w:rsidR="009768BA" w:rsidRPr="003A0DCA" w:rsidRDefault="009768BA" w:rsidP="003A0DCA">
            <w:r w:rsidRPr="003A0DCA">
              <w:t xml:space="preserve">Rationale </w:t>
            </w:r>
          </w:p>
        </w:tc>
      </w:tr>
      <w:tr w:rsidR="009768BA" w:rsidRPr="000C2005" w14:paraId="0F2D2F04" w14:textId="77777777" w:rsidTr="00D15F2D">
        <w:tc>
          <w:tcPr>
            <w:tcW w:w="2238" w:type="pct"/>
          </w:tcPr>
          <w:p w14:paraId="0DCC63FD" w14:textId="38537E91" w:rsidR="009768BA" w:rsidRPr="001239C2" w:rsidRDefault="009768BA" w:rsidP="00411E95">
            <w:pPr>
              <w:rPr>
                <w:rFonts w:eastAsiaTheme="minorEastAsia"/>
              </w:rPr>
            </w:pPr>
            <w:r>
              <w:t>As one of the most critical components for continuity of care following discharge, the ‘</w:t>
            </w:r>
            <w:r w:rsidRPr="00411E95">
              <w:t>Recommendations’</w:t>
            </w:r>
            <w:r w:rsidR="004151DE">
              <w:t xml:space="preserve"> </w:t>
            </w:r>
            <w:r>
              <w:t>section should be prominently visible to the receiving clinician and located near the top of the EDS.</w:t>
            </w:r>
          </w:p>
        </w:tc>
        <w:tc>
          <w:tcPr>
            <w:tcW w:w="2762" w:type="pct"/>
          </w:tcPr>
          <w:p w14:paraId="7D038D61" w14:textId="77777777" w:rsidR="003A0DCA" w:rsidRPr="00800DA3" w:rsidRDefault="003A0DCA" w:rsidP="003A0DCA">
            <w:pPr>
              <w:pStyle w:val="ListBullet"/>
              <w:rPr>
                <w:rFonts w:eastAsiaTheme="minorEastAsia"/>
              </w:rPr>
            </w:pPr>
            <w:r w:rsidRPr="00800DA3">
              <w:rPr>
                <w:rFonts w:eastAsiaTheme="minorEastAsia"/>
              </w:rPr>
              <w:t xml:space="preserve">Evaluation of the recommendations from the 2017 edition of the Guidelines determined that a completed EDS </w:t>
            </w:r>
            <w:r>
              <w:rPr>
                <w:rFonts w:eastAsiaTheme="minorEastAsia"/>
              </w:rPr>
              <w:t>may</w:t>
            </w:r>
            <w:r w:rsidRPr="00800DA3">
              <w:rPr>
                <w:rFonts w:eastAsiaTheme="minorEastAsia"/>
              </w:rPr>
              <w:t xml:space="preserve"> extend for several pages. This pushed </w:t>
            </w:r>
            <w:r>
              <w:rPr>
                <w:rFonts w:eastAsiaTheme="minorEastAsia"/>
              </w:rPr>
              <w:t>the</w:t>
            </w:r>
            <w:r w:rsidRPr="00800DA3">
              <w:rPr>
                <w:rFonts w:eastAsiaTheme="minorEastAsia"/>
              </w:rPr>
              <w:t xml:space="preserve"> </w:t>
            </w:r>
            <w:r w:rsidRPr="00461DC7">
              <w:rPr>
                <w:rFonts w:eastAsiaTheme="minorEastAsia"/>
              </w:rPr>
              <w:t>’Recommendations’</w:t>
            </w:r>
            <w:r>
              <w:rPr>
                <w:rFonts w:eastAsiaTheme="minorEastAsia"/>
              </w:rPr>
              <w:t xml:space="preserve"> </w:t>
            </w:r>
            <w:r w:rsidRPr="00800DA3">
              <w:rPr>
                <w:rFonts w:eastAsiaTheme="minorEastAsia"/>
              </w:rPr>
              <w:t>section further down requiring clinicians to scroll through many pages to find this</w:t>
            </w:r>
            <w:r>
              <w:rPr>
                <w:rFonts w:eastAsiaTheme="minorEastAsia"/>
              </w:rPr>
              <w:t xml:space="preserve"> important </w:t>
            </w:r>
            <w:r w:rsidRPr="00800DA3">
              <w:rPr>
                <w:rFonts w:eastAsiaTheme="minorEastAsia"/>
              </w:rPr>
              <w:t>information.</w:t>
            </w:r>
          </w:p>
          <w:p w14:paraId="19B350BD" w14:textId="0C53B183" w:rsidR="009768BA" w:rsidRPr="00AF34AC" w:rsidRDefault="003A0DCA" w:rsidP="003A0DCA">
            <w:pPr>
              <w:pStyle w:val="ListBullet"/>
              <w:rPr>
                <w:rFonts w:eastAsiaTheme="minorEastAsia"/>
              </w:rPr>
            </w:pPr>
            <w:r>
              <w:rPr>
                <w:rFonts w:eastAsiaTheme="minorEastAsia"/>
              </w:rPr>
              <w:t>Eye-tracking data also supports the inclusion of the most important information at the top of the document.</w:t>
            </w:r>
          </w:p>
        </w:tc>
      </w:tr>
      <w:tr w:rsidR="009768BA" w:rsidRPr="000C2005" w14:paraId="4C4ED4F1" w14:textId="77777777" w:rsidTr="00D15F2D">
        <w:trPr>
          <w:cnfStyle w:val="000000010000" w:firstRow="0" w:lastRow="0" w:firstColumn="0" w:lastColumn="0" w:oddVBand="0" w:evenVBand="0" w:oddHBand="0" w:evenHBand="1" w:firstRowFirstColumn="0" w:firstRowLastColumn="0" w:lastRowFirstColumn="0" w:lastRowLastColumn="0"/>
          <w:trHeight w:val="1361"/>
        </w:trPr>
        <w:tc>
          <w:tcPr>
            <w:tcW w:w="2238" w:type="pct"/>
          </w:tcPr>
          <w:p w14:paraId="53716373" w14:textId="19C7CE41" w:rsidR="009768BA" w:rsidRPr="00AC4234" w:rsidRDefault="009768BA" w:rsidP="00E05985">
            <w:pPr>
              <w:rPr>
                <w:sz w:val="22"/>
              </w:rPr>
            </w:pPr>
            <w:r w:rsidRPr="00AC4234">
              <w:rPr>
                <w:szCs w:val="20"/>
              </w:rPr>
              <w:t xml:space="preserve">Display this in a </w:t>
            </w:r>
            <w:r w:rsidRPr="00E05985">
              <w:t>table</w:t>
            </w:r>
            <w:r w:rsidRPr="00AC4234">
              <w:rPr>
                <w:szCs w:val="20"/>
              </w:rPr>
              <w:t xml:space="preserve"> format and </w:t>
            </w:r>
            <w:r w:rsidR="004C12BE" w:rsidRPr="004C12BE">
              <w:rPr>
                <w:szCs w:val="20"/>
                <w:lang w:val="en-GB"/>
              </w:rPr>
              <w:t>include the following information:</w:t>
            </w:r>
            <w:r w:rsidR="004C12BE" w:rsidRPr="004C12BE">
              <w:rPr>
                <w:szCs w:val="20"/>
              </w:rPr>
              <w:t xml:space="preserve"> </w:t>
            </w:r>
          </w:p>
          <w:p w14:paraId="4001190E" w14:textId="1FE19461" w:rsidR="009768BA" w:rsidRPr="00AC4234" w:rsidRDefault="00AE1A42" w:rsidP="00E05985">
            <w:pPr>
              <w:pStyle w:val="ListBullet"/>
              <w:rPr>
                <w:rFonts w:eastAsiaTheme="minorEastAsia"/>
              </w:rPr>
            </w:pPr>
            <w:r>
              <w:rPr>
                <w:rFonts w:eastAsiaTheme="minorEastAsia"/>
              </w:rPr>
              <w:t>R</w:t>
            </w:r>
            <w:r w:rsidR="009768BA" w:rsidRPr="00AC4234">
              <w:rPr>
                <w:rFonts w:eastAsiaTheme="minorEastAsia"/>
              </w:rPr>
              <w:t>ecommendation</w:t>
            </w:r>
            <w:r w:rsidR="009768BA">
              <w:rPr>
                <w:rFonts w:eastAsiaTheme="minorEastAsia"/>
              </w:rPr>
              <w:t xml:space="preserve"> (and approximate timeframe for action if relevant)</w:t>
            </w:r>
          </w:p>
          <w:p w14:paraId="052B059B" w14:textId="19BD15A6" w:rsidR="009768BA" w:rsidRPr="00554395" w:rsidRDefault="004C12BE" w:rsidP="003A4443">
            <w:pPr>
              <w:pStyle w:val="ListBullet"/>
              <w:rPr>
                <w:rFonts w:eastAsiaTheme="minorEastAsia"/>
                <w:szCs w:val="20"/>
              </w:rPr>
            </w:pPr>
            <w:r w:rsidRPr="004C12BE">
              <w:rPr>
                <w:rFonts w:eastAsiaTheme="minorEastAsia"/>
                <w:lang w:val="en-GB"/>
              </w:rPr>
              <w:t>Name of the person to whom the recommendation is directed (see</w:t>
            </w:r>
            <w:r w:rsidR="0058798E">
              <w:rPr>
                <w:rFonts w:eastAsiaTheme="minorEastAsia"/>
                <w:lang w:val="en-GB"/>
              </w:rPr>
              <w:t> </w:t>
            </w:r>
            <w:r w:rsidR="0058798E" w:rsidRPr="0058798E">
              <w:rPr>
                <w:rStyle w:val="Cross-references"/>
              </w:rPr>
              <w:fldChar w:fldCharType="begin"/>
            </w:r>
            <w:r w:rsidR="0058798E" w:rsidRPr="0058798E">
              <w:rPr>
                <w:rStyle w:val="Cross-references"/>
              </w:rPr>
              <w:instrText xml:space="preserve"> REF PP1 \h </w:instrText>
            </w:r>
            <w:r w:rsidR="0058798E">
              <w:rPr>
                <w:rStyle w:val="Cross-references"/>
              </w:rPr>
              <w:instrText xml:space="preserve"> \* MERGEFORMAT </w:instrText>
            </w:r>
            <w:r w:rsidR="0058798E" w:rsidRPr="0058798E">
              <w:rPr>
                <w:rStyle w:val="Cross-references"/>
              </w:rPr>
            </w:r>
            <w:r w:rsidR="0058798E" w:rsidRPr="0058798E">
              <w:rPr>
                <w:rStyle w:val="Cross-references"/>
              </w:rPr>
              <w:fldChar w:fldCharType="separate"/>
            </w:r>
            <w:r w:rsidR="0032430C" w:rsidRPr="0032430C">
              <w:rPr>
                <w:rStyle w:val="Cross-references"/>
              </w:rPr>
              <w:t>Practice points</w:t>
            </w:r>
            <w:r w:rsidR="0058798E" w:rsidRPr="0058798E">
              <w:rPr>
                <w:rStyle w:val="Cross-references"/>
              </w:rPr>
              <w:fldChar w:fldCharType="end"/>
            </w:r>
            <w:r w:rsidR="0058798E">
              <w:rPr>
                <w:rFonts w:eastAsiaTheme="minorEastAsia"/>
              </w:rPr>
              <w:t>).</w:t>
            </w:r>
          </w:p>
        </w:tc>
        <w:tc>
          <w:tcPr>
            <w:tcW w:w="2762" w:type="pct"/>
          </w:tcPr>
          <w:p w14:paraId="59C3EC58" w14:textId="0ABF7963" w:rsidR="009768BA" w:rsidRPr="001239C2" w:rsidRDefault="009768BA" w:rsidP="00E05985">
            <w:pPr>
              <w:rPr>
                <w:rFonts w:eastAsiaTheme="minorEastAsia"/>
              </w:rPr>
            </w:pPr>
            <w:r w:rsidRPr="00800DA3">
              <w:t>This component should be synthesised accurately and concisely by the discharging clinician.</w:t>
            </w:r>
          </w:p>
        </w:tc>
      </w:tr>
    </w:tbl>
    <w:p w14:paraId="0E005D67" w14:textId="3DB4A811" w:rsidR="009768BA" w:rsidRPr="00E05985" w:rsidRDefault="009768BA" w:rsidP="00D57F24">
      <w:pPr>
        <w:pStyle w:val="Caption"/>
      </w:pPr>
      <w:bookmarkStart w:id="32" w:name="_Toc194398971"/>
      <w:r w:rsidRPr="00E05985">
        <w:t xml:space="preserve">Examples of the content that may be included in </w:t>
      </w:r>
      <w:r w:rsidRPr="00550699">
        <w:t>the</w:t>
      </w:r>
      <w:r w:rsidRPr="00E05985">
        <w:t xml:space="preserve"> ‘</w:t>
      </w:r>
      <w:r w:rsidR="001A35A7">
        <w:t>R</w:t>
      </w:r>
      <w:r w:rsidRPr="00E05985">
        <w:t>ecommendations’</w:t>
      </w:r>
      <w:r w:rsidR="00150F87">
        <w:t> </w:t>
      </w:r>
      <w:r w:rsidRPr="00E05985">
        <w:t>section</w:t>
      </w:r>
      <w:bookmarkEnd w:id="32"/>
      <w:r w:rsidR="00AE1A42" w:rsidRPr="00E05985">
        <w:t xml:space="preserve">   </w:t>
      </w:r>
    </w:p>
    <w:tbl>
      <w:tblPr>
        <w:tblStyle w:val="TableGrid"/>
        <w:tblW w:w="0" w:type="auto"/>
        <w:tblLook w:val="0620" w:firstRow="1" w:lastRow="0" w:firstColumn="0" w:lastColumn="0" w:noHBand="1" w:noVBand="1"/>
        <w:tblCaption w:val="Figure 3. Examples of the content that may be included in the ‘Recommendations’ section "/>
      </w:tblPr>
      <w:tblGrid>
        <w:gridCol w:w="6802"/>
        <w:gridCol w:w="2372"/>
      </w:tblGrid>
      <w:tr w:rsidR="009768BA" w:rsidRPr="001A35A7" w14:paraId="5997B8CB" w14:textId="77777777" w:rsidTr="00B14D49">
        <w:trPr>
          <w:cnfStyle w:val="100000000000" w:firstRow="1" w:lastRow="0" w:firstColumn="0" w:lastColumn="0" w:oddVBand="0" w:evenVBand="0" w:oddHBand="0" w:evenHBand="0" w:firstRowFirstColumn="0" w:firstRowLastColumn="0" w:lastRowFirstColumn="0" w:lastRowLastColumn="0"/>
          <w:cantSplit w:val="0"/>
          <w:trHeight w:val="311"/>
        </w:trPr>
        <w:tc>
          <w:tcPr>
            <w:tcW w:w="6804" w:type="dxa"/>
          </w:tcPr>
          <w:p w14:paraId="3F0BDE1B" w14:textId="170D1461" w:rsidR="009768BA" w:rsidRPr="003A0DCA" w:rsidRDefault="009768BA" w:rsidP="003A0DCA">
            <w:bookmarkStart w:id="33" w:name="_Toc194398972"/>
            <w:r w:rsidRPr="003A0DCA">
              <w:t>Recommendation</w:t>
            </w:r>
            <w:bookmarkEnd w:id="33"/>
            <w:r w:rsidR="003A0DCA" w:rsidRPr="003A0DCA">
              <w:t>s</w:t>
            </w:r>
          </w:p>
        </w:tc>
        <w:tc>
          <w:tcPr>
            <w:tcW w:w="2373" w:type="dxa"/>
          </w:tcPr>
          <w:p w14:paraId="455499A9" w14:textId="77777777" w:rsidR="009768BA" w:rsidRPr="003A0DCA" w:rsidRDefault="009768BA" w:rsidP="003A0DCA">
            <w:bookmarkStart w:id="34" w:name="_Toc194398973"/>
            <w:r w:rsidRPr="003A0DCA">
              <w:t>For action by</w:t>
            </w:r>
            <w:bookmarkEnd w:id="34"/>
          </w:p>
        </w:tc>
      </w:tr>
      <w:tr w:rsidR="009768BA" w:rsidRPr="001A35A7" w14:paraId="6DC76D39" w14:textId="77777777" w:rsidTr="00B14D49">
        <w:trPr>
          <w:trHeight w:val="185"/>
        </w:trPr>
        <w:tc>
          <w:tcPr>
            <w:tcW w:w="6804" w:type="dxa"/>
          </w:tcPr>
          <w:p w14:paraId="2C9919C4" w14:textId="011AAEC2" w:rsidR="009768BA" w:rsidRPr="001A35A7" w:rsidRDefault="009768BA" w:rsidP="001A35A7">
            <w:bookmarkStart w:id="35" w:name="_Toc194398974"/>
            <w:r w:rsidRPr="001A35A7">
              <w:t>Changes have been made to medicines on discharge – please see relevant section below for details</w:t>
            </w:r>
            <w:bookmarkEnd w:id="35"/>
            <w:r w:rsidRPr="001A35A7">
              <w:t xml:space="preserve"> – prescription required for continued supply (</w:t>
            </w:r>
            <w:r w:rsidR="00640CA1" w:rsidRPr="001A35A7">
              <w:t xml:space="preserve">two </w:t>
            </w:r>
            <w:r w:rsidRPr="001A35A7">
              <w:t>weeks supply provided by hospital)</w:t>
            </w:r>
            <w:r w:rsidR="005E12BF" w:rsidRPr="001A35A7">
              <w:t>.</w:t>
            </w:r>
          </w:p>
        </w:tc>
        <w:tc>
          <w:tcPr>
            <w:tcW w:w="2373" w:type="dxa"/>
          </w:tcPr>
          <w:p w14:paraId="087E3BC3" w14:textId="77777777" w:rsidR="009768BA" w:rsidRPr="001A35A7" w:rsidRDefault="009768BA" w:rsidP="001A35A7">
            <w:bookmarkStart w:id="36" w:name="_Toc194398975"/>
            <w:r w:rsidRPr="001A35A7">
              <w:t>GP</w:t>
            </w:r>
            <w:bookmarkEnd w:id="36"/>
          </w:p>
        </w:tc>
      </w:tr>
      <w:tr w:rsidR="009768BA" w:rsidRPr="001A35A7" w14:paraId="5E6E0C83" w14:textId="77777777" w:rsidTr="00B14D49">
        <w:trPr>
          <w:trHeight w:val="185"/>
        </w:trPr>
        <w:tc>
          <w:tcPr>
            <w:tcW w:w="6804" w:type="dxa"/>
          </w:tcPr>
          <w:p w14:paraId="16B60531" w14:textId="23AB6CF7" w:rsidR="009768BA" w:rsidRPr="001A35A7" w:rsidRDefault="009768BA" w:rsidP="001A35A7">
            <w:bookmarkStart w:id="37" w:name="_Toc194398976"/>
            <w:r w:rsidRPr="001A35A7">
              <w:t>Pathology test results pending (</w:t>
            </w:r>
            <w:r w:rsidR="00640CA1" w:rsidRPr="001A35A7">
              <w:t>l</w:t>
            </w:r>
            <w:r w:rsidRPr="001A35A7">
              <w:t>iver function tests) – hospital team to follow up with patient</w:t>
            </w:r>
            <w:bookmarkEnd w:id="37"/>
            <w:r w:rsidR="005E12BF" w:rsidRPr="001A35A7">
              <w:t>.</w:t>
            </w:r>
          </w:p>
        </w:tc>
        <w:tc>
          <w:tcPr>
            <w:tcW w:w="2373" w:type="dxa"/>
          </w:tcPr>
          <w:p w14:paraId="5FF1E86A" w14:textId="77777777" w:rsidR="009768BA" w:rsidRPr="001A35A7" w:rsidRDefault="009768BA" w:rsidP="001A35A7">
            <w:bookmarkStart w:id="38" w:name="_Toc194398977"/>
            <w:r w:rsidRPr="001A35A7">
              <w:t>Dr Smith</w:t>
            </w:r>
            <w:bookmarkEnd w:id="38"/>
          </w:p>
        </w:tc>
      </w:tr>
      <w:tr w:rsidR="009768BA" w:rsidRPr="001A35A7" w14:paraId="4A91FF71" w14:textId="77777777" w:rsidTr="00B14D49">
        <w:trPr>
          <w:trHeight w:val="604"/>
        </w:trPr>
        <w:tc>
          <w:tcPr>
            <w:tcW w:w="6804" w:type="dxa"/>
          </w:tcPr>
          <w:p w14:paraId="3EE2EDE8" w14:textId="66449B06" w:rsidR="009768BA" w:rsidRPr="001A35A7" w:rsidRDefault="009768BA" w:rsidP="001A35A7">
            <w:bookmarkStart w:id="39" w:name="_Toc194398978"/>
            <w:r w:rsidRPr="001A35A7">
              <w:t>Penicillin allergy challenge conducted under immunology (details in clinical summary) – consider removing this allergy from the electronic health</w:t>
            </w:r>
            <w:r w:rsidR="00291704" w:rsidRPr="001A35A7">
              <w:t> </w:t>
            </w:r>
            <w:r w:rsidRPr="001A35A7">
              <w:t>records</w:t>
            </w:r>
            <w:bookmarkEnd w:id="39"/>
            <w:r w:rsidR="005E12BF" w:rsidRPr="001A35A7">
              <w:t>.</w:t>
            </w:r>
          </w:p>
        </w:tc>
        <w:tc>
          <w:tcPr>
            <w:tcW w:w="2373" w:type="dxa"/>
          </w:tcPr>
          <w:p w14:paraId="22CDC1D6" w14:textId="77777777" w:rsidR="009768BA" w:rsidRPr="001A35A7" w:rsidRDefault="009768BA" w:rsidP="001A35A7">
            <w:bookmarkStart w:id="40" w:name="_Toc194398979"/>
            <w:r w:rsidRPr="001A35A7">
              <w:t>GP</w:t>
            </w:r>
            <w:bookmarkEnd w:id="40"/>
          </w:p>
        </w:tc>
      </w:tr>
    </w:tbl>
    <w:p w14:paraId="093DDAD2" w14:textId="77777777" w:rsidR="007F53A1" w:rsidRDefault="007F53A1" w:rsidP="007F53A1">
      <w:pPr>
        <w:spacing w:before="240"/>
      </w:pPr>
      <w:r>
        <w:rPr>
          <w:noProof/>
        </w:rPr>
        <w:lastRenderedPageBreak/>
        <mc:AlternateContent>
          <mc:Choice Requires="wps">
            <w:drawing>
              <wp:inline distT="0" distB="0" distL="0" distR="0" wp14:anchorId="05729428" wp14:editId="03728717">
                <wp:extent cx="5831840" cy="1219835"/>
                <wp:effectExtent l="0" t="0" r="0" b="7620"/>
                <wp:docPr id="448488185" name="Text Box 12"/>
                <wp:cNvGraphicFramePr/>
                <a:graphic xmlns:a="http://schemas.openxmlformats.org/drawingml/2006/main">
                  <a:graphicData uri="http://schemas.microsoft.com/office/word/2010/wordprocessingShape">
                    <wps:wsp>
                      <wps:cNvSpPr txBox="1"/>
                      <wps:spPr>
                        <a:xfrm>
                          <a:off x="0" y="0"/>
                          <a:ext cx="5831840" cy="1219835"/>
                        </a:xfrm>
                        <a:prstGeom prst="rect">
                          <a:avLst/>
                        </a:prstGeom>
                        <a:noFill/>
                        <a:ln w="6350">
                          <a:noFill/>
                        </a:ln>
                      </wps:spPr>
                      <wps:txbx>
                        <w:txbxContent>
                          <w:tbl>
                            <w:tblPr>
                              <w:tblStyle w:val="Style1"/>
                              <w:tblW w:w="0" w:type="auto"/>
                              <w:tblLook w:val="0420" w:firstRow="1" w:lastRow="0" w:firstColumn="0" w:lastColumn="0" w:noHBand="0" w:noVBand="1"/>
                              <w:tblCaption w:val="Practice points"/>
                            </w:tblPr>
                            <w:tblGrid>
                              <w:gridCol w:w="9114"/>
                            </w:tblGrid>
                            <w:tr w:rsidR="000A2408" w:rsidRPr="000A2408" w14:paraId="4A6A94A7" w14:textId="77777777" w:rsidTr="000A2408">
                              <w:trPr>
                                <w:cnfStyle w:val="100000000000" w:firstRow="1" w:lastRow="0" w:firstColumn="0" w:lastColumn="0" w:oddVBand="0" w:evenVBand="0" w:oddHBand="0" w:evenHBand="0" w:firstRowFirstColumn="0" w:firstRowLastColumn="0" w:lastRowFirstColumn="0" w:lastRowLastColumn="0"/>
                              </w:trPr>
                              <w:tc>
                                <w:tcPr>
                                  <w:tcW w:w="9114" w:type="dxa"/>
                                </w:tcPr>
                                <w:p w14:paraId="2BDDB4B3" w14:textId="412988C9" w:rsidR="00864797" w:rsidRDefault="00864797" w:rsidP="0058798E">
                                  <w:pPr>
                                    <w:spacing w:after="120"/>
                                    <w:rPr>
                                      <w:b w:val="0"/>
                                    </w:rPr>
                                  </w:pPr>
                                  <w:r w:rsidRPr="00864797">
                                    <w:rPr>
                                      <w:noProof/>
                                    </w:rPr>
                                    <w:drawing>
                                      <wp:inline distT="0" distB="0" distL="0" distR="0" wp14:anchorId="644BBA64" wp14:editId="5B7392AB">
                                        <wp:extent cx="720000" cy="720000"/>
                                        <wp:effectExtent l="0" t="0" r="4445" b="4445"/>
                                        <wp:docPr id="1771266897" name="Picture 1" descr="Icon for: Practic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18992" name="Picture 1" descr="Icon for: Practice points"/>
                                                <pic:cNvPicPr/>
                                              </pic:nvPicPr>
                                              <pic:blipFill>
                                                <a:blip r:embed="rId47">
                                                  <a:extLst>
                                                    <a:ext uri="{96DAC541-7B7A-43D3-8B79-37D633B846F1}">
                                                      <asvg:svgBlip xmlns:asvg="http://schemas.microsoft.com/office/drawing/2016/SVG/main" r:embed="rId48"/>
                                                    </a:ext>
                                                  </a:extLst>
                                                </a:blip>
                                                <a:stretch>
                                                  <a:fillRect/>
                                                </a:stretch>
                                              </pic:blipFill>
                                              <pic:spPr>
                                                <a:xfrm>
                                                  <a:off x="0" y="0"/>
                                                  <a:ext cx="720000" cy="720000"/>
                                                </a:xfrm>
                                                <a:prstGeom prst="rect">
                                                  <a:avLst/>
                                                </a:prstGeom>
                                              </pic:spPr>
                                            </pic:pic>
                                          </a:graphicData>
                                        </a:graphic>
                                      </wp:inline>
                                    </w:drawing>
                                  </w:r>
                                </w:p>
                                <w:p w14:paraId="5E3FA35A" w14:textId="2A3EF381" w:rsidR="0058798E" w:rsidRPr="000A2408" w:rsidRDefault="0058798E" w:rsidP="000A2408">
                                  <w:bookmarkStart w:id="41" w:name="PP1"/>
                                  <w:r w:rsidRPr="0058798E">
                                    <w:t>Practice points</w:t>
                                  </w:r>
                                  <w:bookmarkEnd w:id="41"/>
                                </w:p>
                              </w:tc>
                            </w:tr>
                            <w:tr w:rsidR="007F53A1" w:rsidRPr="000A2408" w14:paraId="0EAE8D4B" w14:textId="77777777" w:rsidTr="000A2408">
                              <w:tblPrEx>
                                <w:tblCellMar>
                                  <w:top w:w="0" w:type="dxa"/>
                                </w:tblCellMar>
                              </w:tblPrEx>
                              <w:tc>
                                <w:tcPr>
                                  <w:tcW w:w="9114" w:type="dxa"/>
                                </w:tcPr>
                                <w:p w14:paraId="197D617E" w14:textId="671A2CD0" w:rsidR="007F53A1" w:rsidRPr="000A2408" w:rsidRDefault="007F53A1" w:rsidP="000A2408">
                                  <w:pPr>
                                    <w:pStyle w:val="ListBullet"/>
                                  </w:pPr>
                                  <w:r w:rsidRPr="000A2408">
                                    <w:t>Defining accountability and responsibility at discharge is critical to a safe and effective</w:t>
                                  </w:r>
                                  <w:r w:rsidR="00F11AEE" w:rsidRPr="000A2408">
                                    <w:t> </w:t>
                                  </w:r>
                                  <w:r w:rsidRPr="000A2408">
                                    <w:t>clinical handover.</w:t>
                                  </w:r>
                                  <w:r w:rsidRPr="000A2408">
                                    <w:rPr>
                                      <w:rStyle w:val="Superscript"/>
                                    </w:rPr>
                                    <w:t>1</w:t>
                                  </w:r>
                                  <w:r w:rsidRPr="000A2408">
                                    <w:t xml:space="preserve"> The EDS alone is not a sufficient form of clinical handover</w:t>
                                  </w:r>
                                  <w:r w:rsidR="00D713FF" w:rsidRPr="000A2408">
                                    <w:t> </w:t>
                                  </w:r>
                                  <w:r w:rsidRPr="000A2408">
                                    <w:t>because there is no mechanism for the recipient to acknowledge receipt or accept responsibility.</w:t>
                                  </w:r>
                                  <w:r w:rsidRPr="000A2408">
                                    <w:rPr>
                                      <w:rStyle w:val="Superscript"/>
                                    </w:rPr>
                                    <w:t>1</w:t>
                                  </w:r>
                                </w:p>
                                <w:p w14:paraId="7A11E5F4" w14:textId="77777777" w:rsidR="007F53A1" w:rsidRPr="000A2408" w:rsidRDefault="007F53A1" w:rsidP="000A2408">
                                  <w:pPr>
                                    <w:pStyle w:val="ListBullet"/>
                                  </w:pPr>
                                  <w:r w:rsidRPr="000A2408">
                                    <w:t>For clinical issues that require timely follow up, or for patients with complex problems, the EDS should be supplemented with another form of direct communication with the responsible primary care provider should be made (for example, a phone call).</w:t>
                                  </w:r>
                                </w:p>
                                <w:p w14:paraId="6190E503" w14:textId="1BAFB0E9" w:rsidR="007F53A1" w:rsidRPr="000A2408" w:rsidRDefault="007F53A1" w:rsidP="000A2408">
                                  <w:pPr>
                                    <w:pStyle w:val="ListBullet"/>
                                  </w:pPr>
                                  <w:r w:rsidRPr="000A2408">
                                    <w:t>Ensuring a safe and effective clinical handover at discharge requires appropriate processes that are person-centred and align with community-based models of care. For discharge to services such as Aboriginal Community Controlled Health Organisations (ACCHO) or residential care, tailored communication is essential to support continuity of care, particularly where a discharge summary is not available in a timely manner or accessible electronically.</w:t>
                                  </w:r>
                                </w:p>
                              </w:tc>
                            </w:tr>
                          </w:tbl>
                          <w:p w14:paraId="596F2A9F" w14:textId="5BB52ECF" w:rsidR="007F53A1" w:rsidRPr="000A2408" w:rsidRDefault="00864797" w:rsidP="007F53A1">
                            <w:pPr>
                              <w:pStyle w:val="NoSpacing"/>
                              <w:spacing w:line="240" w:lineRule="auto"/>
                              <w:rPr>
                                <w:bCs/>
                                <w:sz w:val="2"/>
                                <w:szCs w:val="2"/>
                              </w:rPr>
                            </w:pPr>
                            <w:r>
                              <w:rPr>
                                <w:bCs/>
                                <w:sz w:val="2"/>
                                <w:szCs w:val="2"/>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5729428" id="_x0000_t202" coordsize="21600,21600" o:spt="202" path="m,l,21600r21600,l21600,xe">
                <v:stroke joinstyle="miter"/>
                <v:path gradientshapeok="t" o:connecttype="rect"/>
              </v:shapetype>
              <v:shape id="Text Box 12" o:spid="_x0000_s1026" type="#_x0000_t202" style="width:459.2pt;height:9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" filled="f" stroked="f" strokeweight=".5pt">
                <v:textbox style="mso-fit-shape-to-text:t" inset="0,0,0,0">
                  <w:txbxContent>
                    <w:tbl>
                      <w:tblPr>
                        <w:tblStyle w:val="Style1"/>
                        <w:tblW w:w="0" w:type="auto"/>
                        <w:tblLook w:val="0420" w:firstRow="1" w:lastRow="0" w:firstColumn="0" w:lastColumn="0" w:noHBand="0" w:noVBand="1"/>
                        <w:tblCaption w:val="Practice points"/>
                      </w:tblPr>
                      <w:tblGrid>
                        <w:gridCol w:w="9114"/>
                      </w:tblGrid>
                      <w:tr w:rsidR="000A2408" w:rsidRPr="000A2408" w14:paraId="4A6A94A7" w14:textId="77777777" w:rsidTr="000A2408">
                        <w:trPr>
                          <w:cnfStyle w:val="100000000000" w:firstRow="1" w:lastRow="0" w:firstColumn="0" w:lastColumn="0" w:oddVBand="0" w:evenVBand="0" w:oddHBand="0" w:evenHBand="0" w:firstRowFirstColumn="0" w:firstRowLastColumn="0" w:lastRowFirstColumn="0" w:lastRowLastColumn="0"/>
                        </w:trPr>
                        <w:tc>
                          <w:tcPr>
                            <w:tcW w:w="9114" w:type="dxa"/>
                          </w:tcPr>
                          <w:p w14:paraId="2BDDB4B3" w14:textId="412988C9" w:rsidR="00864797" w:rsidRDefault="00864797" w:rsidP="0058798E">
                            <w:pPr>
                              <w:spacing w:after="120"/>
                              <w:rPr>
                                <w:b w:val="0"/>
                              </w:rPr>
                            </w:pPr>
                            <w:r w:rsidRPr="00864797">
                              <w:rPr>
                                <w:noProof/>
                              </w:rPr>
                              <w:drawing>
                                <wp:inline distT="0" distB="0" distL="0" distR="0" wp14:anchorId="644BBA64" wp14:editId="5B7392AB">
                                  <wp:extent cx="720000" cy="720000"/>
                                  <wp:effectExtent l="0" t="0" r="4445" b="4445"/>
                                  <wp:docPr id="1771266897" name="Picture 1" descr="Icon for: Practic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18992" name="Picture 1" descr="Icon for: Practice points"/>
                                          <pic:cNvPicPr/>
                                        </pic:nvPicPr>
                                        <pic:blipFill>
                                          <a:blip r:embed="rId47">
                                            <a:extLst>
                                              <a:ext uri="{96DAC541-7B7A-43D3-8B79-37D633B846F1}">
                                                <asvg:svgBlip xmlns:asvg="http://schemas.microsoft.com/office/drawing/2016/SVG/main" r:embed="rId48"/>
                                              </a:ext>
                                            </a:extLst>
                                          </a:blip>
                                          <a:stretch>
                                            <a:fillRect/>
                                          </a:stretch>
                                        </pic:blipFill>
                                        <pic:spPr>
                                          <a:xfrm>
                                            <a:off x="0" y="0"/>
                                            <a:ext cx="720000" cy="720000"/>
                                          </a:xfrm>
                                          <a:prstGeom prst="rect">
                                            <a:avLst/>
                                          </a:prstGeom>
                                        </pic:spPr>
                                      </pic:pic>
                                    </a:graphicData>
                                  </a:graphic>
                                </wp:inline>
                              </w:drawing>
                            </w:r>
                          </w:p>
                          <w:p w14:paraId="5E3FA35A" w14:textId="2A3EF381" w:rsidR="0058798E" w:rsidRPr="000A2408" w:rsidRDefault="0058798E" w:rsidP="000A2408">
                            <w:bookmarkStart w:id="42" w:name="PP1"/>
                            <w:r w:rsidRPr="0058798E">
                              <w:t>Practice points</w:t>
                            </w:r>
                            <w:bookmarkEnd w:id="42"/>
                          </w:p>
                        </w:tc>
                      </w:tr>
                      <w:tr w:rsidR="007F53A1" w:rsidRPr="000A2408" w14:paraId="0EAE8D4B" w14:textId="77777777" w:rsidTr="000A2408">
                        <w:tblPrEx>
                          <w:tblCellMar>
                            <w:top w:w="0" w:type="dxa"/>
                          </w:tblCellMar>
                        </w:tblPrEx>
                        <w:tc>
                          <w:tcPr>
                            <w:tcW w:w="9114" w:type="dxa"/>
                          </w:tcPr>
                          <w:p w14:paraId="197D617E" w14:textId="671A2CD0" w:rsidR="007F53A1" w:rsidRPr="000A2408" w:rsidRDefault="007F53A1" w:rsidP="000A2408">
                            <w:pPr>
                              <w:pStyle w:val="ListBullet"/>
                            </w:pPr>
                            <w:r w:rsidRPr="000A2408">
                              <w:t>Defining accountability and responsibility at discharge is critical to a safe and effective</w:t>
                            </w:r>
                            <w:r w:rsidR="00F11AEE" w:rsidRPr="000A2408">
                              <w:t> </w:t>
                            </w:r>
                            <w:r w:rsidRPr="000A2408">
                              <w:t>clinical handover.</w:t>
                            </w:r>
                            <w:r w:rsidRPr="000A2408">
                              <w:rPr>
                                <w:rStyle w:val="Superscript"/>
                              </w:rPr>
                              <w:t>1</w:t>
                            </w:r>
                            <w:r w:rsidRPr="000A2408">
                              <w:t xml:space="preserve"> The EDS alone is not a sufficient form of clinical handover</w:t>
                            </w:r>
                            <w:r w:rsidR="00D713FF" w:rsidRPr="000A2408">
                              <w:t> </w:t>
                            </w:r>
                            <w:r w:rsidRPr="000A2408">
                              <w:t>because there is no mechanism for the recipient to acknowledge receipt or accept responsibility.</w:t>
                            </w:r>
                            <w:r w:rsidRPr="000A2408">
                              <w:rPr>
                                <w:rStyle w:val="Superscript"/>
                              </w:rPr>
                              <w:t>1</w:t>
                            </w:r>
                          </w:p>
                          <w:p w14:paraId="7A11E5F4" w14:textId="77777777" w:rsidR="007F53A1" w:rsidRPr="000A2408" w:rsidRDefault="007F53A1" w:rsidP="000A2408">
                            <w:pPr>
                              <w:pStyle w:val="ListBullet"/>
                            </w:pPr>
                            <w:r w:rsidRPr="000A2408">
                              <w:t>For clinical issues that require timely follow up, or for patients with complex problems, the EDS should be supplemented with another form of direct communication with the responsible primary care provider should be made (for example, a phone call).</w:t>
                            </w:r>
                          </w:p>
                          <w:p w14:paraId="6190E503" w14:textId="1BAFB0E9" w:rsidR="007F53A1" w:rsidRPr="000A2408" w:rsidRDefault="007F53A1" w:rsidP="000A2408">
                            <w:pPr>
                              <w:pStyle w:val="ListBullet"/>
                            </w:pPr>
                            <w:r w:rsidRPr="000A2408">
                              <w:t>Ensuring a safe and effective clinical handover at discharge requires appropriate processes that are person-centred and align with community-based models of care. For discharge to services such as Aboriginal Community Controlled Health Organisations (ACCHO) or residential care, tailored communication is essential to support continuity of care, particularly where a discharge summary is not available in a timely manner or accessible electronically.</w:t>
                            </w:r>
                          </w:p>
                        </w:tc>
                      </w:tr>
                    </w:tbl>
                    <w:p w14:paraId="596F2A9F" w14:textId="5BB52ECF" w:rsidR="007F53A1" w:rsidRPr="000A2408" w:rsidRDefault="00864797" w:rsidP="007F53A1">
                      <w:pPr>
                        <w:pStyle w:val="NoSpacing"/>
                        <w:spacing w:line="240" w:lineRule="auto"/>
                        <w:rPr>
                          <w:bCs/>
                          <w:sz w:val="2"/>
                          <w:szCs w:val="2"/>
                        </w:rPr>
                      </w:pPr>
                      <w:r>
                        <w:rPr>
                          <w:bCs/>
                          <w:sz w:val="2"/>
                          <w:szCs w:val="2"/>
                        </w:rPr>
                        <w:t>t</w:t>
                      </w:r>
                    </w:p>
                  </w:txbxContent>
                </v:textbox>
                <w10:anchorlock/>
              </v:shape>
            </w:pict>
          </mc:Fallback>
        </mc:AlternateContent>
      </w:r>
    </w:p>
    <w:p w14:paraId="5343870A" w14:textId="062DD01D" w:rsidR="009768BA" w:rsidRDefault="009768BA" w:rsidP="009768BA">
      <w:pPr>
        <w:pStyle w:val="Heading3"/>
        <w:rPr>
          <w:rFonts w:eastAsiaTheme="minorEastAsia"/>
        </w:rPr>
      </w:pPr>
      <w:r>
        <w:rPr>
          <w:rFonts w:eastAsiaTheme="minorEastAsia"/>
        </w:rPr>
        <w:t>Procedures</w:t>
      </w:r>
    </w:p>
    <w:p w14:paraId="60A07A0D" w14:textId="75904B4C" w:rsidR="009768BA" w:rsidRPr="007B46EE" w:rsidRDefault="009768BA" w:rsidP="00340141">
      <w:pPr>
        <w:spacing w:after="240"/>
        <w:rPr>
          <w:rFonts w:ascii="Arial" w:hAnsi="Arial" w:cs="Arial"/>
        </w:rPr>
      </w:pPr>
      <w:r>
        <w:rPr>
          <w:rFonts w:eastAsiaTheme="minorEastAsia"/>
        </w:rPr>
        <w:t xml:space="preserve">This section should list any </w:t>
      </w:r>
      <w:r w:rsidRPr="001B2205">
        <w:rPr>
          <w:rFonts w:eastAsiaTheme="minorEastAsia"/>
        </w:rPr>
        <w:t>relevant procedures or clinical interventions</w:t>
      </w:r>
      <w:r>
        <w:rPr>
          <w:rFonts w:eastAsiaTheme="minorEastAsia"/>
        </w:rPr>
        <w:t xml:space="preserve"> that were undertaken during the hospital encounter. A </w:t>
      </w:r>
      <w:r w:rsidRPr="006A7E0A">
        <w:rPr>
          <w:rFonts w:eastAsiaTheme="minorEastAsia"/>
        </w:rPr>
        <w:t xml:space="preserve">procedure or clinical intervention is defined as </w:t>
      </w:r>
      <w:r w:rsidRPr="006A7E0A">
        <w:rPr>
          <w:rFonts w:ascii="Arial" w:hAnsi="Arial" w:cs="Arial"/>
        </w:rPr>
        <w:t>an intentional intervention to diagnose, treat or manage a health condition, often involving invasive or potentially harmful techniques requiring skin or mucosal penetration or tissue manipulation</w:t>
      </w:r>
      <w:r w:rsidR="00340141">
        <w:rPr>
          <w:rFonts w:ascii="Arial" w:hAnsi="Arial" w:cs="Arial"/>
        </w:rPr>
        <w:t>.</w:t>
      </w:r>
      <w:r w:rsidRPr="00340141">
        <w:rPr>
          <w:rStyle w:val="Superscript"/>
        </w:rPr>
        <w:t>6</w:t>
      </w:r>
    </w:p>
    <w:tbl>
      <w:tblPr>
        <w:tblStyle w:val="SQHTable"/>
        <w:tblW w:w="4856" w:type="pct"/>
        <w:tblLook w:val="0420" w:firstRow="1" w:lastRow="0" w:firstColumn="0" w:lastColumn="0" w:noHBand="0" w:noVBand="1"/>
        <w:tblCaption w:val="Procedures"/>
      </w:tblPr>
      <w:tblGrid>
        <w:gridCol w:w="3919"/>
        <w:gridCol w:w="5001"/>
      </w:tblGrid>
      <w:tr w:rsidR="009768BA" w:rsidRPr="00340141" w14:paraId="3962F45C" w14:textId="77777777" w:rsidTr="00D15F2D">
        <w:trPr>
          <w:cnfStyle w:val="100000000000" w:firstRow="1" w:lastRow="0" w:firstColumn="0" w:lastColumn="0" w:oddVBand="0" w:evenVBand="0" w:oddHBand="0" w:evenHBand="0" w:firstRowFirstColumn="0" w:firstRowLastColumn="0" w:lastRowFirstColumn="0" w:lastRowLastColumn="0"/>
        </w:trPr>
        <w:tc>
          <w:tcPr>
            <w:tcW w:w="2197" w:type="pct"/>
            <w:tcBorders>
              <w:right w:val="single" w:sz="12" w:space="0" w:color="FFFFFF" w:themeColor="background1"/>
            </w:tcBorders>
          </w:tcPr>
          <w:p w14:paraId="07772263" w14:textId="77777777" w:rsidR="009768BA" w:rsidRPr="00340141" w:rsidRDefault="009768BA" w:rsidP="00340141">
            <w:bookmarkStart w:id="43" w:name="_Hlk175753123"/>
            <w:r w:rsidRPr="00340141">
              <w:t>Recommendation</w:t>
            </w:r>
          </w:p>
        </w:tc>
        <w:tc>
          <w:tcPr>
            <w:tcW w:w="2803" w:type="pct"/>
            <w:tcBorders>
              <w:left w:val="single" w:sz="12" w:space="0" w:color="FFFFFF" w:themeColor="background1"/>
            </w:tcBorders>
          </w:tcPr>
          <w:p w14:paraId="006EE565" w14:textId="77777777" w:rsidR="009768BA" w:rsidRPr="00340141" w:rsidRDefault="009768BA" w:rsidP="00340141">
            <w:r w:rsidRPr="00340141">
              <w:t xml:space="preserve">Rationale </w:t>
            </w:r>
          </w:p>
        </w:tc>
      </w:tr>
      <w:tr w:rsidR="009768BA" w:rsidRPr="00340141" w14:paraId="050C20C3" w14:textId="77777777" w:rsidTr="00D15F2D">
        <w:tc>
          <w:tcPr>
            <w:tcW w:w="2197" w:type="pct"/>
            <w:tcBorders>
              <w:right w:val="single" w:sz="12" w:space="0" w:color="FFFFFF" w:themeColor="background1"/>
            </w:tcBorders>
          </w:tcPr>
          <w:p w14:paraId="24454EC2" w14:textId="77777777" w:rsidR="009768BA" w:rsidRPr="00340141" w:rsidRDefault="009768BA" w:rsidP="00340141">
            <w:r w:rsidRPr="00340141">
              <w:t>Display the list of procedures and interventions performed in hospital as a bullet list in chronological order</w:t>
            </w:r>
          </w:p>
        </w:tc>
        <w:tc>
          <w:tcPr>
            <w:tcW w:w="2803" w:type="pct"/>
            <w:tcBorders>
              <w:left w:val="single" w:sz="12" w:space="0" w:color="FFFFFF" w:themeColor="background1"/>
            </w:tcBorders>
          </w:tcPr>
          <w:p w14:paraId="11EB258C" w14:textId="1AC8C78B" w:rsidR="009768BA" w:rsidRPr="00340141" w:rsidRDefault="009768BA" w:rsidP="00340141">
            <w:r w:rsidRPr="00340141">
              <w:t>Presenting procedures as a bullet list aligns with the heuristic principle that reading entire paragraphs and unstructured information is a cognitively demanding</w:t>
            </w:r>
            <w:r w:rsidR="00372BAA">
              <w:t> </w:t>
            </w:r>
            <w:r w:rsidRPr="00340141">
              <w:t>task.</w:t>
            </w:r>
          </w:p>
        </w:tc>
      </w:tr>
      <w:tr w:rsidR="009768BA" w:rsidRPr="00340141" w14:paraId="0270FC23" w14:textId="77777777" w:rsidTr="00D15F2D">
        <w:trPr>
          <w:cnfStyle w:val="000000010000" w:firstRow="0" w:lastRow="0" w:firstColumn="0" w:lastColumn="0" w:oddVBand="0" w:evenVBand="0" w:oddHBand="0" w:evenHBand="1" w:firstRowFirstColumn="0" w:firstRowLastColumn="0" w:lastRowFirstColumn="0" w:lastRowLastColumn="0"/>
          <w:trHeight w:val="856"/>
        </w:trPr>
        <w:tc>
          <w:tcPr>
            <w:tcW w:w="2197" w:type="pct"/>
            <w:tcBorders>
              <w:bottom w:val="single" w:sz="4" w:space="0" w:color="FFFFFF" w:themeColor="background1"/>
              <w:right w:val="single" w:sz="12" w:space="0" w:color="FFFFFF" w:themeColor="background1"/>
            </w:tcBorders>
          </w:tcPr>
          <w:p w14:paraId="3D519575" w14:textId="77777777" w:rsidR="009768BA" w:rsidRPr="00340141" w:rsidRDefault="009768BA" w:rsidP="00340141">
            <w:r w:rsidRPr="00340141">
              <w:t>If no procedures were performed during the hospital stay, this section should be omitted from the EDS.</w:t>
            </w:r>
          </w:p>
        </w:tc>
        <w:tc>
          <w:tcPr>
            <w:tcW w:w="2803" w:type="pct"/>
            <w:tcBorders>
              <w:left w:val="single" w:sz="12" w:space="0" w:color="FFFFFF" w:themeColor="background1"/>
              <w:bottom w:val="single" w:sz="4" w:space="0" w:color="FFFFFF" w:themeColor="background1"/>
            </w:tcBorders>
          </w:tcPr>
          <w:p w14:paraId="7DDF8151" w14:textId="77777777" w:rsidR="009768BA" w:rsidRPr="00340141" w:rsidRDefault="009768BA" w:rsidP="00340141">
            <w:r w:rsidRPr="00340141">
              <w:t>Removing blank section headings ensures the EDS remains concise and limited to relevant information.</w:t>
            </w:r>
          </w:p>
        </w:tc>
      </w:tr>
      <w:tr w:rsidR="009768BA" w:rsidRPr="00340141" w14:paraId="63F6BB78" w14:textId="77777777" w:rsidTr="00D15F2D">
        <w:tc>
          <w:tcPr>
            <w:tcW w:w="2197" w:type="pct"/>
            <w:tcBorders>
              <w:bottom w:val="single" w:sz="4" w:space="0" w:color="E9E0FF"/>
              <w:right w:val="single" w:sz="12" w:space="0" w:color="FFFFFF" w:themeColor="background1"/>
            </w:tcBorders>
          </w:tcPr>
          <w:p w14:paraId="438579FF" w14:textId="77777777" w:rsidR="009768BA" w:rsidRPr="00340141" w:rsidRDefault="009768BA" w:rsidP="00340141">
            <w:r w:rsidRPr="00340141">
              <w:t>Include the results or outcomes of any procedures undertaken during admission. If required, procedure reports may also be hyperlinked or attached to the EDS.</w:t>
            </w:r>
          </w:p>
        </w:tc>
        <w:tc>
          <w:tcPr>
            <w:tcW w:w="2803" w:type="pct"/>
            <w:tcBorders>
              <w:left w:val="single" w:sz="12" w:space="0" w:color="FFFFFF" w:themeColor="background1"/>
              <w:bottom w:val="single" w:sz="4" w:space="0" w:color="E9E0FF"/>
            </w:tcBorders>
          </w:tcPr>
          <w:p w14:paraId="72A5F6B7" w14:textId="77777777" w:rsidR="009768BA" w:rsidRPr="00340141" w:rsidRDefault="009768BA" w:rsidP="00340141">
            <w:r w:rsidRPr="00340141">
              <w:t xml:space="preserve">Outcomes of a diagnostic procedure (including where no abnormalities are detected) are important and may reduce the need for unnecessary repeated testing. </w:t>
            </w:r>
          </w:p>
        </w:tc>
      </w:tr>
      <w:bookmarkEnd w:id="43"/>
    </w:tbl>
    <w:p w14:paraId="09318724" w14:textId="77777777" w:rsidR="00BD4D35" w:rsidRDefault="00BD4D35" w:rsidP="009768BA">
      <w:pPr>
        <w:pStyle w:val="Heading3"/>
        <w:rPr>
          <w:rFonts w:eastAsiaTheme="minorEastAsia"/>
        </w:rPr>
      </w:pPr>
      <w:r>
        <w:rPr>
          <w:rFonts w:eastAsiaTheme="minorEastAsia"/>
        </w:rPr>
        <w:br w:type="page"/>
      </w:r>
    </w:p>
    <w:p w14:paraId="0B82E781" w14:textId="6B4604FA" w:rsidR="009768BA" w:rsidRDefault="009768BA" w:rsidP="009768BA">
      <w:pPr>
        <w:pStyle w:val="Heading3"/>
        <w:rPr>
          <w:rFonts w:eastAsiaTheme="minorEastAsia"/>
        </w:rPr>
      </w:pPr>
      <w:r>
        <w:rPr>
          <w:rFonts w:eastAsiaTheme="minorEastAsia"/>
        </w:rPr>
        <w:lastRenderedPageBreak/>
        <w:t xml:space="preserve">Clinical </w:t>
      </w:r>
      <w:r w:rsidR="008E0981">
        <w:rPr>
          <w:rFonts w:eastAsiaTheme="minorEastAsia"/>
        </w:rPr>
        <w:t>S</w:t>
      </w:r>
      <w:r>
        <w:rPr>
          <w:rFonts w:eastAsiaTheme="minorEastAsia"/>
        </w:rPr>
        <w:t>ummary</w:t>
      </w:r>
    </w:p>
    <w:p w14:paraId="5E1C0C1A" w14:textId="77777777" w:rsidR="008E0981" w:rsidRPr="00CC5A0A" w:rsidRDefault="008E0981" w:rsidP="008E0981">
      <w:pPr>
        <w:rPr>
          <w:rFonts w:eastAsiaTheme="minorEastAsia"/>
        </w:rPr>
      </w:pPr>
      <w:r w:rsidRPr="00FF162E">
        <w:rPr>
          <w:rFonts w:eastAsiaTheme="minorEastAsia"/>
        </w:rPr>
        <w:t>This component describes the clinical management of the patient during the hospital encounter, and other relevant information that is not adequately captured in other parts of the</w:t>
      </w:r>
      <w:r>
        <w:rPr>
          <w:rFonts w:eastAsiaTheme="minorEastAsia"/>
        </w:rPr>
        <w:t> EDS</w:t>
      </w:r>
      <w:r w:rsidRPr="00FF162E">
        <w:rPr>
          <w:rFonts w:eastAsiaTheme="minorEastAsia"/>
        </w:rPr>
        <w:t>. For example, the</w:t>
      </w:r>
      <w:r>
        <w:rPr>
          <w:rFonts w:eastAsiaTheme="minorEastAsia"/>
        </w:rPr>
        <w:t xml:space="preserve"> </w:t>
      </w:r>
      <w:hyperlink r:id="rId49" w:history="1">
        <w:r w:rsidRPr="001521AA">
          <w:rPr>
            <w:rStyle w:val="HyperlinkItalic"/>
          </w:rPr>
          <w:t>Antimicrobial Stewardship Clinical Care Standard</w:t>
        </w:r>
      </w:hyperlink>
      <w:r>
        <w:rPr>
          <w:rFonts w:eastAsiaTheme="minorEastAsia"/>
        </w:rPr>
        <w:t xml:space="preserve"> recommends that comprehensive documentation is provided in a patient’s healthcare record following a new allergy or adverse reaction. The required detail may not be captured in the </w:t>
      </w:r>
      <w:r w:rsidRPr="00461DC7">
        <w:rPr>
          <w:rFonts w:eastAsiaTheme="minorEastAsia"/>
        </w:rPr>
        <w:t>‘Allergies and Adverse Reactions’ component</w:t>
      </w:r>
      <w:r w:rsidRPr="00A203FE">
        <w:rPr>
          <w:rFonts w:eastAsiaTheme="minorEastAsia"/>
        </w:rPr>
        <w:t xml:space="preserve"> </w:t>
      </w:r>
      <w:r>
        <w:rPr>
          <w:rFonts w:eastAsiaTheme="minorEastAsia"/>
        </w:rPr>
        <w:t>therefore additional information could be included in the ‘Clinical</w:t>
      </w:r>
      <w:r w:rsidRPr="00461DC7" w:rsidDel="0044000A">
        <w:rPr>
          <w:rFonts w:eastAsiaTheme="minorEastAsia"/>
        </w:rPr>
        <w:t xml:space="preserve"> </w:t>
      </w:r>
      <w:r>
        <w:rPr>
          <w:rFonts w:eastAsiaTheme="minorEastAsia"/>
        </w:rPr>
        <w:t xml:space="preserve">Summary’. </w:t>
      </w:r>
    </w:p>
    <w:p w14:paraId="3D114FDB" w14:textId="77777777" w:rsidR="009768BA" w:rsidRPr="00EA6D69" w:rsidRDefault="009768BA" w:rsidP="009768BA">
      <w:pPr>
        <w:rPr>
          <w:rFonts w:eastAsiaTheme="minorEastAsia"/>
        </w:rPr>
      </w:pPr>
      <w:r w:rsidRPr="00EA6D69">
        <w:rPr>
          <w:rFonts w:eastAsiaTheme="minorEastAsia"/>
        </w:rPr>
        <w:t xml:space="preserve">The clinical summary is often the longest and least consistent section due to its unstructured (free text) composition. It is also highly variable based on case complexity, patient needs, and preferences of the authoring clinician. Despite the lack of consensus during consultation with clinicians regarding the ideal structure of this section, </w:t>
      </w:r>
      <w:r>
        <w:rPr>
          <w:rFonts w:eastAsiaTheme="minorEastAsia"/>
        </w:rPr>
        <w:t>improved consistency in the presentation of this section could be achieved by:</w:t>
      </w:r>
    </w:p>
    <w:p w14:paraId="5C3168A9" w14:textId="374AE71A" w:rsidR="009768BA" w:rsidRPr="00EA6D69" w:rsidRDefault="009768BA" w:rsidP="00340141">
      <w:pPr>
        <w:pStyle w:val="ListBullet"/>
        <w:rPr>
          <w:rFonts w:eastAsiaTheme="minorEastAsia"/>
        </w:rPr>
      </w:pPr>
      <w:r>
        <w:rPr>
          <w:rFonts w:eastAsiaTheme="minorEastAsia"/>
        </w:rPr>
        <w:t xml:space="preserve">Following an agreed </w:t>
      </w:r>
      <w:r w:rsidRPr="00EA6D69">
        <w:rPr>
          <w:rFonts w:eastAsiaTheme="minorEastAsia"/>
        </w:rPr>
        <w:t xml:space="preserve">logical structure </w:t>
      </w:r>
      <w:r>
        <w:rPr>
          <w:rFonts w:eastAsiaTheme="minorEastAsia"/>
        </w:rPr>
        <w:t xml:space="preserve">to documentation at the local health service level </w:t>
      </w:r>
      <w:r w:rsidRPr="00EA6D69">
        <w:rPr>
          <w:rFonts w:eastAsiaTheme="minorEastAsia"/>
        </w:rPr>
        <w:t>(</w:t>
      </w:r>
      <w:r w:rsidR="00692395">
        <w:rPr>
          <w:rFonts w:eastAsiaTheme="minorEastAsia"/>
        </w:rPr>
        <w:t xml:space="preserve">for example, </w:t>
      </w:r>
      <w:r w:rsidRPr="00EA6D69">
        <w:rPr>
          <w:rFonts w:eastAsiaTheme="minorEastAsia"/>
        </w:rPr>
        <w:t>problem-based clinical notes)</w:t>
      </w:r>
    </w:p>
    <w:p w14:paraId="1B11A3FC" w14:textId="4FEA8AC0" w:rsidR="009768BA" w:rsidRPr="009C0248" w:rsidRDefault="009768BA" w:rsidP="009C0248">
      <w:pPr>
        <w:pStyle w:val="ListBullet"/>
        <w:spacing w:after="240"/>
        <w:ind w:left="357" w:hanging="357"/>
        <w:rPr>
          <w:rFonts w:eastAsiaTheme="minorEastAsia"/>
        </w:rPr>
      </w:pPr>
      <w:r>
        <w:rPr>
          <w:rFonts w:eastAsiaTheme="minorEastAsia"/>
        </w:rPr>
        <w:t>Using clinical judgment to ensure c</w:t>
      </w:r>
      <w:r w:rsidRPr="00EA6D69">
        <w:rPr>
          <w:rFonts w:eastAsiaTheme="minorEastAsia"/>
        </w:rPr>
        <w:t xml:space="preserve">ontent </w:t>
      </w:r>
      <w:r>
        <w:rPr>
          <w:rFonts w:eastAsiaTheme="minorEastAsia"/>
        </w:rPr>
        <w:t xml:space="preserve">is </w:t>
      </w:r>
      <w:r w:rsidRPr="00EA6D69">
        <w:rPr>
          <w:rFonts w:eastAsiaTheme="minorEastAsia"/>
        </w:rPr>
        <w:t>relevant, concise and curated</w:t>
      </w:r>
      <w:r>
        <w:rPr>
          <w:rFonts w:eastAsiaTheme="minorEastAsia"/>
        </w:rPr>
        <w:t>.</w:t>
      </w:r>
    </w:p>
    <w:tbl>
      <w:tblPr>
        <w:tblStyle w:val="SQHTable"/>
        <w:tblW w:w="5000" w:type="pct"/>
        <w:tblBorders>
          <w:top w:val="none" w:sz="0" w:space="0" w:color="auto"/>
          <w:insideV w:val="single" w:sz="12" w:space="0" w:color="FFFFFF" w:themeColor="background1"/>
        </w:tblBorders>
        <w:tblLook w:val="0420" w:firstRow="1" w:lastRow="0" w:firstColumn="0" w:lastColumn="0" w:noHBand="0" w:noVBand="1"/>
        <w:tblCaption w:val="Clinical Summary"/>
      </w:tblPr>
      <w:tblGrid>
        <w:gridCol w:w="4763"/>
        <w:gridCol w:w="4421"/>
      </w:tblGrid>
      <w:tr w:rsidR="009768BA" w:rsidRPr="000C2005" w14:paraId="22FDE366" w14:textId="77777777" w:rsidTr="00D15F2D">
        <w:trPr>
          <w:cnfStyle w:val="100000000000" w:firstRow="1" w:lastRow="0" w:firstColumn="0" w:lastColumn="0" w:oddVBand="0" w:evenVBand="0" w:oddHBand="0" w:evenHBand="0" w:firstRowFirstColumn="0" w:firstRowLastColumn="0" w:lastRowFirstColumn="0" w:lastRowLastColumn="0"/>
        </w:trPr>
        <w:tc>
          <w:tcPr>
            <w:tcW w:w="25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CCAF86" w14:textId="77777777" w:rsidR="009768BA" w:rsidRPr="008E0981" w:rsidRDefault="009768BA" w:rsidP="008E0981">
            <w:r w:rsidRPr="008E0981">
              <w:t>Recommendation</w:t>
            </w:r>
          </w:p>
        </w:tc>
        <w:tc>
          <w:tcPr>
            <w:tcW w:w="24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766B43" w14:textId="77777777" w:rsidR="009768BA" w:rsidRPr="008E0981" w:rsidRDefault="009768BA" w:rsidP="008E0981">
            <w:r w:rsidRPr="008E0981">
              <w:t xml:space="preserve">Rationale </w:t>
            </w:r>
          </w:p>
        </w:tc>
      </w:tr>
      <w:tr w:rsidR="009768BA" w:rsidRPr="000C2005" w14:paraId="56B6B2B0" w14:textId="77777777" w:rsidTr="00D15F2D">
        <w:tc>
          <w:tcPr>
            <w:tcW w:w="2593" w:type="pct"/>
          </w:tcPr>
          <w:p w14:paraId="010995C7" w14:textId="77777777" w:rsidR="009768BA" w:rsidRPr="00C901C6" w:rsidRDefault="009768BA" w:rsidP="00C901C6">
            <w:r w:rsidRPr="00C901C6">
              <w:t>The clinical summary should be a curated and concise overview of the clinical problems, their treatment and their outcomes. Avoid ‘copy and paste’ of information from the progress notes in the electronic medical record.</w:t>
            </w:r>
          </w:p>
        </w:tc>
        <w:tc>
          <w:tcPr>
            <w:tcW w:w="2407" w:type="pct"/>
          </w:tcPr>
          <w:p w14:paraId="67C39EF9" w14:textId="77777777" w:rsidR="009768BA" w:rsidRPr="00C901C6" w:rsidRDefault="009768BA" w:rsidP="00C901C6">
            <w:r w:rsidRPr="00C901C6">
              <w:t xml:space="preserve">This section should give the healthcare provider receiving the EDS, a concise overview of the key clinical issues. </w:t>
            </w:r>
          </w:p>
        </w:tc>
      </w:tr>
      <w:tr w:rsidR="009768BA" w:rsidRPr="000C2005" w14:paraId="5B7A08F3" w14:textId="77777777" w:rsidTr="00D15F2D">
        <w:trPr>
          <w:cnfStyle w:val="000000010000" w:firstRow="0" w:lastRow="0" w:firstColumn="0" w:lastColumn="0" w:oddVBand="0" w:evenVBand="0" w:oddHBand="0" w:evenHBand="1" w:firstRowFirstColumn="0" w:firstRowLastColumn="0" w:lastRowFirstColumn="0" w:lastRowLastColumn="0"/>
        </w:trPr>
        <w:tc>
          <w:tcPr>
            <w:tcW w:w="2593" w:type="pct"/>
          </w:tcPr>
          <w:p w14:paraId="39F1F563" w14:textId="77777777" w:rsidR="009768BA" w:rsidRDefault="009768BA" w:rsidP="00C901C6">
            <w:pPr>
              <w:rPr>
                <w:rFonts w:eastAsiaTheme="minorEastAsia"/>
                <w:szCs w:val="20"/>
                <w:lang w:bidi="en-US"/>
              </w:rPr>
            </w:pPr>
            <w:r>
              <w:rPr>
                <w:rFonts w:eastAsiaTheme="minorEastAsia"/>
                <w:szCs w:val="20"/>
                <w:lang w:bidi="en-US"/>
              </w:rPr>
              <w:t>Formatting with</w:t>
            </w:r>
            <w:r w:rsidRPr="003C5411">
              <w:rPr>
                <w:rFonts w:eastAsiaTheme="minorEastAsia"/>
                <w:szCs w:val="20"/>
                <w:lang w:bidi="en-US"/>
              </w:rPr>
              <w:t xml:space="preserve"> bullet points</w:t>
            </w:r>
            <w:r>
              <w:rPr>
                <w:rFonts w:eastAsiaTheme="minorEastAsia"/>
                <w:szCs w:val="20"/>
                <w:lang w:bidi="en-US"/>
              </w:rPr>
              <w:t>,</w:t>
            </w:r>
            <w:r w:rsidRPr="003C5411">
              <w:rPr>
                <w:rFonts w:eastAsiaTheme="minorEastAsia"/>
                <w:szCs w:val="20"/>
                <w:lang w:bidi="en-US"/>
              </w:rPr>
              <w:t xml:space="preserve"> </w:t>
            </w:r>
            <w:r w:rsidRPr="00C901C6">
              <w:t>short</w:t>
            </w:r>
            <w:r w:rsidRPr="003C5411">
              <w:rPr>
                <w:rFonts w:eastAsiaTheme="minorEastAsia"/>
                <w:szCs w:val="20"/>
                <w:lang w:bidi="en-US"/>
              </w:rPr>
              <w:t xml:space="preserve"> sentences</w:t>
            </w:r>
            <w:r>
              <w:rPr>
                <w:rFonts w:eastAsiaTheme="minorEastAsia"/>
                <w:szCs w:val="20"/>
                <w:lang w:bidi="en-US"/>
              </w:rPr>
              <w:t>, and bold text to highlight key issues is preferred over paragraphs of text in a narrative form.</w:t>
            </w:r>
          </w:p>
          <w:p w14:paraId="125F9C94" w14:textId="77777777" w:rsidR="009768BA" w:rsidRPr="00750689" w:rsidRDefault="009768BA" w:rsidP="00E373EE">
            <w:pPr>
              <w:widowControl w:val="0"/>
              <w:tabs>
                <w:tab w:val="left" w:pos="2085"/>
              </w:tabs>
              <w:autoSpaceDE w:val="0"/>
              <w:autoSpaceDN w:val="0"/>
              <w:spacing w:before="55" w:after="0"/>
              <w:ind w:right="57"/>
              <w:rPr>
                <w:szCs w:val="20"/>
              </w:rPr>
            </w:pPr>
          </w:p>
        </w:tc>
        <w:tc>
          <w:tcPr>
            <w:tcW w:w="2407" w:type="pct"/>
          </w:tcPr>
          <w:p w14:paraId="7906836C" w14:textId="77777777" w:rsidR="009768BA" w:rsidRDefault="009768BA" w:rsidP="001E0B52">
            <w:pPr>
              <w:pStyle w:val="ListParagraph"/>
              <w:numPr>
                <w:ilvl w:val="0"/>
                <w:numId w:val="7"/>
              </w:numPr>
              <w:rPr>
                <w:rFonts w:eastAsiaTheme="minorEastAsia"/>
                <w:szCs w:val="20"/>
              </w:rPr>
            </w:pPr>
            <w:r w:rsidRPr="003224B4">
              <w:rPr>
                <w:rFonts w:eastAsiaTheme="minorEastAsia"/>
                <w:szCs w:val="20"/>
              </w:rPr>
              <w:t>This section is often one of the largest and least consistent in the EDS, appropriate formatting should be used to facilitate</w:t>
            </w:r>
            <w:r w:rsidRPr="003C5411">
              <w:rPr>
                <w:rFonts w:eastAsiaTheme="minorEastAsia"/>
                <w:szCs w:val="20"/>
              </w:rPr>
              <w:t xml:space="preserve"> readabilit</w:t>
            </w:r>
            <w:r>
              <w:rPr>
                <w:rFonts w:eastAsiaTheme="minorEastAsia"/>
                <w:szCs w:val="20"/>
              </w:rPr>
              <w:t>y.</w:t>
            </w:r>
          </w:p>
          <w:p w14:paraId="09ECC624" w14:textId="77777777" w:rsidR="009768BA" w:rsidRPr="003C5411" w:rsidRDefault="009768BA" w:rsidP="001E0B52">
            <w:pPr>
              <w:pStyle w:val="ListParagraph"/>
              <w:numPr>
                <w:ilvl w:val="0"/>
                <w:numId w:val="7"/>
              </w:numPr>
              <w:rPr>
                <w:rFonts w:eastAsiaTheme="minorEastAsia"/>
                <w:szCs w:val="20"/>
              </w:rPr>
            </w:pPr>
            <w:r>
              <w:rPr>
                <w:rFonts w:eastAsiaTheme="minorEastAsia"/>
                <w:szCs w:val="20"/>
              </w:rPr>
              <w:t>The use of bullet points aligns with heuristics principles to improve readability of the text.</w:t>
            </w:r>
          </w:p>
        </w:tc>
      </w:tr>
    </w:tbl>
    <w:p w14:paraId="31D088C0" w14:textId="77777777" w:rsidR="00BD4D35" w:rsidRDefault="00BD4D35" w:rsidP="009768BA">
      <w:pPr>
        <w:pStyle w:val="Heading3"/>
        <w:rPr>
          <w:rFonts w:eastAsiaTheme="minorEastAsia"/>
        </w:rPr>
      </w:pPr>
      <w:r>
        <w:rPr>
          <w:rFonts w:eastAsiaTheme="minorEastAsia"/>
        </w:rPr>
        <w:br w:type="page"/>
      </w:r>
    </w:p>
    <w:p w14:paraId="73B6431E" w14:textId="1B7ECC20" w:rsidR="009768BA" w:rsidRDefault="009768BA" w:rsidP="009768BA">
      <w:pPr>
        <w:pStyle w:val="Heading3"/>
        <w:rPr>
          <w:rFonts w:eastAsiaTheme="minorEastAsia"/>
        </w:rPr>
      </w:pPr>
      <w:r>
        <w:rPr>
          <w:rFonts w:eastAsiaTheme="minorEastAsia"/>
        </w:rPr>
        <w:lastRenderedPageBreak/>
        <w:t xml:space="preserve">Allergies and </w:t>
      </w:r>
      <w:r w:rsidR="00AA267E">
        <w:rPr>
          <w:rFonts w:eastAsiaTheme="minorEastAsia"/>
        </w:rPr>
        <w:t>a</w:t>
      </w:r>
      <w:r>
        <w:rPr>
          <w:rFonts w:eastAsiaTheme="minorEastAsia"/>
        </w:rPr>
        <w:t>dverse reactions</w:t>
      </w:r>
    </w:p>
    <w:p w14:paraId="2A9358EC" w14:textId="77777777" w:rsidR="008E0981" w:rsidRDefault="008E0981" w:rsidP="008E0981">
      <w:pPr>
        <w:spacing w:after="240"/>
        <w:rPr>
          <w:rFonts w:eastAsiaTheme="minorEastAsia"/>
        </w:rPr>
      </w:pPr>
      <w:r>
        <w:rPr>
          <w:rFonts w:eastAsiaTheme="minorEastAsia"/>
        </w:rPr>
        <w:t>This component should list all documented allergies and adverse reactions including those that are pre-existing and newly identified. This section should not be used for extensive documentation but rather to capture the key discrete data for each allergy or adverse reaction. For more information on documentation of allergies and adverse reactions refer to the ‘Clinical</w:t>
      </w:r>
      <w:r w:rsidRPr="00CC5A0A" w:rsidDel="00EA1A2A">
        <w:rPr>
          <w:rFonts w:eastAsiaTheme="minorEastAsia"/>
          <w:highlight w:val="yellow"/>
        </w:rPr>
        <w:t xml:space="preserve"> </w:t>
      </w:r>
      <w:r>
        <w:rPr>
          <w:rFonts w:eastAsiaTheme="minorEastAsia"/>
        </w:rPr>
        <w:t>Summary’ component of the EDS.</w:t>
      </w:r>
    </w:p>
    <w:tbl>
      <w:tblPr>
        <w:tblStyle w:val="SQHTable"/>
        <w:tblW w:w="5000" w:type="pct"/>
        <w:tblLook w:val="0420" w:firstRow="1" w:lastRow="0" w:firstColumn="0" w:lastColumn="0" w:noHBand="0" w:noVBand="1"/>
        <w:tblCaption w:val="Allergies and adverse reactions"/>
      </w:tblPr>
      <w:tblGrid>
        <w:gridCol w:w="4035"/>
        <w:gridCol w:w="5149"/>
      </w:tblGrid>
      <w:tr w:rsidR="009768BA" w:rsidRPr="004569AE" w14:paraId="27B7155D" w14:textId="77777777" w:rsidTr="00D15F2D">
        <w:trPr>
          <w:cnfStyle w:val="100000000000" w:firstRow="1" w:lastRow="0" w:firstColumn="0" w:lastColumn="0" w:oddVBand="0" w:evenVBand="0" w:oddHBand="0" w:evenHBand="0" w:firstRowFirstColumn="0" w:firstRowLastColumn="0" w:lastRowFirstColumn="0" w:lastRowLastColumn="0"/>
        </w:trPr>
        <w:tc>
          <w:tcPr>
            <w:tcW w:w="2197" w:type="pct"/>
            <w:tcBorders>
              <w:right w:val="single" w:sz="12" w:space="0" w:color="FFFFFF" w:themeColor="background1"/>
            </w:tcBorders>
          </w:tcPr>
          <w:p w14:paraId="6D4252EF" w14:textId="77777777" w:rsidR="009768BA" w:rsidRPr="004569AE" w:rsidRDefault="009768BA" w:rsidP="004569AE">
            <w:r w:rsidRPr="004569AE">
              <w:t>Recommendation</w:t>
            </w:r>
          </w:p>
        </w:tc>
        <w:tc>
          <w:tcPr>
            <w:tcW w:w="2803" w:type="pct"/>
            <w:tcBorders>
              <w:left w:val="single" w:sz="12" w:space="0" w:color="FFFFFF" w:themeColor="background1"/>
            </w:tcBorders>
          </w:tcPr>
          <w:p w14:paraId="2474964F" w14:textId="77777777" w:rsidR="009768BA" w:rsidRPr="004569AE" w:rsidRDefault="009768BA" w:rsidP="004569AE">
            <w:r w:rsidRPr="004569AE">
              <w:t xml:space="preserve">Rationale </w:t>
            </w:r>
          </w:p>
        </w:tc>
      </w:tr>
      <w:tr w:rsidR="009768BA" w:rsidRPr="004569AE" w14:paraId="38B1B02B" w14:textId="77777777" w:rsidTr="00D15F2D">
        <w:tc>
          <w:tcPr>
            <w:tcW w:w="2197" w:type="pct"/>
            <w:tcBorders>
              <w:right w:val="single" w:sz="12" w:space="0" w:color="FFFFFF" w:themeColor="background1"/>
            </w:tcBorders>
          </w:tcPr>
          <w:p w14:paraId="35BB6142" w14:textId="01E4DCFE" w:rsidR="009768BA" w:rsidRPr="004569AE" w:rsidRDefault="009768BA" w:rsidP="004569AE">
            <w:r w:rsidRPr="004569AE">
              <w:t>Ensure this section precedes the ‘Medicines on discharge’ section</w:t>
            </w:r>
            <w:r w:rsidR="004569AE">
              <w:t>.</w:t>
            </w:r>
          </w:p>
        </w:tc>
        <w:tc>
          <w:tcPr>
            <w:tcW w:w="2803" w:type="pct"/>
            <w:tcBorders>
              <w:left w:val="single" w:sz="12" w:space="0" w:color="FFFFFF" w:themeColor="background1"/>
            </w:tcBorders>
          </w:tcPr>
          <w:p w14:paraId="708EFDF6" w14:textId="77777777" w:rsidR="009768BA" w:rsidRPr="004569AE" w:rsidRDefault="009768BA" w:rsidP="004569AE">
            <w:r w:rsidRPr="004569AE">
              <w:t>Allergies and adverse reactions are presented before medicines on discharge because of the relationship between these two sections.</w:t>
            </w:r>
          </w:p>
        </w:tc>
      </w:tr>
      <w:tr w:rsidR="009768BA" w:rsidRPr="004569AE" w14:paraId="7CFC7FD2" w14:textId="77777777" w:rsidTr="00D15F2D">
        <w:trPr>
          <w:cnfStyle w:val="000000010000" w:firstRow="0" w:lastRow="0" w:firstColumn="0" w:lastColumn="0" w:oddVBand="0" w:evenVBand="0" w:oddHBand="0" w:evenHBand="1" w:firstRowFirstColumn="0" w:firstRowLastColumn="0" w:lastRowFirstColumn="0" w:lastRowLastColumn="0"/>
        </w:trPr>
        <w:tc>
          <w:tcPr>
            <w:tcW w:w="2197" w:type="pct"/>
            <w:tcBorders>
              <w:right w:val="single" w:sz="12" w:space="0" w:color="FFFFFF" w:themeColor="background1"/>
            </w:tcBorders>
          </w:tcPr>
          <w:p w14:paraId="13C02762" w14:textId="77777777" w:rsidR="009768BA" w:rsidRPr="004569AE" w:rsidRDefault="009768BA" w:rsidP="004569AE">
            <w:r w:rsidRPr="004569AE">
              <w:t>Display allergies and adverse reactions in a table format</w:t>
            </w:r>
          </w:p>
        </w:tc>
        <w:tc>
          <w:tcPr>
            <w:tcW w:w="2803" w:type="pct"/>
            <w:tcBorders>
              <w:left w:val="single" w:sz="12" w:space="0" w:color="FFFFFF" w:themeColor="background1"/>
            </w:tcBorders>
          </w:tcPr>
          <w:p w14:paraId="4DB39233" w14:textId="50C74542" w:rsidR="009768BA" w:rsidRPr="004569AE" w:rsidRDefault="009768BA" w:rsidP="004569AE">
            <w:r w:rsidRPr="004569AE">
              <w:t>Presenting this information in a table format facilitates</w:t>
            </w:r>
            <w:r w:rsidR="004569AE">
              <w:t> </w:t>
            </w:r>
            <w:r w:rsidRPr="004569AE">
              <w:t>readability.</w:t>
            </w:r>
          </w:p>
        </w:tc>
      </w:tr>
      <w:tr w:rsidR="009768BA" w:rsidRPr="004569AE" w14:paraId="3A226C88" w14:textId="77777777" w:rsidTr="00D15F2D">
        <w:tc>
          <w:tcPr>
            <w:tcW w:w="2197" w:type="pct"/>
            <w:tcBorders>
              <w:right w:val="single" w:sz="12" w:space="0" w:color="FFFFFF" w:themeColor="background1"/>
            </w:tcBorders>
          </w:tcPr>
          <w:p w14:paraId="7DC09E8F" w14:textId="77777777" w:rsidR="009768BA" w:rsidRPr="004569AE" w:rsidRDefault="009768BA" w:rsidP="004569AE">
            <w:r w:rsidRPr="004569AE">
              <w:t>The following minimum information should be included:</w:t>
            </w:r>
          </w:p>
          <w:p w14:paraId="618FDD24" w14:textId="77777777" w:rsidR="009768BA" w:rsidRPr="004569AE" w:rsidRDefault="009768BA" w:rsidP="004569AE">
            <w:pPr>
              <w:pStyle w:val="ListBullet"/>
              <w:rPr>
                <w:rFonts w:eastAsiaTheme="minorEastAsia"/>
              </w:rPr>
            </w:pPr>
            <w:r w:rsidRPr="004569AE">
              <w:rPr>
                <w:rFonts w:eastAsiaTheme="minorEastAsia"/>
              </w:rPr>
              <w:t>Substance name</w:t>
            </w:r>
          </w:p>
          <w:p w14:paraId="67239E65" w14:textId="0858C80B" w:rsidR="009768BA" w:rsidRPr="004569AE" w:rsidRDefault="009768BA" w:rsidP="004569AE">
            <w:pPr>
              <w:pStyle w:val="ListBullet"/>
              <w:rPr>
                <w:rFonts w:eastAsiaTheme="minorEastAsia"/>
              </w:rPr>
            </w:pPr>
            <w:r w:rsidRPr="004569AE">
              <w:rPr>
                <w:rFonts w:eastAsiaTheme="minorEastAsia"/>
              </w:rPr>
              <w:t>Clinical manifestation</w:t>
            </w:r>
            <w:r w:rsidR="00EC4DD4" w:rsidRPr="004569AE">
              <w:rPr>
                <w:rFonts w:eastAsiaTheme="minorEastAsia"/>
              </w:rPr>
              <w:t>(s)</w:t>
            </w:r>
            <w:r w:rsidRPr="004569AE">
              <w:rPr>
                <w:rFonts w:eastAsiaTheme="minorEastAsia"/>
              </w:rPr>
              <w:t xml:space="preserve"> (</w:t>
            </w:r>
            <w:r w:rsidR="00692395" w:rsidRPr="004569AE">
              <w:rPr>
                <w:rFonts w:eastAsiaTheme="minorEastAsia"/>
              </w:rPr>
              <w:t xml:space="preserve">for example, </w:t>
            </w:r>
            <w:r w:rsidRPr="004569AE">
              <w:rPr>
                <w:rFonts w:eastAsiaTheme="minorEastAsia"/>
              </w:rPr>
              <w:t>urticaria, vomiting, angioedema)</w:t>
            </w:r>
          </w:p>
          <w:p w14:paraId="45EBDA96" w14:textId="0EB405A8" w:rsidR="009768BA" w:rsidRPr="004C044C" w:rsidRDefault="009768BA" w:rsidP="004569AE">
            <w:pPr>
              <w:pStyle w:val="ListBullet"/>
              <w:rPr>
                <w:rFonts w:eastAsiaTheme="minorEastAsia"/>
              </w:rPr>
            </w:pPr>
            <w:r w:rsidRPr="004569AE">
              <w:rPr>
                <w:rFonts w:eastAsiaTheme="minorEastAsia"/>
              </w:rPr>
              <w:t>Severity of reaction</w:t>
            </w:r>
            <w:r w:rsidR="004569AE">
              <w:t>.</w:t>
            </w:r>
          </w:p>
        </w:tc>
        <w:tc>
          <w:tcPr>
            <w:tcW w:w="2803" w:type="pct"/>
            <w:tcBorders>
              <w:left w:val="single" w:sz="12" w:space="0" w:color="FFFFFF" w:themeColor="background1"/>
            </w:tcBorders>
          </w:tcPr>
          <w:p w14:paraId="55A1C57F" w14:textId="2B49B34F" w:rsidR="009768BA" w:rsidRPr="004569AE" w:rsidRDefault="009768BA" w:rsidP="004569AE">
            <w:r w:rsidRPr="004569AE">
              <w:t>Consistent with Australian Core Data for Interoperability</w:t>
            </w:r>
            <w:r w:rsidRPr="004569AE">
              <w:rPr>
                <w:rStyle w:val="Superscript"/>
              </w:rPr>
              <w:t>6</w:t>
            </w:r>
            <w:r w:rsidRPr="004569AE">
              <w:t xml:space="preserve"> available at the time of publication.</w:t>
            </w:r>
          </w:p>
        </w:tc>
      </w:tr>
      <w:tr w:rsidR="009768BA" w:rsidRPr="004569AE" w14:paraId="04EE6912" w14:textId="77777777" w:rsidTr="00D15F2D">
        <w:trPr>
          <w:cnfStyle w:val="000000010000" w:firstRow="0" w:lastRow="0" w:firstColumn="0" w:lastColumn="0" w:oddVBand="0" w:evenVBand="0" w:oddHBand="0" w:evenHBand="1" w:firstRowFirstColumn="0" w:firstRowLastColumn="0" w:lastRowFirstColumn="0" w:lastRowLastColumn="0"/>
        </w:trPr>
        <w:tc>
          <w:tcPr>
            <w:tcW w:w="2197" w:type="pct"/>
            <w:tcBorders>
              <w:bottom w:val="single" w:sz="4" w:space="0" w:color="FFFFFF" w:themeColor="background1"/>
              <w:right w:val="single" w:sz="12" w:space="0" w:color="FFFFFF" w:themeColor="background1"/>
            </w:tcBorders>
          </w:tcPr>
          <w:p w14:paraId="08A1D292" w14:textId="7698C801" w:rsidR="009768BA" w:rsidRPr="004569AE" w:rsidRDefault="009768BA" w:rsidP="004C044C">
            <w:r w:rsidRPr="004569AE">
              <w:t xml:space="preserve">Use standard terminology value sets published by the National Clinical Terminology Service (NCTS) for coding of this data group. </w:t>
            </w:r>
          </w:p>
        </w:tc>
        <w:tc>
          <w:tcPr>
            <w:tcW w:w="2803" w:type="pct"/>
            <w:tcBorders>
              <w:left w:val="single" w:sz="12" w:space="0" w:color="FFFFFF" w:themeColor="background1"/>
              <w:bottom w:val="single" w:sz="4" w:space="0" w:color="FFFFFF" w:themeColor="background1"/>
            </w:tcBorders>
          </w:tcPr>
          <w:p w14:paraId="4317D90C" w14:textId="0B55D353" w:rsidR="009768BA" w:rsidRPr="004569AE" w:rsidRDefault="009768BA" w:rsidP="004569AE">
            <w:r w:rsidRPr="004569AE">
              <w:t>The use of standard terminology sets aligns with national efforts to support interoperability and data</w:t>
            </w:r>
            <w:r w:rsidR="004C044C">
              <w:t> </w:t>
            </w:r>
            <w:r w:rsidRPr="004569AE">
              <w:t>quality</w:t>
            </w:r>
            <w:r w:rsidR="004569AE">
              <w:t>.</w:t>
            </w:r>
            <w:r w:rsidRPr="004569AE">
              <w:rPr>
                <w:rStyle w:val="Superscript"/>
              </w:rPr>
              <w:t>6</w:t>
            </w:r>
          </w:p>
        </w:tc>
      </w:tr>
      <w:tr w:rsidR="009768BA" w:rsidRPr="004569AE" w14:paraId="0FFAAA88" w14:textId="77777777" w:rsidTr="00D15F2D">
        <w:tc>
          <w:tcPr>
            <w:tcW w:w="2197" w:type="pct"/>
            <w:tcBorders>
              <w:bottom w:val="single" w:sz="4" w:space="0" w:color="E9E0FF"/>
              <w:right w:val="single" w:sz="12" w:space="0" w:color="FFFFFF" w:themeColor="background1"/>
            </w:tcBorders>
          </w:tcPr>
          <w:p w14:paraId="4941847F" w14:textId="77777777" w:rsidR="009768BA" w:rsidRPr="004569AE" w:rsidRDefault="009768BA" w:rsidP="004569AE">
            <w:r w:rsidRPr="004569AE">
              <w:t>The allergies section should always be included in an EDS. If no allergies are recorded, include a statement to indicate that there are no known allergies.</w:t>
            </w:r>
          </w:p>
        </w:tc>
        <w:tc>
          <w:tcPr>
            <w:tcW w:w="2803" w:type="pct"/>
            <w:tcBorders>
              <w:left w:val="single" w:sz="12" w:space="0" w:color="FFFFFF" w:themeColor="background1"/>
              <w:bottom w:val="single" w:sz="4" w:space="0" w:color="E9E0FF"/>
            </w:tcBorders>
          </w:tcPr>
          <w:p w14:paraId="7184D560" w14:textId="77777777" w:rsidR="009768BA" w:rsidRPr="004569AE" w:rsidDel="005B36F2" w:rsidRDefault="009768BA" w:rsidP="004569AE">
            <w:r w:rsidRPr="004569AE">
              <w:t>A qualifying statement confirms that the absence of recorded allergies is not an omission error.</w:t>
            </w:r>
          </w:p>
        </w:tc>
      </w:tr>
    </w:tbl>
    <w:p w14:paraId="0A26F7BC" w14:textId="77777777" w:rsidR="008E0981" w:rsidRDefault="008E0981" w:rsidP="004E302A">
      <w:pPr>
        <w:pStyle w:val="Heading3"/>
        <w:spacing w:before="360"/>
        <w:rPr>
          <w:rFonts w:eastAsiaTheme="minorEastAsia"/>
        </w:rPr>
      </w:pPr>
      <w:r>
        <w:rPr>
          <w:rFonts w:eastAsiaTheme="minorEastAsia"/>
        </w:rPr>
        <w:br w:type="page"/>
      </w:r>
    </w:p>
    <w:p w14:paraId="1E6CD131" w14:textId="1D7AC6BD" w:rsidR="009768BA" w:rsidRDefault="009768BA" w:rsidP="004E302A">
      <w:pPr>
        <w:pStyle w:val="Heading3"/>
        <w:spacing w:before="360"/>
        <w:rPr>
          <w:rFonts w:eastAsiaTheme="minorEastAsia"/>
        </w:rPr>
      </w:pPr>
      <w:r w:rsidRPr="00BD1570">
        <w:rPr>
          <w:rFonts w:eastAsiaTheme="minorEastAsia"/>
        </w:rPr>
        <w:lastRenderedPageBreak/>
        <w:t>Medicines on discharge</w:t>
      </w:r>
    </w:p>
    <w:p w14:paraId="444C9894" w14:textId="0A49DB09" w:rsidR="009768BA" w:rsidRPr="00A634BA" w:rsidRDefault="008A0FBC" w:rsidP="008A0FBC">
      <w:pPr>
        <w:spacing w:after="240"/>
        <w:rPr>
          <w:rFonts w:eastAsiaTheme="minorEastAsia"/>
        </w:rPr>
      </w:pPr>
      <w:r>
        <w:rPr>
          <w:rFonts w:eastAsiaTheme="minorEastAsia"/>
        </w:rPr>
        <w:t xml:space="preserve">This </w:t>
      </w:r>
      <w:r w:rsidRPr="00461DC7">
        <w:rPr>
          <w:rFonts w:eastAsiaTheme="minorEastAsia"/>
        </w:rPr>
        <w:t>section</w:t>
      </w:r>
      <w:r w:rsidRPr="00966C7E">
        <w:rPr>
          <w:rFonts w:eastAsiaTheme="minorEastAsia"/>
        </w:rPr>
        <w:t xml:space="preserve"> should include a </w:t>
      </w:r>
      <w:r w:rsidRPr="00EC6EE4">
        <w:rPr>
          <w:rFonts w:eastAsiaTheme="minorEastAsia"/>
        </w:rPr>
        <w:t>complete</w:t>
      </w:r>
      <w:r w:rsidRPr="00966C7E">
        <w:rPr>
          <w:rFonts w:eastAsiaTheme="minorEastAsia"/>
        </w:rPr>
        <w:t xml:space="preserve"> list of medicines</w:t>
      </w:r>
      <w:r>
        <w:rPr>
          <w:rFonts w:eastAsiaTheme="minorEastAsia"/>
        </w:rPr>
        <w:t xml:space="preserve"> (including any complementary or non</w:t>
      </w:r>
      <w:r>
        <w:rPr>
          <w:rFonts w:eastAsiaTheme="minorEastAsia"/>
        </w:rPr>
        <w:noBreakHyphen/>
        <w:t>prescription medicines) and their status at the point of discharge. It should also contain all other relevant medicines-specific instructions for continuity of care on discharge from hospital.</w:t>
      </w:r>
    </w:p>
    <w:tbl>
      <w:tblPr>
        <w:tblStyle w:val="SQHTable"/>
        <w:tblW w:w="5000" w:type="pct"/>
        <w:tblLook w:val="0420" w:firstRow="1" w:lastRow="0" w:firstColumn="0" w:lastColumn="0" w:noHBand="0" w:noVBand="1"/>
        <w:tblCaption w:val="Medicines on discharge"/>
      </w:tblPr>
      <w:tblGrid>
        <w:gridCol w:w="4678"/>
        <w:gridCol w:w="4506"/>
      </w:tblGrid>
      <w:tr w:rsidR="009768BA" w:rsidRPr="000C2005" w14:paraId="3ACEBCE6" w14:textId="77777777" w:rsidTr="00D15F2D">
        <w:trPr>
          <w:cnfStyle w:val="100000000000" w:firstRow="1" w:lastRow="0" w:firstColumn="0" w:lastColumn="0" w:oddVBand="0" w:evenVBand="0" w:oddHBand="0" w:evenHBand="0" w:firstRowFirstColumn="0" w:firstRowLastColumn="0" w:lastRowFirstColumn="0" w:lastRowLastColumn="0"/>
        </w:trPr>
        <w:tc>
          <w:tcPr>
            <w:tcW w:w="2547" w:type="pct"/>
            <w:tcBorders>
              <w:right w:val="single" w:sz="12" w:space="0" w:color="FFFFFF" w:themeColor="background1"/>
            </w:tcBorders>
          </w:tcPr>
          <w:p w14:paraId="498635CA" w14:textId="77777777" w:rsidR="009768BA" w:rsidRPr="00B14D49" w:rsidRDefault="009768BA" w:rsidP="00B14D49">
            <w:r w:rsidRPr="00B14D49">
              <w:t>Recommendation</w:t>
            </w:r>
          </w:p>
        </w:tc>
        <w:tc>
          <w:tcPr>
            <w:tcW w:w="2453" w:type="pct"/>
            <w:tcBorders>
              <w:left w:val="single" w:sz="12" w:space="0" w:color="FFFFFF" w:themeColor="background1"/>
            </w:tcBorders>
          </w:tcPr>
          <w:p w14:paraId="3CCA5FEC" w14:textId="77777777" w:rsidR="009768BA" w:rsidRPr="00B14D49" w:rsidRDefault="009768BA" w:rsidP="00B14D49">
            <w:r w:rsidRPr="00B14D49">
              <w:t xml:space="preserve">Rationale </w:t>
            </w:r>
          </w:p>
        </w:tc>
      </w:tr>
      <w:tr w:rsidR="009768BA" w:rsidRPr="000C2005" w14:paraId="0185DA27" w14:textId="77777777" w:rsidTr="00D15F2D">
        <w:tc>
          <w:tcPr>
            <w:tcW w:w="2547" w:type="pct"/>
            <w:tcBorders>
              <w:right w:val="single" w:sz="12" w:space="0" w:color="FFFFFF" w:themeColor="background1"/>
            </w:tcBorders>
          </w:tcPr>
          <w:p w14:paraId="0F1763E8" w14:textId="7D07C55D" w:rsidR="009768BA" w:rsidRPr="00CE0486" w:rsidRDefault="009768BA" w:rsidP="00CE0486">
            <w:r w:rsidRPr="00CE0486">
              <w:t>Medicines on discharge should be displayed in a table format</w:t>
            </w:r>
          </w:p>
        </w:tc>
        <w:tc>
          <w:tcPr>
            <w:tcW w:w="2453" w:type="pct"/>
            <w:tcBorders>
              <w:left w:val="single" w:sz="12" w:space="0" w:color="FFFFFF" w:themeColor="background1"/>
            </w:tcBorders>
          </w:tcPr>
          <w:p w14:paraId="0F606EC3" w14:textId="77777777" w:rsidR="009768BA" w:rsidRPr="00CE0486" w:rsidRDefault="009768BA" w:rsidP="00CE0486">
            <w:r w:rsidRPr="00CE0486">
              <w:t>Presenting this information in a table format facilitates readability.</w:t>
            </w:r>
          </w:p>
        </w:tc>
      </w:tr>
      <w:tr w:rsidR="009768BA" w:rsidRPr="000C2005" w14:paraId="63DED495" w14:textId="77777777" w:rsidTr="00D15F2D">
        <w:trPr>
          <w:cnfStyle w:val="000000010000" w:firstRow="0" w:lastRow="0" w:firstColumn="0" w:lastColumn="0" w:oddVBand="0" w:evenVBand="0" w:oddHBand="0" w:evenHBand="1" w:firstRowFirstColumn="0" w:firstRowLastColumn="0" w:lastRowFirstColumn="0" w:lastRowLastColumn="0"/>
          <w:trHeight w:val="489"/>
        </w:trPr>
        <w:tc>
          <w:tcPr>
            <w:tcW w:w="2547" w:type="pct"/>
            <w:tcBorders>
              <w:right w:val="single" w:sz="12" w:space="0" w:color="FFFFFF" w:themeColor="background1"/>
            </w:tcBorders>
          </w:tcPr>
          <w:p w14:paraId="070EBD33" w14:textId="092E8DFE" w:rsidR="009768BA" w:rsidRPr="00CE0486" w:rsidRDefault="009768BA" w:rsidP="00CE0486">
            <w:r w:rsidRPr="00CE0486">
              <w:t>Display ‘</w:t>
            </w:r>
            <w:r w:rsidR="008A0FBC">
              <w:t>M</w:t>
            </w:r>
            <w:r w:rsidRPr="00CE0486">
              <w:t>edicines on discharge’ immediately after allergies/adverse reactions</w:t>
            </w:r>
            <w:r w:rsidR="004765EF">
              <w:t>.</w:t>
            </w:r>
          </w:p>
        </w:tc>
        <w:tc>
          <w:tcPr>
            <w:tcW w:w="2453" w:type="pct"/>
            <w:tcBorders>
              <w:left w:val="single" w:sz="12" w:space="0" w:color="FFFFFF" w:themeColor="background1"/>
            </w:tcBorders>
          </w:tcPr>
          <w:p w14:paraId="5B7CF564" w14:textId="59129021" w:rsidR="009768BA" w:rsidRPr="00CE0486" w:rsidRDefault="009768BA" w:rsidP="00CE0486">
            <w:r w:rsidRPr="00CE0486">
              <w:t>Allergies are presented before medicines on discharge because of the relationship between these two sections</w:t>
            </w:r>
            <w:r w:rsidR="00CC5A0A">
              <w:t>.</w:t>
            </w:r>
          </w:p>
        </w:tc>
      </w:tr>
      <w:tr w:rsidR="009768BA" w:rsidRPr="000C2005" w14:paraId="436C6D77" w14:textId="77777777" w:rsidTr="00D15F2D">
        <w:trPr>
          <w:trHeight w:val="544"/>
        </w:trPr>
        <w:tc>
          <w:tcPr>
            <w:tcW w:w="2547" w:type="pct"/>
            <w:tcBorders>
              <w:right w:val="single" w:sz="12" w:space="0" w:color="FFFFFF" w:themeColor="background1"/>
            </w:tcBorders>
          </w:tcPr>
          <w:p w14:paraId="768E32CA" w14:textId="3567E643" w:rsidR="009768BA" w:rsidRPr="00CE0486" w:rsidRDefault="009768BA" w:rsidP="00CE0486">
            <w:r w:rsidRPr="00CE0486">
              <w:t>Display information relating to medicines after the clinical summary</w:t>
            </w:r>
            <w:r w:rsidR="004765EF">
              <w:t>.</w:t>
            </w:r>
          </w:p>
        </w:tc>
        <w:tc>
          <w:tcPr>
            <w:tcW w:w="2453" w:type="pct"/>
            <w:tcBorders>
              <w:left w:val="single" w:sz="12" w:space="0" w:color="FFFFFF" w:themeColor="background1"/>
            </w:tcBorders>
          </w:tcPr>
          <w:p w14:paraId="483F6758" w14:textId="77777777" w:rsidR="009768BA" w:rsidRPr="00CE0486" w:rsidRDefault="009768BA" w:rsidP="00CE0486">
            <w:r w:rsidRPr="00CE0486">
              <w:t>Eye-tracking sessions confirmed that displaying the medicines before describing the treatment provided to the patient could negatively affect readability, causing healthcare providers to scroll up and down to understand why certain medicines were introduced, ceased or changed.</w:t>
            </w:r>
          </w:p>
        </w:tc>
      </w:tr>
      <w:tr w:rsidR="009768BA" w:rsidRPr="000C2005" w14:paraId="2EAC8289" w14:textId="77777777" w:rsidTr="00D15F2D">
        <w:trPr>
          <w:cnfStyle w:val="000000010000" w:firstRow="0" w:lastRow="0" w:firstColumn="0" w:lastColumn="0" w:oddVBand="0" w:evenVBand="0" w:oddHBand="0" w:evenHBand="1" w:firstRowFirstColumn="0" w:firstRowLastColumn="0" w:lastRowFirstColumn="0" w:lastRowLastColumn="0"/>
          <w:trHeight w:val="610"/>
        </w:trPr>
        <w:tc>
          <w:tcPr>
            <w:tcW w:w="2547" w:type="pct"/>
            <w:tcBorders>
              <w:right w:val="single" w:sz="12" w:space="0" w:color="FFFFFF" w:themeColor="background1"/>
            </w:tcBorders>
          </w:tcPr>
          <w:p w14:paraId="52B58D1E" w14:textId="6FF51814" w:rsidR="009768BA" w:rsidRPr="00CE0486" w:rsidRDefault="009768BA" w:rsidP="00CE0486">
            <w:r w:rsidRPr="00CE0486">
              <w:t xml:space="preserve">Medicines information should be displayed according to principles in the </w:t>
            </w:r>
            <w:hyperlink r:id="rId50" w:history="1">
              <w:r w:rsidRPr="00CE0486">
                <w:rPr>
                  <w:rStyle w:val="HyperlinkItalic"/>
                </w:rPr>
                <w:t>National guidelines for on-screen display of medicines information</w:t>
              </w:r>
            </w:hyperlink>
            <w:r w:rsidRPr="00CE0486">
              <w:t>.</w:t>
            </w:r>
          </w:p>
        </w:tc>
        <w:tc>
          <w:tcPr>
            <w:tcW w:w="2453" w:type="pct"/>
            <w:tcBorders>
              <w:left w:val="single" w:sz="12" w:space="0" w:color="FFFFFF" w:themeColor="background1"/>
            </w:tcBorders>
          </w:tcPr>
          <w:p w14:paraId="19F387C6" w14:textId="77777777" w:rsidR="009768BA" w:rsidRPr="00CE0486" w:rsidRDefault="009768BA" w:rsidP="00CE0486">
            <w:r w:rsidRPr="00CE0486">
              <w:t>Medicines information should be presented consistently and in line with evidence-based practice to ensure medication safety.</w:t>
            </w:r>
          </w:p>
        </w:tc>
      </w:tr>
      <w:tr w:rsidR="009768BA" w:rsidRPr="000C2005" w14:paraId="01FDEBC1" w14:textId="77777777" w:rsidTr="00D15F2D">
        <w:tc>
          <w:tcPr>
            <w:tcW w:w="2547" w:type="pct"/>
            <w:tcBorders>
              <w:right w:val="single" w:sz="12" w:space="0" w:color="FFFFFF" w:themeColor="background1"/>
            </w:tcBorders>
          </w:tcPr>
          <w:p w14:paraId="2B187FD0" w14:textId="77777777" w:rsidR="009768BA" w:rsidRPr="00207F95" w:rsidRDefault="009768BA" w:rsidP="00207F95">
            <w:r w:rsidRPr="00207F95">
              <w:t>The minimum information recommended for inclusion in this section include:</w:t>
            </w:r>
          </w:p>
          <w:p w14:paraId="65EC1152" w14:textId="77777777" w:rsidR="009768BA" w:rsidRPr="00207F95" w:rsidRDefault="009768BA" w:rsidP="00207F95">
            <w:pPr>
              <w:pStyle w:val="ListBullet"/>
              <w:rPr>
                <w:rFonts w:eastAsiaTheme="minorEastAsia"/>
              </w:rPr>
            </w:pPr>
            <w:r w:rsidRPr="00207F95">
              <w:rPr>
                <w:rFonts w:eastAsiaTheme="minorEastAsia"/>
              </w:rPr>
              <w:t>Medicine details (name, form strength, route of administration)</w:t>
            </w:r>
          </w:p>
          <w:p w14:paraId="2C6170EC" w14:textId="77777777" w:rsidR="009768BA" w:rsidRPr="00207F95" w:rsidRDefault="009768BA" w:rsidP="00207F95">
            <w:pPr>
              <w:pStyle w:val="ListBullet"/>
              <w:rPr>
                <w:rFonts w:eastAsiaTheme="minorEastAsia"/>
              </w:rPr>
            </w:pPr>
            <w:r w:rsidRPr="00207F95">
              <w:rPr>
                <w:rFonts w:eastAsiaTheme="minorEastAsia"/>
              </w:rPr>
              <w:t>Directions (dose amount, frequency and intended duration)</w:t>
            </w:r>
          </w:p>
          <w:p w14:paraId="3135EA6C" w14:textId="77777777" w:rsidR="009768BA" w:rsidRPr="00207F95" w:rsidRDefault="009768BA" w:rsidP="00207F95">
            <w:pPr>
              <w:pStyle w:val="ListBullet"/>
              <w:rPr>
                <w:rFonts w:eastAsiaTheme="minorEastAsia"/>
              </w:rPr>
            </w:pPr>
            <w:r w:rsidRPr="00207F95">
              <w:rPr>
                <w:rFonts w:eastAsiaTheme="minorEastAsia"/>
              </w:rPr>
              <w:t>Indication</w:t>
            </w:r>
          </w:p>
          <w:p w14:paraId="7C6EFF28" w14:textId="60A38BB4" w:rsidR="009768BA" w:rsidRPr="00207F95" w:rsidRDefault="009768BA" w:rsidP="00207F95">
            <w:pPr>
              <w:pStyle w:val="ListBullet"/>
              <w:rPr>
                <w:rFonts w:eastAsiaTheme="minorEastAsia"/>
              </w:rPr>
            </w:pPr>
            <w:r w:rsidRPr="00207F95">
              <w:rPr>
                <w:rFonts w:eastAsiaTheme="minorEastAsia"/>
              </w:rPr>
              <w:t>Status (</w:t>
            </w:r>
            <w:r w:rsidR="00692395" w:rsidRPr="00207F95">
              <w:rPr>
                <w:rFonts w:eastAsiaTheme="minorEastAsia"/>
              </w:rPr>
              <w:t xml:space="preserve">for example, </w:t>
            </w:r>
            <w:r w:rsidRPr="00207F95">
              <w:rPr>
                <w:rFonts w:eastAsiaTheme="minorEastAsia"/>
              </w:rPr>
              <w:t>changed dose or directions, new, unchanged)</w:t>
            </w:r>
          </w:p>
          <w:p w14:paraId="28A28141" w14:textId="6718328E" w:rsidR="009768BA" w:rsidRPr="00207F95" w:rsidRDefault="009768BA" w:rsidP="00A04FA7">
            <w:pPr>
              <w:pStyle w:val="ListBullet"/>
              <w:rPr>
                <w:rFonts w:eastAsiaTheme="minorEastAsia"/>
              </w:rPr>
            </w:pPr>
            <w:r w:rsidRPr="00207F95">
              <w:rPr>
                <w:rFonts w:eastAsiaTheme="minorEastAsia"/>
              </w:rPr>
              <w:t xml:space="preserve">Additional </w:t>
            </w:r>
            <w:r w:rsidR="000A2408" w:rsidRPr="000A2408">
              <w:rPr>
                <w:rFonts w:eastAsiaTheme="minorEastAsia"/>
                <w:lang w:val="en-GB"/>
              </w:rPr>
              <w:t>information</w:t>
            </w:r>
            <w:r w:rsidR="006B366A">
              <w:rPr>
                <w:rFonts w:eastAsiaTheme="minorEastAsia"/>
              </w:rPr>
              <w:t>.</w:t>
            </w:r>
          </w:p>
        </w:tc>
        <w:tc>
          <w:tcPr>
            <w:tcW w:w="2453" w:type="pct"/>
            <w:tcBorders>
              <w:left w:val="single" w:sz="12" w:space="0" w:color="FFFFFF" w:themeColor="background1"/>
            </w:tcBorders>
          </w:tcPr>
          <w:p w14:paraId="68B1A46E" w14:textId="361E70D6" w:rsidR="009768BA" w:rsidRPr="00207F95" w:rsidRDefault="009768BA" w:rsidP="00207F95">
            <w:r w:rsidRPr="00207F95">
              <w:t>Aligns with Australian Core Data for</w:t>
            </w:r>
            <w:r w:rsidR="008B5006">
              <w:t> </w:t>
            </w:r>
            <w:r w:rsidRPr="00207F95">
              <w:t>Interoperability</w:t>
            </w:r>
            <w:r w:rsidR="00207F95">
              <w:t>.</w:t>
            </w:r>
            <w:r w:rsidRPr="00207F95">
              <w:rPr>
                <w:rStyle w:val="Superscript"/>
              </w:rPr>
              <w:t>6</w:t>
            </w:r>
            <w:r w:rsidRPr="00207F95">
              <w:t xml:space="preserve"> </w:t>
            </w:r>
          </w:p>
        </w:tc>
      </w:tr>
      <w:tr w:rsidR="009768BA" w:rsidRPr="0086137C" w14:paraId="7199A603" w14:textId="77777777" w:rsidTr="00D15F2D">
        <w:trPr>
          <w:cnfStyle w:val="000000010000" w:firstRow="0" w:lastRow="0" w:firstColumn="0" w:lastColumn="0" w:oddVBand="0" w:evenVBand="0" w:oddHBand="0" w:evenHBand="1" w:firstRowFirstColumn="0" w:firstRowLastColumn="0" w:lastRowFirstColumn="0" w:lastRowLastColumn="0"/>
        </w:trPr>
        <w:tc>
          <w:tcPr>
            <w:tcW w:w="2547" w:type="pct"/>
            <w:tcBorders>
              <w:bottom w:val="single" w:sz="4" w:space="0" w:color="FFFFFF" w:themeColor="background1"/>
              <w:right w:val="single" w:sz="12" w:space="0" w:color="FFFFFF" w:themeColor="background1"/>
            </w:tcBorders>
          </w:tcPr>
          <w:p w14:paraId="0549EBC9" w14:textId="308FF4E9" w:rsidR="009768BA" w:rsidRPr="005F63A7" w:rsidRDefault="009768BA" w:rsidP="00207F95">
            <w:pPr>
              <w:rPr>
                <w:rFonts w:eastAsiaTheme="minorEastAsia"/>
                <w:color w:val="282EA0"/>
                <w:u w:val="single"/>
                <w:lang w:val="en-GB"/>
              </w:rPr>
            </w:pPr>
            <w:r w:rsidRPr="00207F95">
              <w:t>Include a column in the table for additional instructions or information necessary for continuity of care.</w:t>
            </w:r>
            <w:r w:rsidR="000A2408">
              <w:t xml:space="preserve"> </w:t>
            </w:r>
            <w:r w:rsidR="000A2408" w:rsidRPr="000A2408">
              <w:rPr>
                <w:lang w:val="en-GB"/>
              </w:rPr>
              <w:t>Refer to</w:t>
            </w:r>
            <w:r w:rsidR="00D23606">
              <w:rPr>
                <w:lang w:val="en-GB"/>
              </w:rPr>
              <w:t xml:space="preserve"> </w:t>
            </w:r>
            <w:r w:rsidR="00D23606" w:rsidRPr="00D23606">
              <w:rPr>
                <w:rStyle w:val="Cross-references"/>
              </w:rPr>
              <w:fldChar w:fldCharType="begin"/>
            </w:r>
            <w:r w:rsidR="00D23606" w:rsidRPr="00D23606">
              <w:rPr>
                <w:rStyle w:val="Cross-references"/>
              </w:rPr>
              <w:instrText xml:space="preserve"> REF PP2 \h </w:instrText>
            </w:r>
            <w:r w:rsidR="00D23606">
              <w:rPr>
                <w:rStyle w:val="Cross-references"/>
              </w:rPr>
              <w:instrText xml:space="preserve"> \* MERGEFORMAT </w:instrText>
            </w:r>
            <w:r w:rsidR="00D23606" w:rsidRPr="00D23606">
              <w:rPr>
                <w:rStyle w:val="Cross-references"/>
              </w:rPr>
            </w:r>
            <w:r w:rsidR="00D23606" w:rsidRPr="00D23606">
              <w:rPr>
                <w:rStyle w:val="Cross-references"/>
              </w:rPr>
              <w:fldChar w:fldCharType="separate"/>
            </w:r>
            <w:r w:rsidR="0032430C" w:rsidRPr="0032430C">
              <w:rPr>
                <w:rStyle w:val="Cross-references"/>
              </w:rPr>
              <w:t>Practice points</w:t>
            </w:r>
            <w:r w:rsidR="00D23606" w:rsidRPr="00D23606">
              <w:rPr>
                <w:rStyle w:val="Cross-references"/>
              </w:rPr>
              <w:fldChar w:fldCharType="end"/>
            </w:r>
            <w:r w:rsidR="00D23606">
              <w:rPr>
                <w:lang w:val="en-GB"/>
              </w:rPr>
              <w:t xml:space="preserve"> </w:t>
            </w:r>
            <w:r w:rsidR="000A2408" w:rsidRPr="000A2408">
              <w:rPr>
                <w:lang w:val="en-GB"/>
              </w:rPr>
              <w:t>for more</w:t>
            </w:r>
            <w:r w:rsidR="007D4A01">
              <w:rPr>
                <w:lang w:val="en-GB"/>
              </w:rPr>
              <w:t> </w:t>
            </w:r>
            <w:r w:rsidR="000A2408" w:rsidRPr="000A2408">
              <w:rPr>
                <w:lang w:val="en-GB"/>
              </w:rPr>
              <w:t>information</w:t>
            </w:r>
            <w:r w:rsidR="000A2408">
              <w:rPr>
                <w:lang w:val="en-GB"/>
              </w:rPr>
              <w:t>.</w:t>
            </w:r>
          </w:p>
        </w:tc>
        <w:tc>
          <w:tcPr>
            <w:tcW w:w="2453" w:type="pct"/>
            <w:tcBorders>
              <w:left w:val="single" w:sz="12" w:space="0" w:color="FFFFFF" w:themeColor="background1"/>
              <w:bottom w:val="single" w:sz="4" w:space="0" w:color="FFFFFF" w:themeColor="background1"/>
            </w:tcBorders>
          </w:tcPr>
          <w:p w14:paraId="7FE738FD" w14:textId="77777777" w:rsidR="009768BA" w:rsidRPr="00207F95" w:rsidRDefault="009768BA" w:rsidP="004765EF">
            <w:pPr>
              <w:pStyle w:val="ListBullet"/>
              <w:rPr>
                <w:rFonts w:eastAsiaTheme="minorEastAsia"/>
              </w:rPr>
            </w:pPr>
            <w:r w:rsidRPr="00207F95">
              <w:rPr>
                <w:rFonts w:eastAsiaTheme="minorEastAsia"/>
              </w:rPr>
              <w:t>This recommendation is based on findings from the literature review and stakeholder consultation indicating that the EDS should include more medicines information.</w:t>
            </w:r>
          </w:p>
          <w:p w14:paraId="648230DE" w14:textId="77777777" w:rsidR="009768BA" w:rsidRPr="00207F95" w:rsidRDefault="009768BA" w:rsidP="004765EF">
            <w:pPr>
              <w:pStyle w:val="ListBullet"/>
              <w:rPr>
                <w:rFonts w:eastAsiaTheme="minorEastAsia"/>
              </w:rPr>
            </w:pPr>
            <w:r w:rsidRPr="00207F95">
              <w:rPr>
                <w:rFonts w:eastAsiaTheme="minorEastAsia"/>
              </w:rPr>
              <w:t>An additional column is proposed for clinicians to clearly document any specific information associated with each medicine.</w:t>
            </w:r>
          </w:p>
        </w:tc>
      </w:tr>
      <w:tr w:rsidR="009768BA" w:rsidRPr="000C2005" w14:paraId="5E200BB5" w14:textId="77777777" w:rsidTr="00D15F2D">
        <w:tc>
          <w:tcPr>
            <w:tcW w:w="2547" w:type="pct"/>
            <w:tcBorders>
              <w:bottom w:val="single" w:sz="4" w:space="0" w:color="E9E0FF"/>
              <w:right w:val="single" w:sz="12" w:space="0" w:color="FFFFFF" w:themeColor="background1"/>
            </w:tcBorders>
          </w:tcPr>
          <w:p w14:paraId="2E82BA7A" w14:textId="6C0CD903" w:rsidR="00460755" w:rsidRPr="00207F95" w:rsidRDefault="009768BA" w:rsidP="00207F95">
            <w:r w:rsidRPr="00207F95">
              <w:t>A reconciled medicines list should be included in a discharge summary. If a medicines list is not available or incomplete, it must be documented clearly in this section.</w:t>
            </w:r>
          </w:p>
        </w:tc>
        <w:tc>
          <w:tcPr>
            <w:tcW w:w="2453" w:type="pct"/>
            <w:tcBorders>
              <w:left w:val="single" w:sz="12" w:space="0" w:color="FFFFFF" w:themeColor="background1"/>
              <w:bottom w:val="single" w:sz="4" w:space="0" w:color="E9E0FF"/>
            </w:tcBorders>
          </w:tcPr>
          <w:p w14:paraId="683897AF" w14:textId="77777777" w:rsidR="009768BA" w:rsidRPr="00207F95" w:rsidRDefault="009768BA" w:rsidP="00207F95">
            <w:r w:rsidRPr="00207F95">
              <w:t>A qualifying statement provides clarity and reduces the risk of medication errors.</w:t>
            </w:r>
          </w:p>
        </w:tc>
      </w:tr>
    </w:tbl>
    <w:p w14:paraId="3F4935A1" w14:textId="3CC94CB1" w:rsidR="009768BA" w:rsidRPr="00052D83" w:rsidRDefault="00C7511F" w:rsidP="001E0B52">
      <w:pPr>
        <w:pStyle w:val="CaptionTable"/>
      </w:pPr>
      <w:r>
        <w:lastRenderedPageBreak/>
        <w:t>Example of a ‘</w:t>
      </w:r>
      <w:r w:rsidRPr="00052D83">
        <w:t xml:space="preserve">Medicines on </w:t>
      </w:r>
      <w:r>
        <w:t>d</w:t>
      </w:r>
      <w:r w:rsidRPr="00052D83">
        <w:t>ischarge</w:t>
      </w:r>
      <w:r>
        <w:t>’ section</w:t>
      </w:r>
      <w:r w:rsidRPr="00052D83">
        <w:t xml:space="preserve"> </w:t>
      </w:r>
      <w:r>
        <w:t>in the EDS</w:t>
      </w:r>
    </w:p>
    <w:tbl>
      <w:tblPr>
        <w:tblStyle w:val="TableGrid"/>
        <w:tblW w:w="9184" w:type="dxa"/>
        <w:tblLayout w:type="fixed"/>
        <w:tblLook w:val="0620" w:firstRow="1" w:lastRow="0" w:firstColumn="0" w:lastColumn="0" w:noHBand="1" w:noVBand="1"/>
        <w:tblCaption w:val="Table 3. Example of a ‘Medicines on discharge’ section in the EDS"/>
      </w:tblPr>
      <w:tblGrid>
        <w:gridCol w:w="1696"/>
        <w:gridCol w:w="1560"/>
        <w:gridCol w:w="1559"/>
        <w:gridCol w:w="1276"/>
        <w:gridCol w:w="3093"/>
      </w:tblGrid>
      <w:tr w:rsidR="00707356" w14:paraId="46200A4C" w14:textId="77777777" w:rsidTr="00C7511F">
        <w:trPr>
          <w:cnfStyle w:val="100000000000" w:firstRow="1" w:lastRow="0" w:firstColumn="0" w:lastColumn="0" w:oddVBand="0" w:evenVBand="0" w:oddHBand="0" w:evenHBand="0" w:firstRowFirstColumn="0" w:firstRowLastColumn="0" w:lastRowFirstColumn="0" w:lastRowLastColumn="0"/>
        </w:trPr>
        <w:tc>
          <w:tcPr>
            <w:tcW w:w="1696" w:type="dxa"/>
          </w:tcPr>
          <w:p w14:paraId="61DAD472" w14:textId="724A3D8F" w:rsidR="00707356" w:rsidRPr="00E1617A" w:rsidRDefault="00707356" w:rsidP="00E1617A">
            <w:r w:rsidRPr="00E1617A">
              <w:t xml:space="preserve">Medicine </w:t>
            </w:r>
          </w:p>
        </w:tc>
        <w:tc>
          <w:tcPr>
            <w:tcW w:w="1560" w:type="dxa"/>
          </w:tcPr>
          <w:p w14:paraId="2314F773" w14:textId="10BD2E06" w:rsidR="00707356" w:rsidRPr="00E1617A" w:rsidRDefault="00707356" w:rsidP="00E1617A">
            <w:r w:rsidRPr="00E1617A">
              <w:t>Directions</w:t>
            </w:r>
          </w:p>
        </w:tc>
        <w:tc>
          <w:tcPr>
            <w:tcW w:w="1559" w:type="dxa"/>
          </w:tcPr>
          <w:p w14:paraId="7665CF0A" w14:textId="16A7820F" w:rsidR="00707356" w:rsidRPr="00E1617A" w:rsidRDefault="00707356" w:rsidP="00E1617A">
            <w:r w:rsidRPr="00E1617A">
              <w:t>Indication</w:t>
            </w:r>
          </w:p>
        </w:tc>
        <w:tc>
          <w:tcPr>
            <w:tcW w:w="1276" w:type="dxa"/>
          </w:tcPr>
          <w:p w14:paraId="3AC4B1C9" w14:textId="19FAF26B" w:rsidR="00707356" w:rsidRPr="00E1617A" w:rsidRDefault="00707356" w:rsidP="00E1617A">
            <w:r w:rsidRPr="00E1617A">
              <w:t>Status</w:t>
            </w:r>
          </w:p>
        </w:tc>
        <w:tc>
          <w:tcPr>
            <w:tcW w:w="3093" w:type="dxa"/>
          </w:tcPr>
          <w:p w14:paraId="26E54F4D" w14:textId="05B58D2F" w:rsidR="00707356" w:rsidRPr="00E1617A" w:rsidRDefault="00707356" w:rsidP="00E1617A">
            <w:r w:rsidRPr="00E1617A">
              <w:t xml:space="preserve">Additional </w:t>
            </w:r>
            <w:r w:rsidR="00FC2E31" w:rsidRPr="00FC2E31">
              <w:rPr>
                <w:lang w:val="en-GB"/>
              </w:rPr>
              <w:t>information</w:t>
            </w:r>
          </w:p>
        </w:tc>
      </w:tr>
      <w:tr w:rsidR="00C7511F" w14:paraId="6704E8C3" w14:textId="77777777" w:rsidTr="00C7511F">
        <w:tc>
          <w:tcPr>
            <w:tcW w:w="1696" w:type="dxa"/>
          </w:tcPr>
          <w:p w14:paraId="5637F0D5" w14:textId="52D6DAAE" w:rsidR="00C7511F" w:rsidRPr="00D174E3" w:rsidRDefault="00C7511F" w:rsidP="00C7511F">
            <w:r w:rsidRPr="00461DC7">
              <w:rPr>
                <w:rStyle w:val="Strong"/>
                <w:szCs w:val="20"/>
              </w:rPr>
              <w:t>prednisolone 25 mg</w:t>
            </w:r>
            <w:r w:rsidRPr="00461DC7">
              <w:rPr>
                <w:szCs w:val="20"/>
              </w:rPr>
              <w:t xml:space="preserve"> – tablets – oral </w:t>
            </w:r>
          </w:p>
        </w:tc>
        <w:tc>
          <w:tcPr>
            <w:tcW w:w="1560" w:type="dxa"/>
          </w:tcPr>
          <w:p w14:paraId="3B1EF272" w14:textId="0DB69666" w:rsidR="00C7511F" w:rsidRPr="00D174E3" w:rsidRDefault="00C7511F" w:rsidP="00C7511F">
            <w:r w:rsidRPr="00461DC7">
              <w:rPr>
                <w:szCs w:val="20"/>
              </w:rPr>
              <w:t>Take ONE tablet in the morning with food for 7 days then reduce the dose as directed.</w:t>
            </w:r>
          </w:p>
        </w:tc>
        <w:tc>
          <w:tcPr>
            <w:tcW w:w="1559" w:type="dxa"/>
          </w:tcPr>
          <w:p w14:paraId="2D47DBCD" w14:textId="1962A756" w:rsidR="00C7511F" w:rsidRPr="00D174E3" w:rsidRDefault="00C7511F" w:rsidP="00C7511F">
            <w:r w:rsidRPr="00461DC7">
              <w:rPr>
                <w:szCs w:val="20"/>
              </w:rPr>
              <w:t>Inflammation</w:t>
            </w:r>
          </w:p>
        </w:tc>
        <w:tc>
          <w:tcPr>
            <w:tcW w:w="1276" w:type="dxa"/>
          </w:tcPr>
          <w:p w14:paraId="38C81FE4" w14:textId="1E15EEE5" w:rsidR="00C7511F" w:rsidRPr="00D174E3" w:rsidRDefault="00C7511F" w:rsidP="00C7511F">
            <w:r w:rsidRPr="00461DC7">
              <w:rPr>
                <w:szCs w:val="20"/>
              </w:rPr>
              <w:t>New</w:t>
            </w:r>
          </w:p>
        </w:tc>
        <w:tc>
          <w:tcPr>
            <w:tcW w:w="3093" w:type="dxa"/>
          </w:tcPr>
          <w:p w14:paraId="5AC32122" w14:textId="77777777" w:rsidR="00C7511F" w:rsidRPr="00461DC7" w:rsidRDefault="00C7511F" w:rsidP="00C7511F">
            <w:pPr>
              <w:rPr>
                <w:szCs w:val="20"/>
              </w:rPr>
            </w:pPr>
            <w:r w:rsidRPr="00461DC7">
              <w:rPr>
                <w:szCs w:val="20"/>
              </w:rPr>
              <w:t xml:space="preserve">See your doctor for continued supply and monitoring. </w:t>
            </w:r>
          </w:p>
          <w:p w14:paraId="0ADAF6D6" w14:textId="77777777" w:rsidR="00C7511F" w:rsidRPr="00461DC7" w:rsidRDefault="00C7511F" w:rsidP="00C7511F">
            <w:pPr>
              <w:rPr>
                <w:szCs w:val="20"/>
              </w:rPr>
            </w:pPr>
            <w:r w:rsidRPr="00461DC7">
              <w:rPr>
                <w:szCs w:val="20"/>
              </w:rPr>
              <w:t>Dose tapering plan:</w:t>
            </w:r>
          </w:p>
          <w:p w14:paraId="0D3C2F49" w14:textId="77777777" w:rsidR="00C7511F" w:rsidRPr="00461DC7" w:rsidRDefault="00C7511F" w:rsidP="00C7511F">
            <w:pPr>
              <w:pStyle w:val="ListBullet"/>
              <w:rPr>
                <w:rFonts w:eastAsiaTheme="minorEastAsia"/>
                <w:szCs w:val="20"/>
              </w:rPr>
            </w:pPr>
            <w:r w:rsidRPr="00461DC7">
              <w:rPr>
                <w:rFonts w:eastAsiaTheme="minorEastAsia"/>
                <w:szCs w:val="20"/>
              </w:rPr>
              <w:t>20 mg (4 x 5 mg tablets) daily for 7 days, then</w:t>
            </w:r>
          </w:p>
          <w:p w14:paraId="58EEB831" w14:textId="77777777" w:rsidR="00C7511F" w:rsidRPr="00461DC7" w:rsidRDefault="00C7511F" w:rsidP="00C7511F">
            <w:pPr>
              <w:pStyle w:val="ListBullet"/>
              <w:rPr>
                <w:rFonts w:eastAsiaTheme="minorEastAsia"/>
                <w:szCs w:val="20"/>
              </w:rPr>
            </w:pPr>
            <w:r w:rsidRPr="00461DC7">
              <w:rPr>
                <w:rFonts w:eastAsiaTheme="minorEastAsia"/>
                <w:szCs w:val="20"/>
              </w:rPr>
              <w:t>15 mg (3 x 5 mg tablets) daily for 7 days, then</w:t>
            </w:r>
          </w:p>
          <w:p w14:paraId="591D243D" w14:textId="77777777" w:rsidR="00C7511F" w:rsidRPr="00461DC7" w:rsidRDefault="00C7511F" w:rsidP="00C7511F">
            <w:pPr>
              <w:pStyle w:val="ListBullet"/>
              <w:rPr>
                <w:rFonts w:eastAsiaTheme="minorEastAsia"/>
                <w:szCs w:val="20"/>
              </w:rPr>
            </w:pPr>
            <w:r w:rsidRPr="00461DC7">
              <w:rPr>
                <w:rFonts w:eastAsiaTheme="minorEastAsia"/>
                <w:szCs w:val="20"/>
              </w:rPr>
              <w:t>10 mg (2 x 5 mg tablets) daily for 7 days, then</w:t>
            </w:r>
          </w:p>
          <w:p w14:paraId="707C2E30" w14:textId="3559C389" w:rsidR="00C7511F" w:rsidRPr="00D174E3" w:rsidRDefault="00C7511F" w:rsidP="00C7511F">
            <w:pPr>
              <w:pStyle w:val="ListBullet"/>
            </w:pPr>
            <w:r w:rsidRPr="00461DC7">
              <w:rPr>
                <w:rFonts w:eastAsiaTheme="minorEastAsia"/>
                <w:szCs w:val="20"/>
              </w:rPr>
              <w:t>5 mg daily for 7 days, then</w:t>
            </w:r>
            <w:r>
              <w:rPr>
                <w:rFonts w:eastAsiaTheme="minorEastAsia"/>
                <w:szCs w:val="20"/>
              </w:rPr>
              <w:t> </w:t>
            </w:r>
            <w:r w:rsidRPr="00461DC7">
              <w:rPr>
                <w:rFonts w:eastAsiaTheme="minorEastAsia"/>
                <w:szCs w:val="20"/>
              </w:rPr>
              <w:t>STOP.</w:t>
            </w:r>
          </w:p>
        </w:tc>
      </w:tr>
      <w:tr w:rsidR="00C7511F" w14:paraId="06BAAF65" w14:textId="77777777" w:rsidTr="00C7511F">
        <w:tc>
          <w:tcPr>
            <w:tcW w:w="1696" w:type="dxa"/>
          </w:tcPr>
          <w:p w14:paraId="42626E76" w14:textId="7845C3C8" w:rsidR="00C7511F" w:rsidRPr="00707356" w:rsidRDefault="00C7511F" w:rsidP="00C7511F">
            <w:r>
              <w:rPr>
                <w:rStyle w:val="Strong"/>
                <w:szCs w:val="20"/>
              </w:rPr>
              <w:t>p</w:t>
            </w:r>
            <w:r w:rsidRPr="00461DC7">
              <w:rPr>
                <w:rStyle w:val="Strong"/>
                <w:szCs w:val="20"/>
              </w:rPr>
              <w:t>erindopril arginine 5 mg + amlodipine 10 mg</w:t>
            </w:r>
            <w:r w:rsidRPr="00461DC7">
              <w:rPr>
                <w:szCs w:val="20"/>
              </w:rPr>
              <w:t xml:space="preserve"> – tablets – oral </w:t>
            </w:r>
          </w:p>
        </w:tc>
        <w:tc>
          <w:tcPr>
            <w:tcW w:w="1560" w:type="dxa"/>
          </w:tcPr>
          <w:p w14:paraId="553474BD" w14:textId="479919C5" w:rsidR="00C7511F" w:rsidRPr="00D174E3" w:rsidRDefault="00C7511F" w:rsidP="00C7511F">
            <w:r w:rsidRPr="00461DC7">
              <w:rPr>
                <w:szCs w:val="20"/>
              </w:rPr>
              <w:t>Take ONE tablet daily</w:t>
            </w:r>
          </w:p>
        </w:tc>
        <w:tc>
          <w:tcPr>
            <w:tcW w:w="1559" w:type="dxa"/>
          </w:tcPr>
          <w:p w14:paraId="586F68A0" w14:textId="28953358" w:rsidR="00C7511F" w:rsidRPr="00D174E3" w:rsidRDefault="00C7511F" w:rsidP="00C7511F">
            <w:r w:rsidRPr="00461DC7">
              <w:rPr>
                <w:szCs w:val="20"/>
              </w:rPr>
              <w:t>High blood pressure</w:t>
            </w:r>
          </w:p>
        </w:tc>
        <w:tc>
          <w:tcPr>
            <w:tcW w:w="1276" w:type="dxa"/>
          </w:tcPr>
          <w:p w14:paraId="450DA687" w14:textId="5F1FA543" w:rsidR="00C7511F" w:rsidRPr="00D174E3" w:rsidRDefault="00C7511F" w:rsidP="00C7511F">
            <w:r w:rsidRPr="00461DC7">
              <w:rPr>
                <w:szCs w:val="20"/>
              </w:rPr>
              <w:t>Dose reduced</w:t>
            </w:r>
          </w:p>
        </w:tc>
        <w:tc>
          <w:tcPr>
            <w:tcW w:w="3093" w:type="dxa"/>
          </w:tcPr>
          <w:p w14:paraId="37BA722B" w14:textId="013F07DE" w:rsidR="00C7511F" w:rsidRPr="00D174E3" w:rsidRDefault="00C7511F" w:rsidP="00C7511F">
            <w:r w:rsidRPr="00461DC7">
              <w:rPr>
                <w:szCs w:val="20"/>
              </w:rPr>
              <w:t>Dose reduced due to low blood pressure in hospital. See your doctor to review.</w:t>
            </w:r>
          </w:p>
        </w:tc>
      </w:tr>
      <w:tr w:rsidR="00C7511F" w14:paraId="643BD442" w14:textId="77777777" w:rsidTr="00C7511F">
        <w:tc>
          <w:tcPr>
            <w:tcW w:w="1696" w:type="dxa"/>
          </w:tcPr>
          <w:p w14:paraId="42E76C04" w14:textId="09CBEDD6" w:rsidR="00C7511F" w:rsidRPr="00707356" w:rsidRDefault="00C7511F" w:rsidP="00C7511F">
            <w:r w:rsidRPr="00461DC7">
              <w:rPr>
                <w:rStyle w:val="Strong"/>
                <w:szCs w:val="20"/>
              </w:rPr>
              <w:t>escitalopram 50 mg</w:t>
            </w:r>
            <w:r w:rsidRPr="00461DC7">
              <w:rPr>
                <w:szCs w:val="20"/>
              </w:rPr>
              <w:t xml:space="preserve"> – tablets – oral </w:t>
            </w:r>
          </w:p>
        </w:tc>
        <w:tc>
          <w:tcPr>
            <w:tcW w:w="1560" w:type="dxa"/>
          </w:tcPr>
          <w:p w14:paraId="4327A361" w14:textId="31314194" w:rsidR="00C7511F" w:rsidRPr="00D174E3" w:rsidRDefault="00C7511F" w:rsidP="00C7511F">
            <w:r w:rsidRPr="00461DC7">
              <w:rPr>
                <w:szCs w:val="20"/>
              </w:rPr>
              <w:t>Take ONE tablet daily</w:t>
            </w:r>
          </w:p>
        </w:tc>
        <w:tc>
          <w:tcPr>
            <w:tcW w:w="1559" w:type="dxa"/>
          </w:tcPr>
          <w:p w14:paraId="62B3967B" w14:textId="2351B9D9" w:rsidR="00C7511F" w:rsidRPr="00D174E3" w:rsidRDefault="00C7511F" w:rsidP="00C7511F">
            <w:r w:rsidRPr="00461DC7">
              <w:rPr>
                <w:szCs w:val="20"/>
              </w:rPr>
              <w:t>Anxiety</w:t>
            </w:r>
          </w:p>
        </w:tc>
        <w:tc>
          <w:tcPr>
            <w:tcW w:w="1276" w:type="dxa"/>
          </w:tcPr>
          <w:p w14:paraId="1EA0C926" w14:textId="4B4CE213" w:rsidR="00C7511F" w:rsidRPr="00D174E3" w:rsidRDefault="00C7511F" w:rsidP="00C7511F">
            <w:r w:rsidRPr="00461DC7">
              <w:rPr>
                <w:szCs w:val="20"/>
              </w:rPr>
              <w:t xml:space="preserve">Unchanged </w:t>
            </w:r>
          </w:p>
        </w:tc>
        <w:tc>
          <w:tcPr>
            <w:tcW w:w="3093" w:type="dxa"/>
          </w:tcPr>
          <w:p w14:paraId="19516FD4" w14:textId="5F89CC71" w:rsidR="00C7511F" w:rsidRPr="00D174E3" w:rsidRDefault="00C7511F" w:rsidP="00C7511F">
            <w:r w:rsidRPr="00461DC7">
              <w:rPr>
                <w:szCs w:val="20"/>
              </w:rPr>
              <w:t>Patient has supply at home.</w:t>
            </w:r>
          </w:p>
        </w:tc>
      </w:tr>
      <w:tr w:rsidR="00C7511F" w14:paraId="6629640B" w14:textId="77777777" w:rsidTr="00C7511F">
        <w:tc>
          <w:tcPr>
            <w:tcW w:w="1696" w:type="dxa"/>
          </w:tcPr>
          <w:p w14:paraId="195352F5" w14:textId="53D6EC7D" w:rsidR="00C7511F" w:rsidRPr="005756EF" w:rsidRDefault="00C7511F" w:rsidP="00C7511F">
            <w:pPr>
              <w:rPr>
                <w:rStyle w:val="Strong"/>
              </w:rPr>
            </w:pPr>
            <w:r w:rsidRPr="00461DC7">
              <w:rPr>
                <w:rStyle w:val="Strong"/>
                <w:szCs w:val="20"/>
              </w:rPr>
              <w:t>metformin 500 mg</w:t>
            </w:r>
            <w:r w:rsidRPr="00461DC7">
              <w:rPr>
                <w:szCs w:val="20"/>
              </w:rPr>
              <w:t xml:space="preserve"> – tablets – oral </w:t>
            </w:r>
          </w:p>
        </w:tc>
        <w:tc>
          <w:tcPr>
            <w:tcW w:w="1560" w:type="dxa"/>
          </w:tcPr>
          <w:p w14:paraId="2CA2468A" w14:textId="3D718A57" w:rsidR="00C7511F" w:rsidRPr="00D174E3" w:rsidRDefault="00C7511F" w:rsidP="00C7511F">
            <w:r w:rsidRPr="00461DC7">
              <w:rPr>
                <w:szCs w:val="20"/>
              </w:rPr>
              <w:t xml:space="preserve">Take ONE tablet THREE times a day with </w:t>
            </w:r>
            <w:r>
              <w:rPr>
                <w:szCs w:val="20"/>
              </w:rPr>
              <w:t>food</w:t>
            </w:r>
            <w:r w:rsidRPr="00461DC7">
              <w:rPr>
                <w:szCs w:val="20"/>
              </w:rPr>
              <w:t>.</w:t>
            </w:r>
          </w:p>
        </w:tc>
        <w:tc>
          <w:tcPr>
            <w:tcW w:w="1559" w:type="dxa"/>
          </w:tcPr>
          <w:p w14:paraId="6878E530" w14:textId="5108460D" w:rsidR="00C7511F" w:rsidRPr="00D174E3" w:rsidRDefault="00C7511F" w:rsidP="00C7511F">
            <w:r w:rsidRPr="00461DC7">
              <w:rPr>
                <w:szCs w:val="20"/>
              </w:rPr>
              <w:t xml:space="preserve"> Diabetes</w:t>
            </w:r>
          </w:p>
        </w:tc>
        <w:tc>
          <w:tcPr>
            <w:tcW w:w="1276" w:type="dxa"/>
          </w:tcPr>
          <w:p w14:paraId="00FD401A" w14:textId="1A5B90EE" w:rsidR="00C7511F" w:rsidRPr="00D174E3" w:rsidRDefault="00C7511F" w:rsidP="00C7511F">
            <w:r w:rsidRPr="00461DC7">
              <w:rPr>
                <w:szCs w:val="20"/>
              </w:rPr>
              <w:t>Withheld</w:t>
            </w:r>
          </w:p>
        </w:tc>
        <w:tc>
          <w:tcPr>
            <w:tcW w:w="3093" w:type="dxa"/>
          </w:tcPr>
          <w:p w14:paraId="0E90DADF" w14:textId="67E97DA5" w:rsidR="00C7511F" w:rsidRPr="00D174E3" w:rsidRDefault="00C7511F" w:rsidP="00C7511F">
            <w:r w:rsidRPr="00461DC7">
              <w:rPr>
                <w:szCs w:val="20"/>
              </w:rPr>
              <w:t>Metformin has been temporarily withheld due to illness. See your doctor to review.</w:t>
            </w:r>
          </w:p>
        </w:tc>
      </w:tr>
    </w:tbl>
    <w:p w14:paraId="32A0C05D" w14:textId="77777777" w:rsidR="003C03E6" w:rsidRDefault="003C03E6" w:rsidP="00C05EF3">
      <w:pPr>
        <w:spacing w:before="240"/>
        <w:rPr>
          <w:rFonts w:eastAsiaTheme="minorEastAsia"/>
        </w:rPr>
      </w:pPr>
      <w:r>
        <w:rPr>
          <w:rFonts w:eastAsiaTheme="minorEastAsia"/>
        </w:rPr>
        <w:br w:type="page"/>
      </w:r>
    </w:p>
    <w:p w14:paraId="69503089" w14:textId="61A92FEF" w:rsidR="00C05EF3" w:rsidRDefault="00C05EF3" w:rsidP="00C05EF3">
      <w:pPr>
        <w:spacing w:before="240"/>
        <w:rPr>
          <w:rFonts w:eastAsiaTheme="minorEastAsia"/>
        </w:rPr>
      </w:pPr>
      <w:r>
        <w:rPr>
          <w:rFonts w:eastAsiaTheme="minorEastAsia"/>
        </w:rPr>
        <w:lastRenderedPageBreak/>
        <w:t>Accurate medicines information at discharge can be improved through:</w:t>
      </w:r>
    </w:p>
    <w:p w14:paraId="4462E371" w14:textId="77777777" w:rsidR="00C05EF3" w:rsidRPr="003A588E" w:rsidRDefault="00C05EF3" w:rsidP="00C05EF3">
      <w:pPr>
        <w:pStyle w:val="ListBullet"/>
        <w:rPr>
          <w:rFonts w:eastAsiaTheme="minorEastAsia"/>
        </w:rPr>
      </w:pPr>
      <w:r>
        <w:rPr>
          <w:rFonts w:eastAsiaTheme="minorEastAsia"/>
        </w:rPr>
        <w:t>E</w:t>
      </w:r>
      <w:r w:rsidRPr="003A588E">
        <w:rPr>
          <w:rFonts w:eastAsiaTheme="minorEastAsia"/>
        </w:rPr>
        <w:t xml:space="preserve">arly discharge planning and </w:t>
      </w:r>
      <w:r>
        <w:rPr>
          <w:rFonts w:eastAsiaTheme="minorEastAsia"/>
        </w:rPr>
        <w:t>engagement</w:t>
      </w:r>
      <w:r w:rsidRPr="003A588E">
        <w:rPr>
          <w:rFonts w:eastAsiaTheme="minorEastAsia"/>
        </w:rPr>
        <w:t xml:space="preserve"> with the patient</w:t>
      </w:r>
      <w:r>
        <w:rPr>
          <w:rFonts w:eastAsiaTheme="minorEastAsia"/>
        </w:rPr>
        <w:t xml:space="preserve"> and their primary healthcare provider to ensure potential risks and patient needs or preferences are identified well before discharge.</w:t>
      </w:r>
    </w:p>
    <w:p w14:paraId="20BC4091" w14:textId="77777777" w:rsidR="00C05EF3" w:rsidRPr="003A588E" w:rsidRDefault="00C05EF3" w:rsidP="00C05EF3">
      <w:pPr>
        <w:pStyle w:val="ListBullet"/>
        <w:rPr>
          <w:rFonts w:eastAsiaTheme="minorEastAsia"/>
        </w:rPr>
      </w:pPr>
      <w:r>
        <w:rPr>
          <w:rFonts w:eastAsiaTheme="minorEastAsia"/>
        </w:rPr>
        <w:t>Documentation of</w:t>
      </w:r>
      <w:r w:rsidRPr="003A588E">
        <w:rPr>
          <w:rFonts w:eastAsiaTheme="minorEastAsia"/>
        </w:rPr>
        <w:t xml:space="preserve"> a best possible medication history </w:t>
      </w:r>
      <w:r>
        <w:rPr>
          <w:rFonts w:eastAsiaTheme="minorEastAsia"/>
        </w:rPr>
        <w:t>as early as possible on admission.</w:t>
      </w:r>
    </w:p>
    <w:p w14:paraId="7105BE55" w14:textId="77777777" w:rsidR="00C05EF3" w:rsidRDefault="00C05EF3" w:rsidP="00C05EF3">
      <w:pPr>
        <w:pStyle w:val="ListBullet"/>
        <w:rPr>
          <w:rFonts w:eastAsiaTheme="minorEastAsia"/>
        </w:rPr>
      </w:pPr>
      <w:r>
        <w:rPr>
          <w:rFonts w:eastAsiaTheme="minorEastAsia"/>
        </w:rPr>
        <w:t>E</w:t>
      </w:r>
      <w:r w:rsidRPr="003A588E">
        <w:rPr>
          <w:rFonts w:eastAsiaTheme="minorEastAsia"/>
        </w:rPr>
        <w:t xml:space="preserve">lectronic medication reconciliation </w:t>
      </w:r>
      <w:r>
        <w:rPr>
          <w:rFonts w:eastAsiaTheme="minorEastAsia"/>
        </w:rPr>
        <w:t xml:space="preserve">conducted on admission, at each transfer of care (between wards or facilities during the same encounter), and </w:t>
      </w:r>
      <w:r w:rsidRPr="003A588E">
        <w:rPr>
          <w:rFonts w:eastAsiaTheme="minorEastAsia"/>
        </w:rPr>
        <w:t>at the time of discharge</w:t>
      </w:r>
      <w:r>
        <w:rPr>
          <w:rFonts w:eastAsiaTheme="minorEastAsia"/>
        </w:rPr>
        <w:t>.</w:t>
      </w:r>
    </w:p>
    <w:p w14:paraId="406CD5F1" w14:textId="18711AFA" w:rsidR="00CA0694" w:rsidRPr="000B7D0A" w:rsidRDefault="00C05EF3" w:rsidP="00534A86">
      <w:pPr>
        <w:pStyle w:val="ListBullet"/>
        <w:spacing w:after="360"/>
        <w:ind w:left="357" w:hanging="357"/>
      </w:pPr>
      <w:r w:rsidRPr="000B7D0A">
        <w:rPr>
          <w:rFonts w:eastAsiaTheme="minorEastAsia"/>
        </w:rPr>
        <w:t>Early involvement of a hospital pharmacist to coordinate medication management in the community and provide patient-friendly verbal and written information.</w:t>
      </w:r>
    </w:p>
    <w:tbl>
      <w:tblPr>
        <w:tblStyle w:val="Style1"/>
        <w:tblW w:w="0" w:type="auto"/>
        <w:tblLook w:val="0620" w:firstRow="1" w:lastRow="0" w:firstColumn="0" w:lastColumn="0" w:noHBand="1" w:noVBand="1"/>
        <w:tblCaption w:val="Practice points"/>
      </w:tblPr>
      <w:tblGrid>
        <w:gridCol w:w="9114"/>
      </w:tblGrid>
      <w:tr w:rsidR="008B3ADF" w:rsidRPr="00BA699A" w14:paraId="726C6C40" w14:textId="77777777" w:rsidTr="00461DC7">
        <w:trPr>
          <w:cnfStyle w:val="100000000000" w:firstRow="1" w:lastRow="0" w:firstColumn="0" w:lastColumn="0" w:oddVBand="0" w:evenVBand="0" w:oddHBand="0" w:evenHBand="0" w:firstRowFirstColumn="0" w:firstRowLastColumn="0" w:lastRowFirstColumn="0" w:lastRowLastColumn="0"/>
        </w:trPr>
        <w:tc>
          <w:tcPr>
            <w:tcW w:w="9114" w:type="dxa"/>
          </w:tcPr>
          <w:p w14:paraId="1756C9A8" w14:textId="77777777" w:rsidR="008B3ADF" w:rsidRDefault="008B3ADF" w:rsidP="00AF28F1">
            <w:pPr>
              <w:spacing w:after="120"/>
              <w:rPr>
                <w:b w:val="0"/>
              </w:rPr>
            </w:pPr>
            <w:r w:rsidRPr="00864797">
              <w:rPr>
                <w:noProof/>
              </w:rPr>
              <w:drawing>
                <wp:inline distT="0" distB="0" distL="0" distR="0" wp14:anchorId="26A13533" wp14:editId="2827E0BF">
                  <wp:extent cx="720000" cy="720000"/>
                  <wp:effectExtent l="0" t="0" r="4445" b="4445"/>
                  <wp:docPr id="1384901356" name="Picture 1" descr="Icon for: Practic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01356" name="Picture 1" descr="Icon for: Practice points"/>
                          <pic:cNvPicPr/>
                        </pic:nvPicPr>
                        <pic:blipFill>
                          <a:blip r:embed="rId47">
                            <a:extLst>
                              <a:ext uri="{96DAC541-7B7A-43D3-8B79-37D633B846F1}">
                                <asvg:svgBlip xmlns:asvg="http://schemas.microsoft.com/office/drawing/2016/SVG/main" r:embed="rId48"/>
                              </a:ext>
                            </a:extLst>
                          </a:blip>
                          <a:stretch>
                            <a:fillRect/>
                          </a:stretch>
                        </pic:blipFill>
                        <pic:spPr>
                          <a:xfrm>
                            <a:off x="0" y="0"/>
                            <a:ext cx="720000" cy="720000"/>
                          </a:xfrm>
                          <a:prstGeom prst="rect">
                            <a:avLst/>
                          </a:prstGeom>
                        </pic:spPr>
                      </pic:pic>
                    </a:graphicData>
                  </a:graphic>
                </wp:inline>
              </w:drawing>
            </w:r>
          </w:p>
          <w:p w14:paraId="7782DD30" w14:textId="77777777" w:rsidR="008B3ADF" w:rsidRPr="00BA699A" w:rsidRDefault="008B3ADF" w:rsidP="00461DC7">
            <w:bookmarkStart w:id="44" w:name="PP2"/>
            <w:r>
              <w:t>Practice points</w:t>
            </w:r>
            <w:bookmarkEnd w:id="44"/>
          </w:p>
        </w:tc>
      </w:tr>
      <w:tr w:rsidR="008B3ADF" w:rsidRPr="000B7D0A" w14:paraId="3886CE32" w14:textId="77777777" w:rsidTr="00461DC7">
        <w:tblPrEx>
          <w:tblCellMar>
            <w:top w:w="0" w:type="dxa"/>
          </w:tblCellMar>
        </w:tblPrEx>
        <w:tc>
          <w:tcPr>
            <w:tcW w:w="9114" w:type="dxa"/>
          </w:tcPr>
          <w:p w14:paraId="4481D028" w14:textId="77777777" w:rsidR="008B3ADF" w:rsidRPr="00BA699A" w:rsidRDefault="008B3ADF" w:rsidP="00461DC7">
            <w:r w:rsidRPr="00BA699A">
              <w:t>Medicines information that should be included in the EDS, where applicable:</w:t>
            </w:r>
          </w:p>
          <w:p w14:paraId="431B6094" w14:textId="77777777" w:rsidR="008B3ADF" w:rsidRPr="00BA699A" w:rsidRDefault="008B3ADF" w:rsidP="00461DC7">
            <w:pPr>
              <w:pStyle w:val="ListBullet"/>
            </w:pPr>
            <w:r w:rsidRPr="00BA699A">
              <w:t>Complete list of medicines on discharge (including any complementary or non</w:t>
            </w:r>
            <w:r w:rsidRPr="00BA699A">
              <w:noBreakHyphen/>
              <w:t>prescription medicines)</w:t>
            </w:r>
          </w:p>
          <w:p w14:paraId="0C54E3A3" w14:textId="77777777" w:rsidR="008B3ADF" w:rsidRPr="00BA699A" w:rsidRDefault="008B3ADF" w:rsidP="00461DC7">
            <w:pPr>
              <w:pStyle w:val="ListBullet"/>
            </w:pPr>
            <w:r w:rsidRPr="00BA699A">
              <w:t>Rationale for any medication changes</w:t>
            </w:r>
          </w:p>
          <w:p w14:paraId="2FAD9DD6" w14:textId="77777777" w:rsidR="008B3ADF" w:rsidRPr="00BA699A" w:rsidRDefault="008B3ADF" w:rsidP="00461DC7">
            <w:pPr>
              <w:pStyle w:val="ListBullet"/>
            </w:pPr>
            <w:r w:rsidRPr="00BA699A">
              <w:t>Dose administration aids such as blister packs</w:t>
            </w:r>
          </w:p>
          <w:p w14:paraId="328CE85E" w14:textId="77777777" w:rsidR="008B3ADF" w:rsidRPr="00BA699A" w:rsidRDefault="008B3ADF" w:rsidP="00461DC7">
            <w:pPr>
              <w:pStyle w:val="ListBullet"/>
            </w:pPr>
            <w:r w:rsidRPr="00BA699A">
              <w:t>Supply arrangements</w:t>
            </w:r>
          </w:p>
          <w:p w14:paraId="62BB3EE1" w14:textId="77777777" w:rsidR="008B3ADF" w:rsidRPr="00BA699A" w:rsidRDefault="008B3ADF" w:rsidP="00461DC7">
            <w:pPr>
              <w:pStyle w:val="ListBullet"/>
            </w:pPr>
            <w:r w:rsidRPr="00BA699A">
              <w:t>Therapeutic drug monitoring</w:t>
            </w:r>
          </w:p>
          <w:p w14:paraId="44682AAF" w14:textId="77777777" w:rsidR="008B3ADF" w:rsidRPr="00BA699A" w:rsidRDefault="008B3ADF" w:rsidP="00461DC7">
            <w:pPr>
              <w:pStyle w:val="ListBullet"/>
            </w:pPr>
            <w:r w:rsidRPr="00BA699A">
              <w:t xml:space="preserve">Tapering or dose-reduction plans </w:t>
            </w:r>
          </w:p>
          <w:p w14:paraId="6B3A5975" w14:textId="77777777" w:rsidR="008B3ADF" w:rsidRPr="00BA699A" w:rsidRDefault="008B3ADF" w:rsidP="00461DC7">
            <w:pPr>
              <w:pStyle w:val="ListBullet"/>
            </w:pPr>
            <w:r w:rsidRPr="00BA699A">
              <w:t>Additional information relating to any prescribed high-risk medicines.</w:t>
            </w:r>
          </w:p>
        </w:tc>
      </w:tr>
    </w:tbl>
    <w:p w14:paraId="0CE63C4E" w14:textId="77777777" w:rsidR="007E1165" w:rsidRPr="000B7D0A" w:rsidRDefault="007E1165" w:rsidP="000B7D0A">
      <w:r w:rsidRPr="000B7D0A">
        <w:br w:type="page"/>
      </w:r>
    </w:p>
    <w:p w14:paraId="224ACC5F" w14:textId="5C78446F" w:rsidR="009768BA" w:rsidRDefault="009768BA" w:rsidP="009768BA">
      <w:pPr>
        <w:pStyle w:val="Heading3"/>
        <w:spacing w:after="0"/>
        <w:rPr>
          <w:rFonts w:eastAsiaTheme="minorEastAsia"/>
          <w:szCs w:val="28"/>
        </w:rPr>
      </w:pPr>
      <w:r>
        <w:rPr>
          <w:rFonts w:eastAsiaTheme="minorEastAsia"/>
          <w:szCs w:val="28"/>
        </w:rPr>
        <w:lastRenderedPageBreak/>
        <w:t>Ceased medicines</w:t>
      </w:r>
    </w:p>
    <w:p w14:paraId="2A8F2910" w14:textId="2179F42E" w:rsidR="009768BA" w:rsidRPr="0077076D" w:rsidRDefault="009768BA" w:rsidP="008C1C10">
      <w:pPr>
        <w:spacing w:after="240"/>
        <w:rPr>
          <w:rFonts w:eastAsiaTheme="minorEastAsia"/>
        </w:rPr>
      </w:pPr>
      <w:r>
        <w:rPr>
          <w:rFonts w:eastAsiaTheme="minorEastAsia"/>
        </w:rPr>
        <w:t>This component should list details about medicines that have been permanently ceased at the time of discharge. Medicines that have been withheld temporarily should not appear as ceased medicines.</w:t>
      </w:r>
    </w:p>
    <w:tbl>
      <w:tblPr>
        <w:tblStyle w:val="SQHTable"/>
        <w:tblW w:w="5000" w:type="pct"/>
        <w:tblLook w:val="0420" w:firstRow="1" w:lastRow="0" w:firstColumn="0" w:lastColumn="0" w:noHBand="0" w:noVBand="1"/>
        <w:tblCaption w:val="Ceased medicines"/>
      </w:tblPr>
      <w:tblGrid>
        <w:gridCol w:w="4537"/>
        <w:gridCol w:w="4647"/>
      </w:tblGrid>
      <w:tr w:rsidR="009768BA" w:rsidRPr="000C2005" w14:paraId="2986AE37" w14:textId="77777777" w:rsidTr="00D15F2D">
        <w:trPr>
          <w:cnfStyle w:val="100000000000" w:firstRow="1" w:lastRow="0" w:firstColumn="0" w:lastColumn="0" w:oddVBand="0" w:evenVBand="0" w:oddHBand="0" w:evenHBand="0" w:firstRowFirstColumn="0" w:firstRowLastColumn="0" w:lastRowFirstColumn="0" w:lastRowLastColumn="0"/>
        </w:trPr>
        <w:tc>
          <w:tcPr>
            <w:tcW w:w="2470" w:type="pct"/>
            <w:tcBorders>
              <w:right w:val="single" w:sz="12" w:space="0" w:color="FFFFFF" w:themeColor="background1"/>
            </w:tcBorders>
          </w:tcPr>
          <w:p w14:paraId="51270867" w14:textId="77777777" w:rsidR="009768BA" w:rsidRPr="007907D2" w:rsidRDefault="009768BA" w:rsidP="007907D2">
            <w:r w:rsidRPr="007907D2">
              <w:t>Recommendation</w:t>
            </w:r>
          </w:p>
        </w:tc>
        <w:tc>
          <w:tcPr>
            <w:tcW w:w="2530" w:type="pct"/>
            <w:tcBorders>
              <w:left w:val="single" w:sz="12" w:space="0" w:color="FFFFFF" w:themeColor="background1"/>
            </w:tcBorders>
          </w:tcPr>
          <w:p w14:paraId="617A3D18" w14:textId="77777777" w:rsidR="009768BA" w:rsidRPr="007907D2" w:rsidRDefault="009768BA" w:rsidP="007907D2">
            <w:r w:rsidRPr="007907D2">
              <w:t xml:space="preserve">Rationale </w:t>
            </w:r>
          </w:p>
        </w:tc>
      </w:tr>
      <w:tr w:rsidR="009768BA" w:rsidRPr="000C2005" w14:paraId="6F6CFFE1" w14:textId="77777777" w:rsidTr="00D15F2D">
        <w:tc>
          <w:tcPr>
            <w:tcW w:w="2470" w:type="pct"/>
            <w:tcBorders>
              <w:right w:val="single" w:sz="12" w:space="0" w:color="FFFFFF" w:themeColor="background1"/>
            </w:tcBorders>
          </w:tcPr>
          <w:p w14:paraId="2ED64E6C" w14:textId="6A32475A" w:rsidR="009768BA" w:rsidRPr="00526839" w:rsidRDefault="009768BA" w:rsidP="00526839">
            <w:r w:rsidRPr="00526839">
              <w:t xml:space="preserve">Ceased medicines should immediately follow the ‘Medicines on discharge’ </w:t>
            </w:r>
            <w:r w:rsidR="00CC5A0A" w:rsidRPr="007907D2">
              <w:t>section</w:t>
            </w:r>
            <w:r w:rsidRPr="00526839">
              <w:t>.</w:t>
            </w:r>
          </w:p>
        </w:tc>
        <w:tc>
          <w:tcPr>
            <w:tcW w:w="2530" w:type="pct"/>
            <w:tcBorders>
              <w:left w:val="single" w:sz="12" w:space="0" w:color="FFFFFF" w:themeColor="background1"/>
            </w:tcBorders>
          </w:tcPr>
          <w:p w14:paraId="6E8B41EC" w14:textId="77777777" w:rsidR="009768BA" w:rsidRPr="00526839" w:rsidRDefault="009768BA" w:rsidP="00526839">
            <w:r w:rsidRPr="00526839">
              <w:t>Ceased medicines should be separated from the list of medicines to be continued on discharge. This minimises the risk of unintended continuation of a medicine.</w:t>
            </w:r>
          </w:p>
        </w:tc>
      </w:tr>
      <w:tr w:rsidR="009768BA" w:rsidRPr="000C2005" w14:paraId="031F9970" w14:textId="77777777" w:rsidTr="00D15F2D">
        <w:trPr>
          <w:cnfStyle w:val="000000010000" w:firstRow="0" w:lastRow="0" w:firstColumn="0" w:lastColumn="0" w:oddVBand="0" w:evenVBand="0" w:oddHBand="0" w:evenHBand="1" w:firstRowFirstColumn="0" w:firstRowLastColumn="0" w:lastRowFirstColumn="0" w:lastRowLastColumn="0"/>
        </w:trPr>
        <w:tc>
          <w:tcPr>
            <w:tcW w:w="2470" w:type="pct"/>
            <w:tcBorders>
              <w:right w:val="single" w:sz="12" w:space="0" w:color="FFFFFF" w:themeColor="background1"/>
            </w:tcBorders>
          </w:tcPr>
          <w:p w14:paraId="43A15266" w14:textId="3430C1FB" w:rsidR="009768BA" w:rsidRPr="00526839" w:rsidRDefault="009768BA" w:rsidP="00526839">
            <w:r w:rsidRPr="00526839">
              <w:t xml:space="preserve">Medicines information should be displayed to align with </w:t>
            </w:r>
            <w:hyperlink r:id="rId51" w:history="1">
              <w:r w:rsidRPr="00526839">
                <w:rPr>
                  <w:rStyle w:val="HyperlinkItalic"/>
                </w:rPr>
                <w:t>National Guidelines for on</w:t>
              </w:r>
              <w:r w:rsidR="00526839">
                <w:rPr>
                  <w:rStyle w:val="HyperlinkItalic"/>
                </w:rPr>
                <w:noBreakHyphen/>
              </w:r>
              <w:r w:rsidRPr="00526839">
                <w:rPr>
                  <w:rStyle w:val="HyperlinkItalic"/>
                </w:rPr>
                <w:t>screen display of medicines information</w:t>
              </w:r>
            </w:hyperlink>
            <w:r w:rsidRPr="00526839">
              <w:t>.</w:t>
            </w:r>
          </w:p>
        </w:tc>
        <w:tc>
          <w:tcPr>
            <w:tcW w:w="2530" w:type="pct"/>
            <w:tcBorders>
              <w:left w:val="single" w:sz="12" w:space="0" w:color="FFFFFF" w:themeColor="background1"/>
            </w:tcBorders>
          </w:tcPr>
          <w:p w14:paraId="1EE2F00B" w14:textId="77777777" w:rsidR="009768BA" w:rsidRPr="00526839" w:rsidRDefault="009768BA" w:rsidP="00526839">
            <w:r w:rsidRPr="00526839">
              <w:t>Medicines information should be presented consistently and in line with evidence-based practice to minimise the risk of error.</w:t>
            </w:r>
          </w:p>
        </w:tc>
      </w:tr>
      <w:tr w:rsidR="009768BA" w:rsidRPr="000C2005" w14:paraId="284BC340" w14:textId="77777777" w:rsidTr="00D15F2D">
        <w:trPr>
          <w:trHeight w:val="742"/>
        </w:trPr>
        <w:tc>
          <w:tcPr>
            <w:tcW w:w="2470" w:type="pct"/>
            <w:tcBorders>
              <w:right w:val="single" w:sz="12" w:space="0" w:color="FFFFFF" w:themeColor="background1"/>
            </w:tcBorders>
          </w:tcPr>
          <w:p w14:paraId="6E4DFD14" w14:textId="797A5FDD" w:rsidR="009768BA" w:rsidRPr="00526839" w:rsidRDefault="009768BA" w:rsidP="00526839">
            <w:r w:rsidRPr="00526839">
              <w:t>Display ceased medicines in a table, including all relevant information (</w:t>
            </w:r>
            <w:r w:rsidR="00692395" w:rsidRPr="00526839">
              <w:t>f</w:t>
            </w:r>
            <w:r w:rsidRPr="00526839">
              <w:t>or example, active ingredient, strength and dose form).</w:t>
            </w:r>
          </w:p>
        </w:tc>
        <w:tc>
          <w:tcPr>
            <w:tcW w:w="2530" w:type="pct"/>
            <w:tcBorders>
              <w:left w:val="single" w:sz="12" w:space="0" w:color="FFFFFF" w:themeColor="background1"/>
            </w:tcBorders>
          </w:tcPr>
          <w:p w14:paraId="426B453B" w14:textId="31F17B42" w:rsidR="009768BA" w:rsidRPr="00526839" w:rsidRDefault="009768BA" w:rsidP="00526839">
            <w:r w:rsidRPr="00526839">
              <w:t>Presenting this information in a table format</w:t>
            </w:r>
            <w:r w:rsidR="00807063">
              <w:t xml:space="preserve"> </w:t>
            </w:r>
            <w:r w:rsidRPr="00526839">
              <w:t>facilitates readability</w:t>
            </w:r>
            <w:r w:rsidR="00807063">
              <w:t>.</w:t>
            </w:r>
          </w:p>
        </w:tc>
      </w:tr>
      <w:tr w:rsidR="009768BA" w:rsidRPr="000C2005" w14:paraId="6200C9C0" w14:textId="77777777" w:rsidTr="00D15F2D">
        <w:trPr>
          <w:cnfStyle w:val="000000010000" w:firstRow="0" w:lastRow="0" w:firstColumn="0" w:lastColumn="0" w:oddVBand="0" w:evenVBand="0" w:oddHBand="0" w:evenHBand="1" w:firstRowFirstColumn="0" w:firstRowLastColumn="0" w:lastRowFirstColumn="0" w:lastRowLastColumn="0"/>
          <w:trHeight w:val="742"/>
        </w:trPr>
        <w:tc>
          <w:tcPr>
            <w:tcW w:w="2470" w:type="pct"/>
            <w:tcBorders>
              <w:bottom w:val="single" w:sz="4" w:space="0" w:color="FFFFFF" w:themeColor="background1"/>
              <w:right w:val="single" w:sz="12" w:space="0" w:color="FFFFFF" w:themeColor="background1"/>
            </w:tcBorders>
          </w:tcPr>
          <w:p w14:paraId="7D8E276B" w14:textId="77777777" w:rsidR="009768BA" w:rsidRPr="00526839" w:rsidRDefault="009768BA" w:rsidP="00526839">
            <w:r w:rsidRPr="00526839">
              <w:t>Include a reason to describe why a medicine was ceased. For example, sub-optimal clinical response, suspected or confirmed allergies or adverse reactions.</w:t>
            </w:r>
          </w:p>
        </w:tc>
        <w:tc>
          <w:tcPr>
            <w:tcW w:w="2530" w:type="pct"/>
            <w:tcBorders>
              <w:left w:val="single" w:sz="12" w:space="0" w:color="FFFFFF" w:themeColor="background1"/>
              <w:bottom w:val="single" w:sz="4" w:space="0" w:color="FFFFFF" w:themeColor="background1"/>
            </w:tcBorders>
          </w:tcPr>
          <w:p w14:paraId="518B246A" w14:textId="285D0F49" w:rsidR="009768BA" w:rsidRPr="00526839" w:rsidRDefault="009768BA" w:rsidP="00526839">
            <w:r w:rsidRPr="00526839">
              <w:t>Provides context and minimises ambiguity. This</w:t>
            </w:r>
            <w:r w:rsidR="00315D3C">
              <w:t> </w:t>
            </w:r>
            <w:r w:rsidRPr="00526839">
              <w:t>information is critical to informing future clinical decisions. Where an allergic or adverse reaction is the reason for discontinuation, the relevant details should also be documented in the ‘Allergies’</w:t>
            </w:r>
            <w:r w:rsidR="00526839">
              <w:t> </w:t>
            </w:r>
            <w:r w:rsidRPr="00526839">
              <w:t>section.</w:t>
            </w:r>
          </w:p>
        </w:tc>
      </w:tr>
      <w:tr w:rsidR="009768BA" w:rsidRPr="000C2005" w14:paraId="2616437F" w14:textId="77777777" w:rsidTr="00D15F2D">
        <w:tc>
          <w:tcPr>
            <w:tcW w:w="2470" w:type="pct"/>
            <w:tcBorders>
              <w:bottom w:val="single" w:sz="4" w:space="0" w:color="E9E0FF"/>
              <w:right w:val="single" w:sz="12" w:space="0" w:color="FFFFFF" w:themeColor="background1"/>
            </w:tcBorders>
          </w:tcPr>
          <w:p w14:paraId="5348C362" w14:textId="209A9267" w:rsidR="009768BA" w:rsidRPr="00526839" w:rsidRDefault="009768BA" w:rsidP="00526839">
            <w:r w:rsidRPr="00526839">
              <w:t>If no medicines have been ceased during the admission, include a statement to indicate</w:t>
            </w:r>
            <w:r w:rsidR="00A10DCB">
              <w:t> </w:t>
            </w:r>
            <w:r w:rsidRPr="00526839">
              <w:t>this.</w:t>
            </w:r>
          </w:p>
        </w:tc>
        <w:tc>
          <w:tcPr>
            <w:tcW w:w="2530" w:type="pct"/>
            <w:tcBorders>
              <w:left w:val="single" w:sz="12" w:space="0" w:color="FFFFFF" w:themeColor="background1"/>
              <w:bottom w:val="single" w:sz="4" w:space="0" w:color="E9E0FF"/>
            </w:tcBorders>
          </w:tcPr>
          <w:p w14:paraId="297C7160" w14:textId="77777777" w:rsidR="009768BA" w:rsidRPr="00526839" w:rsidRDefault="009768BA" w:rsidP="00526839">
            <w:r w:rsidRPr="00526839">
              <w:t>If this section is blank, it creates ambiguity about the completeness of the medicines list.</w:t>
            </w:r>
          </w:p>
        </w:tc>
      </w:tr>
    </w:tbl>
    <w:p w14:paraId="0D13FE04" w14:textId="77777777" w:rsidR="00BA1D14" w:rsidRDefault="00BA1D14" w:rsidP="009768BA">
      <w:pPr>
        <w:pStyle w:val="Heading3"/>
        <w:spacing w:after="0"/>
        <w:rPr>
          <w:rFonts w:eastAsiaTheme="minorEastAsia"/>
        </w:rPr>
      </w:pPr>
      <w:r>
        <w:rPr>
          <w:rFonts w:eastAsiaTheme="minorEastAsia"/>
        </w:rPr>
        <w:br w:type="page"/>
      </w:r>
    </w:p>
    <w:p w14:paraId="3F282DE3" w14:textId="1E3FB51E" w:rsidR="009768BA" w:rsidRDefault="009768BA" w:rsidP="009768BA">
      <w:pPr>
        <w:pStyle w:val="Heading3"/>
        <w:spacing w:after="0"/>
        <w:rPr>
          <w:rFonts w:eastAsiaTheme="minorEastAsia"/>
        </w:rPr>
      </w:pPr>
      <w:r>
        <w:rPr>
          <w:rFonts w:eastAsiaTheme="minorEastAsia"/>
        </w:rPr>
        <w:lastRenderedPageBreak/>
        <w:t>Alerts</w:t>
      </w:r>
    </w:p>
    <w:p w14:paraId="037533A3" w14:textId="77777777" w:rsidR="009768BA" w:rsidRDefault="009768BA" w:rsidP="009768BA">
      <w:pPr>
        <w:rPr>
          <w:rFonts w:eastAsiaTheme="minorEastAsia"/>
        </w:rPr>
      </w:pPr>
      <w:r>
        <w:rPr>
          <w:rFonts w:eastAsiaTheme="minorEastAsia"/>
        </w:rPr>
        <w:t>Alerts are any special considerations that should be communicated to support the delivery and continuity of patient-centred care. Alerts may include the following examples:</w:t>
      </w:r>
    </w:p>
    <w:p w14:paraId="424AA358" w14:textId="77777777" w:rsidR="009768BA" w:rsidRPr="006F15D3" w:rsidRDefault="009768BA" w:rsidP="00FC38F5">
      <w:pPr>
        <w:pStyle w:val="ListBullet"/>
        <w:rPr>
          <w:rFonts w:eastAsiaTheme="minorEastAsia"/>
        </w:rPr>
      </w:pPr>
      <w:r w:rsidRPr="006F15D3">
        <w:rPr>
          <w:rFonts w:eastAsiaTheme="minorEastAsia"/>
        </w:rPr>
        <w:t xml:space="preserve">Safety alerts </w:t>
      </w:r>
    </w:p>
    <w:p w14:paraId="44694A79" w14:textId="3656628D" w:rsidR="009768BA" w:rsidRPr="006F15D3" w:rsidRDefault="009768BA" w:rsidP="00FC38F5">
      <w:pPr>
        <w:pStyle w:val="ListBullet"/>
        <w:rPr>
          <w:rFonts w:eastAsiaTheme="minorEastAsia"/>
        </w:rPr>
      </w:pPr>
      <w:r w:rsidRPr="006F15D3">
        <w:rPr>
          <w:rFonts w:eastAsiaTheme="minorEastAsia"/>
        </w:rPr>
        <w:t xml:space="preserve">Infection </w:t>
      </w:r>
      <w:r>
        <w:rPr>
          <w:rFonts w:eastAsiaTheme="minorEastAsia"/>
        </w:rPr>
        <w:t>control needs or status of infection (</w:t>
      </w:r>
      <w:r w:rsidR="00692395">
        <w:rPr>
          <w:rFonts w:eastAsiaTheme="minorEastAsia"/>
        </w:rPr>
        <w:t xml:space="preserve">for example, </w:t>
      </w:r>
      <w:r>
        <w:rPr>
          <w:rFonts w:eastAsiaTheme="minorEastAsia"/>
        </w:rPr>
        <w:t>sepsis)</w:t>
      </w:r>
    </w:p>
    <w:p w14:paraId="165AE631" w14:textId="113AC873" w:rsidR="009768BA" w:rsidRPr="006F15D3" w:rsidRDefault="009768BA" w:rsidP="00FC38F5">
      <w:pPr>
        <w:pStyle w:val="ListBullet"/>
        <w:rPr>
          <w:rFonts w:eastAsiaTheme="minorEastAsia"/>
        </w:rPr>
      </w:pPr>
      <w:r w:rsidRPr="006F15D3">
        <w:rPr>
          <w:rFonts w:eastAsiaTheme="minorEastAsia"/>
        </w:rPr>
        <w:t xml:space="preserve">Functional status </w:t>
      </w:r>
      <w:r>
        <w:rPr>
          <w:rFonts w:eastAsiaTheme="minorEastAsia"/>
        </w:rPr>
        <w:t>(</w:t>
      </w:r>
      <w:r w:rsidR="00692395">
        <w:rPr>
          <w:rFonts w:eastAsiaTheme="minorEastAsia"/>
        </w:rPr>
        <w:t xml:space="preserve">for example, </w:t>
      </w:r>
      <w:r>
        <w:rPr>
          <w:rFonts w:eastAsiaTheme="minorEastAsia"/>
        </w:rPr>
        <w:t>mobility aid)</w:t>
      </w:r>
    </w:p>
    <w:p w14:paraId="383D9E4C" w14:textId="0F167E0F" w:rsidR="009768BA" w:rsidRPr="006F15D3" w:rsidRDefault="009768BA" w:rsidP="00FC38F5">
      <w:pPr>
        <w:pStyle w:val="ListBullet"/>
        <w:rPr>
          <w:rFonts w:eastAsiaTheme="minorEastAsia"/>
        </w:rPr>
      </w:pPr>
      <w:r w:rsidRPr="006F15D3">
        <w:rPr>
          <w:rFonts w:eastAsiaTheme="minorEastAsia"/>
        </w:rPr>
        <w:t>Cognitive and/or sensory impairment</w:t>
      </w:r>
      <w:r>
        <w:rPr>
          <w:rFonts w:eastAsiaTheme="minorEastAsia"/>
        </w:rPr>
        <w:t xml:space="preserve"> (</w:t>
      </w:r>
      <w:r w:rsidR="00692395">
        <w:rPr>
          <w:rFonts w:eastAsiaTheme="minorEastAsia"/>
        </w:rPr>
        <w:t xml:space="preserve">for example, </w:t>
      </w:r>
      <w:r>
        <w:rPr>
          <w:rFonts w:eastAsiaTheme="minorEastAsia"/>
        </w:rPr>
        <w:t>behaviour support plans)</w:t>
      </w:r>
    </w:p>
    <w:p w14:paraId="2EEEA1CD" w14:textId="77777777" w:rsidR="009768BA" w:rsidRPr="006F15D3" w:rsidRDefault="009768BA" w:rsidP="00FC38F5">
      <w:pPr>
        <w:pStyle w:val="ListBullet"/>
        <w:rPr>
          <w:rFonts w:eastAsiaTheme="minorEastAsia"/>
        </w:rPr>
      </w:pPr>
      <w:r w:rsidRPr="006F15D3">
        <w:rPr>
          <w:rFonts w:eastAsiaTheme="minorEastAsia"/>
        </w:rPr>
        <w:t xml:space="preserve">Legal information </w:t>
      </w:r>
    </w:p>
    <w:p w14:paraId="13C2074C" w14:textId="1EA91D38" w:rsidR="009768BA" w:rsidRPr="003476DE" w:rsidRDefault="009768BA" w:rsidP="00FC38F5">
      <w:pPr>
        <w:pStyle w:val="ListBullet"/>
        <w:rPr>
          <w:rFonts w:eastAsiaTheme="minorEastAsia"/>
        </w:rPr>
      </w:pPr>
      <w:r w:rsidRPr="006F15D3">
        <w:rPr>
          <w:rFonts w:eastAsiaTheme="minorEastAsia"/>
        </w:rPr>
        <w:t>Preferences (</w:t>
      </w:r>
      <w:r w:rsidR="00692395">
        <w:rPr>
          <w:rFonts w:eastAsiaTheme="minorEastAsia"/>
        </w:rPr>
        <w:t xml:space="preserve">for example, </w:t>
      </w:r>
      <w:r w:rsidRPr="006F15D3">
        <w:rPr>
          <w:rFonts w:eastAsiaTheme="minorEastAsia"/>
        </w:rPr>
        <w:t>goals of care, interpreters, religious or cultural needs)</w:t>
      </w:r>
    </w:p>
    <w:p w14:paraId="03C26064" w14:textId="49C3EF28" w:rsidR="009768BA" w:rsidRPr="00FC38F5" w:rsidRDefault="009768BA" w:rsidP="00B12BB4">
      <w:pPr>
        <w:pStyle w:val="ListBullet"/>
        <w:spacing w:after="300"/>
        <w:ind w:left="357" w:hanging="357"/>
        <w:rPr>
          <w:rFonts w:eastAsiaTheme="minorEastAsia"/>
        </w:rPr>
      </w:pPr>
      <w:r w:rsidRPr="00FC38F5">
        <w:rPr>
          <w:rFonts w:eastAsiaTheme="minorEastAsia"/>
        </w:rPr>
        <w:t xml:space="preserve">Advance </w:t>
      </w:r>
      <w:r w:rsidR="00B12BB4">
        <w:rPr>
          <w:rFonts w:ascii="Arial" w:hAnsi="Arial" w:cs="Arial"/>
          <w:color w:val="000000"/>
        </w:rPr>
        <w:t>care planning documents</w:t>
      </w:r>
      <w:r w:rsidR="00FC38F5" w:rsidRPr="00FC38F5">
        <w:rPr>
          <w:rFonts w:eastAsiaTheme="minorEastAsia"/>
        </w:rPr>
        <w:t>.</w:t>
      </w:r>
    </w:p>
    <w:tbl>
      <w:tblPr>
        <w:tblStyle w:val="SQHTable"/>
        <w:tblW w:w="5000" w:type="pct"/>
        <w:tblBorders>
          <w:top w:val="none" w:sz="0" w:space="0" w:color="auto"/>
          <w:insideV w:val="single" w:sz="12" w:space="0" w:color="FFFFFF" w:themeColor="background1"/>
        </w:tblBorders>
        <w:tblLook w:val="0420" w:firstRow="1" w:lastRow="0" w:firstColumn="0" w:lastColumn="0" w:noHBand="0" w:noVBand="1"/>
        <w:tblCaption w:val="Alerts"/>
      </w:tblPr>
      <w:tblGrid>
        <w:gridCol w:w="3339"/>
        <w:gridCol w:w="5845"/>
      </w:tblGrid>
      <w:tr w:rsidR="009768BA" w:rsidRPr="00463DEF" w14:paraId="20E4EB15" w14:textId="77777777" w:rsidTr="00D15F2D">
        <w:trPr>
          <w:cnfStyle w:val="100000000000" w:firstRow="1" w:lastRow="0" w:firstColumn="0" w:lastColumn="0" w:oddVBand="0" w:evenVBand="0" w:oddHBand="0" w:evenHBand="0" w:firstRowFirstColumn="0" w:firstRowLastColumn="0" w:lastRowFirstColumn="0" w:lastRowLastColumn="0"/>
        </w:trPr>
        <w:tc>
          <w:tcPr>
            <w:tcW w:w="181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F88277" w14:textId="77777777" w:rsidR="009768BA" w:rsidRPr="00463DEF" w:rsidRDefault="009768BA" w:rsidP="00463DEF">
            <w:r w:rsidRPr="00463DEF">
              <w:t>Recommendation</w:t>
            </w:r>
          </w:p>
        </w:tc>
        <w:tc>
          <w:tcPr>
            <w:tcW w:w="318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B1FA88" w14:textId="77777777" w:rsidR="009768BA" w:rsidRPr="00463DEF" w:rsidRDefault="009768BA" w:rsidP="00463DEF">
            <w:r w:rsidRPr="00463DEF">
              <w:t xml:space="preserve">Rationale </w:t>
            </w:r>
          </w:p>
        </w:tc>
      </w:tr>
      <w:tr w:rsidR="009768BA" w:rsidRPr="00463DEF" w14:paraId="6BFDD95E" w14:textId="77777777" w:rsidTr="00D15F2D">
        <w:tc>
          <w:tcPr>
            <w:tcW w:w="1818" w:type="pct"/>
          </w:tcPr>
          <w:p w14:paraId="091B3689" w14:textId="63854546" w:rsidR="009768BA" w:rsidRPr="00463DEF" w:rsidRDefault="009768BA" w:rsidP="00463DEF">
            <w:r w:rsidRPr="00463DEF">
              <w:t>Display alerts as a bullet list, using short sentences</w:t>
            </w:r>
            <w:r w:rsidR="00463DEF">
              <w:t>.</w:t>
            </w:r>
          </w:p>
        </w:tc>
        <w:tc>
          <w:tcPr>
            <w:tcW w:w="3182" w:type="pct"/>
          </w:tcPr>
          <w:p w14:paraId="7407D832" w14:textId="6F3D6C23" w:rsidR="009768BA" w:rsidRPr="00463DEF" w:rsidRDefault="009768BA" w:rsidP="00463DEF">
            <w:r w:rsidRPr="00463DEF">
              <w:t>Bullet lists facilitate faster review of the discharge summary</w:t>
            </w:r>
            <w:r w:rsidR="00463DEF">
              <w:t>.</w:t>
            </w:r>
            <w:r w:rsidRPr="00463DEF">
              <w:t xml:space="preserve">  </w:t>
            </w:r>
          </w:p>
        </w:tc>
      </w:tr>
      <w:tr w:rsidR="009768BA" w:rsidRPr="00463DEF" w14:paraId="3AFF3D70" w14:textId="77777777" w:rsidTr="00D15F2D">
        <w:trPr>
          <w:cnfStyle w:val="000000010000" w:firstRow="0" w:lastRow="0" w:firstColumn="0" w:lastColumn="0" w:oddVBand="0" w:evenVBand="0" w:oddHBand="0" w:evenHBand="1" w:firstRowFirstColumn="0" w:firstRowLastColumn="0" w:lastRowFirstColumn="0" w:lastRowLastColumn="0"/>
        </w:trPr>
        <w:tc>
          <w:tcPr>
            <w:tcW w:w="1818" w:type="pct"/>
          </w:tcPr>
          <w:p w14:paraId="0488D7E0" w14:textId="5D09534C" w:rsidR="009768BA" w:rsidRPr="00463DEF" w:rsidRDefault="009768BA" w:rsidP="00463DEF">
            <w:r w:rsidRPr="00463DEF">
              <w:t xml:space="preserve">The </w:t>
            </w:r>
            <w:r w:rsidR="00CC5A0A" w:rsidRPr="00DD28CD">
              <w:t>‘</w:t>
            </w:r>
            <w:r w:rsidR="00CC5A0A" w:rsidRPr="00A12B26">
              <w:t>Alerts</w:t>
            </w:r>
            <w:r w:rsidR="00CC5A0A" w:rsidRPr="00DD28CD">
              <w:t>’</w:t>
            </w:r>
            <w:r w:rsidR="00CC5A0A">
              <w:t xml:space="preserve"> </w:t>
            </w:r>
            <w:r w:rsidRPr="00463DEF">
              <w:t>section should not be automatically populated</w:t>
            </w:r>
            <w:r w:rsidR="00463DEF">
              <w:t>.</w:t>
            </w:r>
          </w:p>
          <w:p w14:paraId="10CE4F12" w14:textId="77777777" w:rsidR="009768BA" w:rsidRPr="00463DEF" w:rsidRDefault="009768BA" w:rsidP="00463DEF"/>
        </w:tc>
        <w:tc>
          <w:tcPr>
            <w:tcW w:w="3182" w:type="pct"/>
          </w:tcPr>
          <w:p w14:paraId="55BC1CD6" w14:textId="77777777" w:rsidR="009768BA" w:rsidRPr="00463DEF" w:rsidRDefault="009768BA" w:rsidP="00463DEF">
            <w:pPr>
              <w:pStyle w:val="ListBullet"/>
              <w:rPr>
                <w:rFonts w:eastAsiaTheme="minorEastAsia"/>
              </w:rPr>
            </w:pPr>
            <w:r w:rsidRPr="00463DEF">
              <w:rPr>
                <w:rFonts w:eastAsiaTheme="minorEastAsia"/>
              </w:rPr>
              <w:t>Information in this section may be sensitive and should be included at the discretion of the author.</w:t>
            </w:r>
          </w:p>
          <w:p w14:paraId="2CAB1988" w14:textId="77777777" w:rsidR="009768BA" w:rsidRPr="00463DEF" w:rsidRDefault="009768BA" w:rsidP="00463DEF">
            <w:pPr>
              <w:pStyle w:val="ListBullet"/>
              <w:rPr>
                <w:rFonts w:eastAsiaTheme="minorEastAsia"/>
              </w:rPr>
            </w:pPr>
            <w:r w:rsidRPr="00463DEF">
              <w:t>While some information may not be appropriate for inclusion in a discharge summary, it should still be provided to the receiving clinician through other mechanisms if it is important for continuity of care.</w:t>
            </w:r>
          </w:p>
        </w:tc>
      </w:tr>
    </w:tbl>
    <w:p w14:paraId="6CE4D304" w14:textId="77777777" w:rsidR="009768BA" w:rsidRDefault="009768BA" w:rsidP="00CC5A0A">
      <w:pPr>
        <w:pStyle w:val="Heading3"/>
        <w:spacing w:before="360"/>
        <w:rPr>
          <w:rFonts w:eastAsiaTheme="minorEastAsia"/>
        </w:rPr>
      </w:pPr>
      <w:r>
        <w:rPr>
          <w:rFonts w:eastAsiaTheme="minorEastAsia"/>
        </w:rPr>
        <w:t>Follow-up appointments</w:t>
      </w:r>
    </w:p>
    <w:p w14:paraId="21803EC9" w14:textId="29128CBD" w:rsidR="009768BA" w:rsidRDefault="009768BA" w:rsidP="00463DEF">
      <w:pPr>
        <w:spacing w:after="240"/>
        <w:rPr>
          <w:rFonts w:eastAsiaTheme="minorEastAsia"/>
        </w:rPr>
      </w:pPr>
      <w:r>
        <w:rPr>
          <w:rFonts w:eastAsiaTheme="minorEastAsia"/>
        </w:rPr>
        <w:t xml:space="preserve">This </w:t>
      </w:r>
      <w:r w:rsidR="00D14534">
        <w:rPr>
          <w:rFonts w:eastAsiaTheme="minorEastAsia"/>
        </w:rPr>
        <w:t>component</w:t>
      </w:r>
      <w:r w:rsidR="00CC5A0A">
        <w:rPr>
          <w:rFonts w:eastAsiaTheme="minorEastAsia"/>
        </w:rPr>
        <w:t xml:space="preserve"> </w:t>
      </w:r>
      <w:r>
        <w:rPr>
          <w:rFonts w:eastAsiaTheme="minorEastAsia"/>
        </w:rPr>
        <w:t>of the EDS should include details about any appointments that have been made by the health service on behalf of the patient to facilitate follow up or review.</w:t>
      </w:r>
    </w:p>
    <w:tbl>
      <w:tblPr>
        <w:tblStyle w:val="SQHTable"/>
        <w:tblW w:w="5000" w:type="pct"/>
        <w:tblBorders>
          <w:top w:val="none" w:sz="0" w:space="0" w:color="auto"/>
          <w:insideV w:val="single" w:sz="12" w:space="0" w:color="FFFFFF" w:themeColor="background1"/>
        </w:tblBorders>
        <w:tblLook w:val="0420" w:firstRow="1" w:lastRow="0" w:firstColumn="0" w:lastColumn="0" w:noHBand="0" w:noVBand="1"/>
        <w:tblCaption w:val="Follow-up appointments"/>
      </w:tblPr>
      <w:tblGrid>
        <w:gridCol w:w="4820"/>
        <w:gridCol w:w="4364"/>
      </w:tblGrid>
      <w:tr w:rsidR="009768BA" w:rsidRPr="00463DEF" w14:paraId="64C2BD97" w14:textId="77777777" w:rsidTr="00D15F2D">
        <w:trPr>
          <w:cnfStyle w:val="100000000000" w:firstRow="1" w:lastRow="0" w:firstColumn="0" w:lastColumn="0" w:oddVBand="0" w:evenVBand="0" w:oddHBand="0" w:evenHBand="0" w:firstRowFirstColumn="0" w:firstRowLastColumn="0" w:lastRowFirstColumn="0" w:lastRowLastColumn="0"/>
        </w:trPr>
        <w:tc>
          <w:tcPr>
            <w:tcW w:w="262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F56216" w14:textId="77777777" w:rsidR="009768BA" w:rsidRPr="00463DEF" w:rsidRDefault="009768BA" w:rsidP="00463DEF">
            <w:r w:rsidRPr="00463DEF">
              <w:t>Recommendation</w:t>
            </w:r>
          </w:p>
        </w:tc>
        <w:tc>
          <w:tcPr>
            <w:tcW w:w="237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C0C142" w14:textId="77777777" w:rsidR="009768BA" w:rsidRPr="00463DEF" w:rsidRDefault="009768BA" w:rsidP="00463DEF">
            <w:r w:rsidRPr="00463DEF">
              <w:t xml:space="preserve">Rationale </w:t>
            </w:r>
          </w:p>
        </w:tc>
      </w:tr>
      <w:tr w:rsidR="009768BA" w:rsidRPr="00463DEF" w14:paraId="28EF9A9B" w14:textId="77777777" w:rsidTr="00D15F2D">
        <w:tc>
          <w:tcPr>
            <w:tcW w:w="2624" w:type="pct"/>
          </w:tcPr>
          <w:p w14:paraId="1DF0480A" w14:textId="06801302" w:rsidR="009768BA" w:rsidRPr="00463DEF" w:rsidRDefault="009768BA" w:rsidP="00463DEF">
            <w:r w:rsidRPr="00463DEF">
              <w:t>Present follow-up appointments in a table</w:t>
            </w:r>
            <w:r w:rsidR="00463DEF">
              <w:t>.</w:t>
            </w:r>
            <w:r w:rsidRPr="00463DEF">
              <w:t xml:space="preserve"> </w:t>
            </w:r>
          </w:p>
        </w:tc>
        <w:tc>
          <w:tcPr>
            <w:tcW w:w="2376" w:type="pct"/>
          </w:tcPr>
          <w:p w14:paraId="2608569D" w14:textId="7A65E780" w:rsidR="009768BA" w:rsidRPr="00463DEF" w:rsidRDefault="009768BA" w:rsidP="00463DEF">
            <w:r w:rsidRPr="00463DEF">
              <w:t>Presenting this information in a table facilitates readability and allows healthcare providers to readily identify what appointments have already been booked</w:t>
            </w:r>
            <w:r w:rsidR="00463DEF">
              <w:t>.</w:t>
            </w:r>
          </w:p>
        </w:tc>
      </w:tr>
      <w:tr w:rsidR="009768BA" w:rsidRPr="00463DEF" w14:paraId="4391AD41" w14:textId="77777777" w:rsidTr="00D15F2D">
        <w:trPr>
          <w:cnfStyle w:val="000000010000" w:firstRow="0" w:lastRow="0" w:firstColumn="0" w:lastColumn="0" w:oddVBand="0" w:evenVBand="0" w:oddHBand="0" w:evenHBand="1" w:firstRowFirstColumn="0" w:firstRowLastColumn="0" w:lastRowFirstColumn="0" w:lastRowLastColumn="0"/>
        </w:trPr>
        <w:tc>
          <w:tcPr>
            <w:tcW w:w="2624" w:type="pct"/>
          </w:tcPr>
          <w:p w14:paraId="0B0AF06C" w14:textId="24811876" w:rsidR="009768BA" w:rsidRPr="00463DEF" w:rsidRDefault="009768BA" w:rsidP="009C1CC3">
            <w:r w:rsidRPr="00463DEF">
              <w:t xml:space="preserve">Describe the follow-up </w:t>
            </w:r>
            <w:r w:rsidRPr="009C1CC3">
              <w:t>appointment</w:t>
            </w:r>
            <w:r w:rsidR="002E027E">
              <w:t xml:space="preserve"> and:</w:t>
            </w:r>
          </w:p>
          <w:p w14:paraId="3DB616FB" w14:textId="686E206A" w:rsidR="009768BA" w:rsidRPr="00463DEF" w:rsidRDefault="009768BA" w:rsidP="00463DEF">
            <w:pPr>
              <w:pStyle w:val="ListBullet"/>
            </w:pPr>
            <w:r w:rsidRPr="00463DEF">
              <w:t>Include the date and time of the appointment if it has already been booked, or the recommended timing</w:t>
            </w:r>
            <w:r w:rsidR="00463DEF">
              <w:t>.</w:t>
            </w:r>
          </w:p>
          <w:p w14:paraId="0D9C7A6C" w14:textId="63DE602B" w:rsidR="009768BA" w:rsidRPr="00463DEF" w:rsidRDefault="009768BA" w:rsidP="00463DEF">
            <w:pPr>
              <w:pStyle w:val="ListBullet"/>
            </w:pPr>
            <w:r w:rsidRPr="00463DEF">
              <w:t>Indicate the booking status</w:t>
            </w:r>
            <w:r w:rsidR="00463DEF">
              <w:t>.</w:t>
            </w:r>
          </w:p>
          <w:p w14:paraId="47112F8A" w14:textId="651C2D68" w:rsidR="009768BA" w:rsidRPr="00463DEF" w:rsidRDefault="009768BA" w:rsidP="00463DEF">
            <w:pPr>
              <w:pStyle w:val="ListBullet"/>
            </w:pPr>
            <w:r w:rsidRPr="00463DEF">
              <w:t>Name the healthcare provider who will provide the services</w:t>
            </w:r>
            <w:r w:rsidR="00463DEF">
              <w:t>.</w:t>
            </w:r>
          </w:p>
          <w:p w14:paraId="7959A4B6" w14:textId="0506DC2E" w:rsidR="009768BA" w:rsidRPr="00463DEF" w:rsidRDefault="009768BA" w:rsidP="00463DEF">
            <w:pPr>
              <w:pStyle w:val="ListBullet"/>
            </w:pPr>
            <w:r w:rsidRPr="00463DEF">
              <w:t>State the location of the appointment</w:t>
            </w:r>
            <w:r w:rsidR="00463DEF">
              <w:t>.</w:t>
            </w:r>
          </w:p>
          <w:p w14:paraId="4121D52A" w14:textId="2F0C50AF" w:rsidR="009768BA" w:rsidRPr="00463DEF" w:rsidRDefault="009768BA" w:rsidP="00463DEF">
            <w:pPr>
              <w:pStyle w:val="ListBullet"/>
            </w:pPr>
            <w:r w:rsidRPr="00463DEF">
              <w:t>Include the contact details of the healthcare provider who will provide the follow-up services</w:t>
            </w:r>
            <w:r w:rsidR="00463DEF">
              <w:t>.</w:t>
            </w:r>
          </w:p>
        </w:tc>
        <w:tc>
          <w:tcPr>
            <w:tcW w:w="2376" w:type="pct"/>
          </w:tcPr>
          <w:p w14:paraId="49FB84E6" w14:textId="77777777" w:rsidR="009768BA" w:rsidRPr="00463DEF" w:rsidRDefault="009768BA" w:rsidP="00463DEF">
            <w:r w:rsidRPr="00463DEF">
              <w:t xml:space="preserve">Including the relevant details provides the patient or other EDS recipient a point of contact to ensure follow up after discharge. </w:t>
            </w:r>
          </w:p>
          <w:p w14:paraId="512640D3" w14:textId="77777777" w:rsidR="009768BA" w:rsidRPr="00463DEF" w:rsidRDefault="009768BA" w:rsidP="00463DEF"/>
        </w:tc>
      </w:tr>
    </w:tbl>
    <w:p w14:paraId="46B05ED8" w14:textId="77777777" w:rsidR="009768BA" w:rsidRDefault="009768BA" w:rsidP="009768BA">
      <w:pPr>
        <w:pStyle w:val="Heading3"/>
        <w:rPr>
          <w:rFonts w:eastAsiaTheme="minorEastAsia"/>
        </w:rPr>
      </w:pPr>
      <w:r>
        <w:rPr>
          <w:rFonts w:eastAsiaTheme="minorEastAsia"/>
        </w:rPr>
        <w:lastRenderedPageBreak/>
        <w:t>Information provided to the patient</w:t>
      </w:r>
    </w:p>
    <w:p w14:paraId="77336233" w14:textId="1DFB48D9" w:rsidR="009768BA" w:rsidRPr="00913D3D" w:rsidRDefault="009768BA" w:rsidP="00463DEF">
      <w:pPr>
        <w:spacing w:after="240"/>
      </w:pPr>
      <w:r>
        <w:t>This section should summarise details of any information or instructions provided to the patient. If a separate patient-directed letter is provided, it may be cross-referenced within this section of the EDS. Any patient information or education provided at discharge should also be noted in this section (</w:t>
      </w:r>
      <w:r w:rsidR="00692395">
        <w:t xml:space="preserve">for example, </w:t>
      </w:r>
      <w:r>
        <w:t>diabetes educator, pharmacy, wound care). Information provided to a patient should tailored to ensure it is accessible and appropriate within the specific patient context (</w:t>
      </w:r>
      <w:r w:rsidR="00692395">
        <w:t xml:space="preserve">for example, </w:t>
      </w:r>
      <w:r>
        <w:t>Easy English, using interpreters).</w:t>
      </w:r>
    </w:p>
    <w:tbl>
      <w:tblPr>
        <w:tblStyle w:val="SQHTable"/>
        <w:tblW w:w="5000" w:type="pct"/>
        <w:tblBorders>
          <w:top w:val="none" w:sz="0" w:space="0" w:color="auto"/>
          <w:bottom w:val="single" w:sz="4" w:space="0" w:color="E9E0FF"/>
          <w:insideH w:val="single" w:sz="4" w:space="0" w:color="FFFFFF" w:themeColor="background1"/>
          <w:insideV w:val="single" w:sz="12" w:space="0" w:color="FFFFFF" w:themeColor="background1"/>
        </w:tblBorders>
        <w:tblLook w:val="0420" w:firstRow="1" w:lastRow="0" w:firstColumn="0" w:lastColumn="0" w:noHBand="0" w:noVBand="1"/>
        <w:tblCaption w:val="Information provided to the patient"/>
      </w:tblPr>
      <w:tblGrid>
        <w:gridCol w:w="4035"/>
        <w:gridCol w:w="5149"/>
      </w:tblGrid>
      <w:tr w:rsidR="009768BA" w:rsidRPr="00EA2DD2" w14:paraId="667ED56D" w14:textId="77777777" w:rsidTr="00D15F2D">
        <w:trPr>
          <w:cnfStyle w:val="100000000000" w:firstRow="1" w:lastRow="0" w:firstColumn="0" w:lastColumn="0" w:oddVBand="0" w:evenVBand="0" w:oddHBand="0" w:evenHBand="0" w:firstRowFirstColumn="0" w:firstRowLastColumn="0" w:lastRowFirstColumn="0" w:lastRowLastColumn="0"/>
        </w:trPr>
        <w:tc>
          <w:tcPr>
            <w:tcW w:w="219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4B47A6" w14:textId="77777777" w:rsidR="009768BA" w:rsidRPr="00EA2DD2" w:rsidRDefault="009768BA" w:rsidP="00EA2DD2">
            <w:r w:rsidRPr="00EA2DD2">
              <w:t>Recommendation</w:t>
            </w:r>
          </w:p>
        </w:tc>
        <w:tc>
          <w:tcPr>
            <w:tcW w:w="280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086E5E" w14:textId="77777777" w:rsidR="009768BA" w:rsidRPr="00EA2DD2" w:rsidRDefault="009768BA" w:rsidP="00EA2DD2">
            <w:r w:rsidRPr="00EA2DD2">
              <w:t xml:space="preserve">Rationale </w:t>
            </w:r>
          </w:p>
        </w:tc>
      </w:tr>
      <w:tr w:rsidR="009768BA" w:rsidRPr="00EA2DD2" w14:paraId="0CFB24BC" w14:textId="77777777" w:rsidTr="00D15F2D">
        <w:tc>
          <w:tcPr>
            <w:tcW w:w="2197" w:type="pct"/>
          </w:tcPr>
          <w:p w14:paraId="2ACEA92A" w14:textId="410D94D1" w:rsidR="009768BA" w:rsidRPr="00EA2DD2" w:rsidRDefault="009768BA" w:rsidP="00EA2DD2">
            <w:r w:rsidRPr="00EA2DD2">
              <w:t>Display this section as a bullet list, using short sentences</w:t>
            </w:r>
            <w:r w:rsidR="003F2EDD">
              <w:t>.</w:t>
            </w:r>
          </w:p>
        </w:tc>
        <w:tc>
          <w:tcPr>
            <w:tcW w:w="2803" w:type="pct"/>
          </w:tcPr>
          <w:p w14:paraId="553C7FAE" w14:textId="77777777" w:rsidR="009768BA" w:rsidRPr="00EA2DD2" w:rsidRDefault="009768BA" w:rsidP="00EA2DD2">
            <w:r w:rsidRPr="00EA2DD2">
              <w:t>Within the current digital health infrastructure this section is an uncoded free text format. Presenting information in a bullet list facilitates readability of the discharge summary.</w:t>
            </w:r>
          </w:p>
        </w:tc>
      </w:tr>
    </w:tbl>
    <w:p w14:paraId="19BCF0B4" w14:textId="77777777" w:rsidR="009768BA" w:rsidRDefault="009768BA" w:rsidP="009768BA">
      <w:pPr>
        <w:pStyle w:val="Heading3"/>
        <w:rPr>
          <w:rFonts w:eastAsiaTheme="minorEastAsia"/>
        </w:rPr>
      </w:pPr>
      <w:r>
        <w:rPr>
          <w:rFonts w:eastAsiaTheme="minorEastAsia"/>
        </w:rPr>
        <w:t>Recipients</w:t>
      </w:r>
    </w:p>
    <w:p w14:paraId="006AE9E8" w14:textId="6EACF8D2" w:rsidR="009768BA" w:rsidRDefault="009768BA" w:rsidP="00EA2DD2">
      <w:pPr>
        <w:spacing w:after="240"/>
        <w:rPr>
          <w:rFonts w:eastAsiaTheme="minorEastAsia"/>
        </w:rPr>
      </w:pPr>
      <w:r>
        <w:rPr>
          <w:rFonts w:eastAsiaTheme="minorEastAsia"/>
        </w:rPr>
        <w:t>This component</w:t>
      </w:r>
      <w:r w:rsidR="001E0B52">
        <w:rPr>
          <w:rFonts w:eastAsiaTheme="minorEastAsia"/>
        </w:rPr>
        <w:t xml:space="preserve"> </w:t>
      </w:r>
      <w:r>
        <w:rPr>
          <w:rFonts w:eastAsiaTheme="minorEastAsia"/>
        </w:rPr>
        <w:t xml:space="preserve">should list the details of </w:t>
      </w:r>
      <w:r w:rsidRPr="00327DEA">
        <w:rPr>
          <w:rFonts w:eastAsiaTheme="minorEastAsia"/>
        </w:rPr>
        <w:t>the nominated primary healthcare provider and any</w:t>
      </w:r>
      <w:r>
        <w:rPr>
          <w:rFonts w:eastAsiaTheme="minorEastAsia"/>
        </w:rPr>
        <w:t xml:space="preserve"> additional recipients of the EDS.</w:t>
      </w:r>
    </w:p>
    <w:tbl>
      <w:tblPr>
        <w:tblStyle w:val="SQHTable"/>
        <w:tblW w:w="5000" w:type="pct"/>
        <w:tblBorders>
          <w:top w:val="none" w:sz="0" w:space="0" w:color="auto"/>
          <w:insideV w:val="single" w:sz="12" w:space="0" w:color="FFFFFF" w:themeColor="background1"/>
        </w:tblBorders>
        <w:tblLook w:val="0420" w:firstRow="1" w:lastRow="0" w:firstColumn="0" w:lastColumn="0" w:noHBand="0" w:noVBand="1"/>
        <w:tblCaption w:val="Recipients"/>
      </w:tblPr>
      <w:tblGrid>
        <w:gridCol w:w="5103"/>
        <w:gridCol w:w="4081"/>
      </w:tblGrid>
      <w:tr w:rsidR="009768BA" w:rsidRPr="00EA2DD2" w14:paraId="05A98AB9" w14:textId="77777777" w:rsidTr="00D15F2D">
        <w:trPr>
          <w:cnfStyle w:val="100000000000" w:firstRow="1" w:lastRow="0" w:firstColumn="0" w:lastColumn="0" w:oddVBand="0" w:evenVBand="0" w:oddHBand="0" w:evenHBand="0" w:firstRowFirstColumn="0" w:firstRowLastColumn="0" w:lastRowFirstColumn="0" w:lastRowLastColumn="0"/>
          <w:trHeight w:val="20"/>
        </w:trPr>
        <w:tc>
          <w:tcPr>
            <w:tcW w:w="277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09C2BD2" w14:textId="77777777" w:rsidR="009768BA" w:rsidRPr="00EA2DD2" w:rsidRDefault="009768BA" w:rsidP="00EA2DD2">
            <w:r w:rsidRPr="00EA2DD2">
              <w:t>Recommendation</w:t>
            </w:r>
          </w:p>
        </w:tc>
        <w:tc>
          <w:tcPr>
            <w:tcW w:w="222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249D628" w14:textId="77777777" w:rsidR="009768BA" w:rsidRPr="00EA2DD2" w:rsidRDefault="009768BA" w:rsidP="00EA2DD2">
            <w:r w:rsidRPr="00EA2DD2">
              <w:t xml:space="preserve">Rationale </w:t>
            </w:r>
          </w:p>
        </w:tc>
      </w:tr>
      <w:tr w:rsidR="009768BA" w:rsidRPr="00EA2DD2" w14:paraId="1369ABE4" w14:textId="77777777" w:rsidTr="00D15F2D">
        <w:trPr>
          <w:trHeight w:val="20"/>
        </w:trPr>
        <w:tc>
          <w:tcPr>
            <w:tcW w:w="2778" w:type="pct"/>
          </w:tcPr>
          <w:p w14:paraId="543B904B" w14:textId="7A704B81" w:rsidR="009768BA" w:rsidRPr="00EA2DD2" w:rsidRDefault="009768BA" w:rsidP="00EA2DD2">
            <w:r w:rsidRPr="00EA2DD2">
              <w:t>Name the recipient and indicate whether they are the primary recipient or other primary healthcare provider</w:t>
            </w:r>
            <w:r w:rsidR="003F2EDD">
              <w:t>.</w:t>
            </w:r>
          </w:p>
        </w:tc>
        <w:tc>
          <w:tcPr>
            <w:tcW w:w="2222" w:type="pct"/>
          </w:tcPr>
          <w:p w14:paraId="0C1B6E78" w14:textId="77777777" w:rsidR="009768BA" w:rsidRPr="00EA2DD2" w:rsidRDefault="009768BA" w:rsidP="00EA2DD2">
            <w:r w:rsidRPr="00EA2DD2">
              <w:t>This minimises ambiguity about the intended primary care recipient.</w:t>
            </w:r>
          </w:p>
        </w:tc>
      </w:tr>
      <w:tr w:rsidR="009768BA" w:rsidRPr="00EA2DD2" w14:paraId="522A0767" w14:textId="77777777" w:rsidTr="00D15F2D">
        <w:trPr>
          <w:cnfStyle w:val="000000010000" w:firstRow="0" w:lastRow="0" w:firstColumn="0" w:lastColumn="0" w:oddVBand="0" w:evenVBand="0" w:oddHBand="0" w:evenHBand="1" w:firstRowFirstColumn="0" w:firstRowLastColumn="0" w:lastRowFirstColumn="0" w:lastRowLastColumn="0"/>
          <w:trHeight w:val="20"/>
        </w:trPr>
        <w:tc>
          <w:tcPr>
            <w:tcW w:w="2778" w:type="pct"/>
          </w:tcPr>
          <w:p w14:paraId="57F40971" w14:textId="12A7AE0A" w:rsidR="009768BA" w:rsidRPr="00EA2DD2" w:rsidRDefault="009768BA" w:rsidP="00EA2DD2">
            <w:r w:rsidRPr="00EA2DD2">
              <w:t>Include contact details such as telephone number, address and organisation</w:t>
            </w:r>
            <w:r w:rsidR="003F2EDD">
              <w:t>.</w:t>
            </w:r>
          </w:p>
        </w:tc>
        <w:tc>
          <w:tcPr>
            <w:tcW w:w="2222" w:type="pct"/>
          </w:tcPr>
          <w:p w14:paraId="481B160F" w14:textId="77777777" w:rsidR="009768BA" w:rsidRPr="00EA2DD2" w:rsidRDefault="009768BA" w:rsidP="00EA2DD2">
            <w:r w:rsidRPr="00EA2DD2">
              <w:t>Inclusion of contact details facilitates communication to support ongoing care.</w:t>
            </w:r>
          </w:p>
        </w:tc>
      </w:tr>
    </w:tbl>
    <w:p w14:paraId="6BF8C727" w14:textId="77777777" w:rsidR="009768BA" w:rsidRDefault="009768BA" w:rsidP="009768BA">
      <w:pPr>
        <w:pStyle w:val="Heading3"/>
        <w:spacing w:after="0"/>
        <w:rPr>
          <w:rFonts w:eastAsiaTheme="minorEastAsia"/>
        </w:rPr>
      </w:pPr>
      <w:r>
        <w:rPr>
          <w:rFonts w:eastAsiaTheme="minorEastAsia"/>
        </w:rPr>
        <w:t>Selected investigation results</w:t>
      </w:r>
    </w:p>
    <w:p w14:paraId="41FD150F" w14:textId="18C95CCC" w:rsidR="009768BA" w:rsidRPr="000C2005" w:rsidRDefault="009768BA" w:rsidP="00CA0FFF">
      <w:pPr>
        <w:spacing w:after="240"/>
        <w:rPr>
          <w:rFonts w:eastAsiaTheme="minorEastAsia"/>
        </w:rPr>
      </w:pPr>
      <w:r>
        <w:rPr>
          <w:rFonts w:eastAsiaTheme="minorEastAsia"/>
        </w:rPr>
        <w:t>This component of the EDS should include only results that are considered important for continuity of care, particularly where a hospital admission is long or complex.</w:t>
      </w:r>
    </w:p>
    <w:tbl>
      <w:tblPr>
        <w:tblStyle w:val="SQHTable"/>
        <w:tblW w:w="5000" w:type="pct"/>
        <w:tblBorders>
          <w:top w:val="none" w:sz="0" w:space="0" w:color="auto"/>
          <w:insideV w:val="single" w:sz="12" w:space="0" w:color="FFFFFF" w:themeColor="background1"/>
        </w:tblBorders>
        <w:tblLook w:val="0420" w:firstRow="1" w:lastRow="0" w:firstColumn="0" w:lastColumn="0" w:noHBand="0" w:noVBand="1"/>
        <w:tblCaption w:val="Selected investigation results"/>
      </w:tblPr>
      <w:tblGrid>
        <w:gridCol w:w="4395"/>
        <w:gridCol w:w="4789"/>
      </w:tblGrid>
      <w:tr w:rsidR="009768BA" w:rsidRPr="00CA0FFF" w14:paraId="091E4DBB" w14:textId="77777777" w:rsidTr="00D15F2D">
        <w:trPr>
          <w:cnfStyle w:val="100000000000" w:firstRow="1" w:lastRow="0" w:firstColumn="0" w:lastColumn="0" w:oddVBand="0" w:evenVBand="0" w:oddHBand="0" w:evenHBand="0" w:firstRowFirstColumn="0" w:firstRowLastColumn="0" w:lastRowFirstColumn="0" w:lastRowLastColumn="0"/>
        </w:trPr>
        <w:tc>
          <w:tcPr>
            <w:tcW w:w="239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1DBDE3" w14:textId="77777777" w:rsidR="009768BA" w:rsidRPr="00CA0FFF" w:rsidRDefault="009768BA" w:rsidP="00CA0FFF">
            <w:r w:rsidRPr="00CA0FFF">
              <w:t>Recommendation</w:t>
            </w:r>
          </w:p>
        </w:tc>
        <w:tc>
          <w:tcPr>
            <w:tcW w:w="260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0A745A" w14:textId="77777777" w:rsidR="009768BA" w:rsidRPr="00CA0FFF" w:rsidRDefault="009768BA" w:rsidP="00CA0FFF">
            <w:r w:rsidRPr="00CA0FFF">
              <w:t xml:space="preserve">Rationale </w:t>
            </w:r>
          </w:p>
        </w:tc>
      </w:tr>
      <w:tr w:rsidR="009768BA" w:rsidRPr="00CA0FFF" w14:paraId="0BE18B36" w14:textId="77777777" w:rsidTr="00D15F2D">
        <w:tc>
          <w:tcPr>
            <w:tcW w:w="2393" w:type="pct"/>
          </w:tcPr>
          <w:p w14:paraId="6A98B8C7" w14:textId="541666BD" w:rsidR="009768BA" w:rsidRPr="00CA0FFF" w:rsidRDefault="009768BA" w:rsidP="00CA0FFF">
            <w:r w:rsidRPr="00CA0FFF">
              <w:t>Include selected investigations and associated results at the end of the discharge summary</w:t>
            </w:r>
            <w:r w:rsidR="003F2EDD">
              <w:t>.</w:t>
            </w:r>
          </w:p>
        </w:tc>
        <w:tc>
          <w:tcPr>
            <w:tcW w:w="2607" w:type="pct"/>
          </w:tcPr>
          <w:p w14:paraId="7FF59852" w14:textId="24418ECF" w:rsidR="009768BA" w:rsidRPr="00CA0FFF" w:rsidRDefault="003F2EDD" w:rsidP="00CA0FFF">
            <w:r w:rsidRPr="00CA0FFF">
              <w:t xml:space="preserve">Investigation results can be several pages long. Displaying this </w:t>
            </w:r>
            <w:r>
              <w:t>component</w:t>
            </w:r>
            <w:r w:rsidRPr="00CA0FFF">
              <w:t xml:space="preserve"> last means </w:t>
            </w:r>
            <w:r>
              <w:t>allows important information in</w:t>
            </w:r>
            <w:r w:rsidRPr="00CA0FFF">
              <w:t xml:space="preserve"> earlier sections of the </w:t>
            </w:r>
            <w:r>
              <w:t>EDS to be readily available.</w:t>
            </w:r>
          </w:p>
        </w:tc>
      </w:tr>
      <w:tr w:rsidR="009768BA" w:rsidRPr="00CA0FFF" w14:paraId="3DB49248" w14:textId="77777777" w:rsidTr="00D15F2D">
        <w:trPr>
          <w:cnfStyle w:val="000000010000" w:firstRow="0" w:lastRow="0" w:firstColumn="0" w:lastColumn="0" w:oddVBand="0" w:evenVBand="0" w:oddHBand="0" w:evenHBand="1" w:firstRowFirstColumn="0" w:firstRowLastColumn="0" w:lastRowFirstColumn="0" w:lastRowLastColumn="0"/>
        </w:trPr>
        <w:tc>
          <w:tcPr>
            <w:tcW w:w="2393" w:type="pct"/>
          </w:tcPr>
          <w:p w14:paraId="66A64F30" w14:textId="77777777" w:rsidR="009768BA" w:rsidRPr="00CA0FFF" w:rsidRDefault="009768BA" w:rsidP="00CA0FFF">
            <w:r w:rsidRPr="00CA0FFF">
              <w:t xml:space="preserve">Only relevant results should be included as determined by clinical judgement of the discharging clinician. </w:t>
            </w:r>
          </w:p>
        </w:tc>
        <w:tc>
          <w:tcPr>
            <w:tcW w:w="2607" w:type="pct"/>
          </w:tcPr>
          <w:p w14:paraId="1538C399" w14:textId="77777777" w:rsidR="009768BA" w:rsidRPr="00CA0FFF" w:rsidRDefault="009768BA" w:rsidP="00CA0FFF">
            <w:r w:rsidRPr="00CA0FFF">
              <w:t>Stakeholders indicated that the amount of information in this section may vary based on the complexity and condition of the patient, or the length of stay.</w:t>
            </w:r>
          </w:p>
        </w:tc>
      </w:tr>
      <w:tr w:rsidR="009768BA" w:rsidRPr="00CA0FFF" w14:paraId="3331F2DD" w14:textId="77777777" w:rsidTr="00D15F2D">
        <w:tc>
          <w:tcPr>
            <w:tcW w:w="2393" w:type="pct"/>
          </w:tcPr>
          <w:p w14:paraId="535CBBDB" w14:textId="77777777" w:rsidR="009768BA" w:rsidRPr="00CA0FFF" w:rsidRDefault="009768BA" w:rsidP="00CA0FFF">
            <w:r w:rsidRPr="00CA0FFF">
              <w:t xml:space="preserve">Provide relevant commentary regarding abnormal investigation results. </w:t>
            </w:r>
          </w:p>
        </w:tc>
        <w:tc>
          <w:tcPr>
            <w:tcW w:w="2607" w:type="pct"/>
          </w:tcPr>
          <w:p w14:paraId="279FA963" w14:textId="77777777" w:rsidR="009768BA" w:rsidRPr="00CA0FFF" w:rsidRDefault="009768BA" w:rsidP="00CA0FFF">
            <w:r w:rsidRPr="00CA0FFF">
              <w:t>This information could reduce ambiguity and unnecessary repeated tests. Inclusion of additional information about abnormal investigation results should be determined by the discharging clinician based on latest clinical recommendations.</w:t>
            </w:r>
          </w:p>
        </w:tc>
      </w:tr>
      <w:tr w:rsidR="009768BA" w:rsidRPr="00CA0FFF" w14:paraId="28B912B9" w14:textId="77777777" w:rsidTr="00D15F2D">
        <w:trPr>
          <w:cnfStyle w:val="000000010000" w:firstRow="0" w:lastRow="0" w:firstColumn="0" w:lastColumn="0" w:oddVBand="0" w:evenVBand="0" w:oddHBand="0" w:evenHBand="1" w:firstRowFirstColumn="0" w:firstRowLastColumn="0" w:lastRowFirstColumn="0" w:lastRowLastColumn="0"/>
        </w:trPr>
        <w:tc>
          <w:tcPr>
            <w:tcW w:w="2393" w:type="pct"/>
          </w:tcPr>
          <w:p w14:paraId="1E3ECF18" w14:textId="2D96BF59" w:rsidR="009768BA" w:rsidRPr="00CA0FFF" w:rsidRDefault="009768BA" w:rsidP="00CA0FFF">
            <w:r w:rsidRPr="00CA0FFF">
              <w:t>Indicate where an important result is still pending at the time of discharge. This should be reiterated in the ‘</w:t>
            </w:r>
            <w:r w:rsidR="004151DE">
              <w:t>R</w:t>
            </w:r>
            <w:r w:rsidRPr="00CA0FFF">
              <w:t xml:space="preserve">ecommendations’ section of the EDS. </w:t>
            </w:r>
          </w:p>
        </w:tc>
        <w:tc>
          <w:tcPr>
            <w:tcW w:w="2607" w:type="pct"/>
          </w:tcPr>
          <w:p w14:paraId="6A9B9825" w14:textId="77777777" w:rsidR="009768BA" w:rsidRPr="00CA0FFF" w:rsidRDefault="009768BA" w:rsidP="00CA0FFF">
            <w:r w:rsidRPr="00CA0FFF">
              <w:t xml:space="preserve">This information enables timely follow up and reduces unnecessary duplication of tests. </w:t>
            </w:r>
          </w:p>
          <w:p w14:paraId="6E28A7C5" w14:textId="77777777" w:rsidR="009768BA" w:rsidRPr="00CA0FFF" w:rsidRDefault="009768BA" w:rsidP="00CA0FFF"/>
        </w:tc>
      </w:tr>
    </w:tbl>
    <w:p w14:paraId="14878385" w14:textId="77A23A8C" w:rsidR="009768BA" w:rsidRPr="001B1BA6" w:rsidRDefault="009768BA" w:rsidP="00DD37EB">
      <w:pPr>
        <w:pStyle w:val="Heading1"/>
        <w:rPr>
          <w:lang w:val="en-GB"/>
        </w:rPr>
      </w:pPr>
      <w:bookmarkStart w:id="45" w:name="_Toc196287153"/>
      <w:bookmarkStart w:id="46" w:name="_Toc209177884"/>
      <w:r w:rsidRPr="001B1BA6">
        <w:rPr>
          <w:lang w:val="en-GB"/>
        </w:rPr>
        <w:lastRenderedPageBreak/>
        <w:t>Next steps</w:t>
      </w:r>
      <w:bookmarkEnd w:id="45"/>
      <w:bookmarkEnd w:id="46"/>
    </w:p>
    <w:p w14:paraId="2DCD4AA0" w14:textId="77777777" w:rsidR="009768BA" w:rsidRDefault="009768BA" w:rsidP="009768BA">
      <w:pPr>
        <w:rPr>
          <w:lang w:val="en-GB"/>
        </w:rPr>
      </w:pPr>
      <w:r>
        <w:rPr>
          <w:lang w:val="en-GB"/>
        </w:rPr>
        <w:t xml:space="preserve">High-quality discharge communication is critical for safe transitions of care. These Guidelines will be considered in the development of the third edition of the NSQHS standards, which </w:t>
      </w:r>
      <w:r w:rsidRPr="007601FD">
        <w:rPr>
          <w:lang w:val="en-GB"/>
        </w:rPr>
        <w:t>serve as an important driver of standardisation across health services</w:t>
      </w:r>
      <w:r>
        <w:rPr>
          <w:lang w:val="en-GB"/>
        </w:rPr>
        <w:t xml:space="preserve">. </w:t>
      </w:r>
    </w:p>
    <w:p w14:paraId="37B4B6A4" w14:textId="733ED06E" w:rsidR="009768BA" w:rsidRDefault="009768BA" w:rsidP="009768BA">
      <w:pPr>
        <w:rPr>
          <w:lang w:val="en-GB"/>
        </w:rPr>
      </w:pPr>
      <w:r w:rsidRPr="007601FD">
        <w:rPr>
          <w:lang w:val="en-GB"/>
        </w:rPr>
        <w:t xml:space="preserve">These </w:t>
      </w:r>
      <w:r>
        <w:rPr>
          <w:lang w:val="en-GB"/>
        </w:rPr>
        <w:t>G</w:t>
      </w:r>
      <w:r w:rsidRPr="007601FD">
        <w:rPr>
          <w:lang w:val="en-GB"/>
        </w:rPr>
        <w:t xml:space="preserve">uidelines </w:t>
      </w:r>
      <w:r>
        <w:rPr>
          <w:lang w:val="en-GB"/>
        </w:rPr>
        <w:t xml:space="preserve">highlight that value of a </w:t>
      </w:r>
      <w:r w:rsidRPr="007601FD">
        <w:rPr>
          <w:lang w:val="en-GB"/>
        </w:rPr>
        <w:t>clinician</w:t>
      </w:r>
      <w:r>
        <w:rPr>
          <w:lang w:val="en-GB"/>
        </w:rPr>
        <w:t>-</w:t>
      </w:r>
      <w:r w:rsidRPr="007601FD">
        <w:rPr>
          <w:lang w:val="en-GB"/>
        </w:rPr>
        <w:t xml:space="preserve">led </w:t>
      </w:r>
      <w:r>
        <w:rPr>
          <w:lang w:val="en-GB"/>
        </w:rPr>
        <w:t>approach to national standardisation of electronic discharge summaries</w:t>
      </w:r>
      <w:r w:rsidR="00E666CA">
        <w:rPr>
          <w:lang w:val="en-GB"/>
        </w:rPr>
        <w:t xml:space="preserve"> </w:t>
      </w:r>
      <w:r w:rsidR="00E666CA" w:rsidRPr="00892C60">
        <w:rPr>
          <w:lang w:val="en-GB"/>
        </w:rPr>
        <w:t>(EDSs)</w:t>
      </w:r>
      <w:r>
        <w:rPr>
          <w:lang w:val="en-GB"/>
        </w:rPr>
        <w:t>. S</w:t>
      </w:r>
      <w:r w:rsidRPr="007601FD">
        <w:rPr>
          <w:lang w:val="en-GB"/>
        </w:rPr>
        <w:t xml:space="preserve">trategic </w:t>
      </w:r>
      <w:r>
        <w:rPr>
          <w:lang w:val="en-GB"/>
        </w:rPr>
        <w:t>engagement between several Australian Government entities</w:t>
      </w:r>
      <w:r w:rsidRPr="007601FD">
        <w:rPr>
          <w:lang w:val="en-GB"/>
        </w:rPr>
        <w:t xml:space="preserve"> </w:t>
      </w:r>
      <w:r>
        <w:rPr>
          <w:lang w:val="en-GB"/>
        </w:rPr>
        <w:t xml:space="preserve">is required </w:t>
      </w:r>
      <w:r w:rsidRPr="007601FD">
        <w:rPr>
          <w:lang w:val="en-GB"/>
        </w:rPr>
        <w:t xml:space="preserve">to address </w:t>
      </w:r>
      <w:r>
        <w:rPr>
          <w:lang w:val="en-GB"/>
        </w:rPr>
        <w:t xml:space="preserve">implementation </w:t>
      </w:r>
      <w:r w:rsidRPr="007601FD">
        <w:rPr>
          <w:lang w:val="en-GB"/>
        </w:rPr>
        <w:t xml:space="preserve">barriers </w:t>
      </w:r>
      <w:r>
        <w:rPr>
          <w:lang w:val="en-GB"/>
        </w:rPr>
        <w:t xml:space="preserve">and progress actions against the </w:t>
      </w:r>
      <w:hyperlink r:id="rId52" w:history="1">
        <w:r w:rsidRPr="00397697">
          <w:rPr>
            <w:rStyle w:val="Hyperlink"/>
            <w:lang w:val="en-GB"/>
          </w:rPr>
          <w:t>National Digital Health Strategy</w:t>
        </w:r>
      </w:hyperlink>
      <w:r>
        <w:rPr>
          <w:lang w:val="en-GB"/>
        </w:rPr>
        <w:t xml:space="preserve">, which will enable standardisation. The Commission will work with the Australian </w:t>
      </w:r>
      <w:r w:rsidRPr="007601FD">
        <w:rPr>
          <w:lang w:val="en-GB"/>
        </w:rPr>
        <w:t xml:space="preserve">Digital Health Agency and state and territory governments to promote the use of these Guidelines, as part of the planned </w:t>
      </w:r>
      <w:r>
        <w:rPr>
          <w:lang w:val="en-GB"/>
        </w:rPr>
        <w:t>upgrades</w:t>
      </w:r>
      <w:r w:rsidRPr="007601FD">
        <w:rPr>
          <w:lang w:val="en-GB"/>
        </w:rPr>
        <w:t xml:space="preserve"> of </w:t>
      </w:r>
      <w:r>
        <w:rPr>
          <w:lang w:val="en-GB"/>
        </w:rPr>
        <w:t>national digital health</w:t>
      </w:r>
      <w:r w:rsidRPr="007601FD">
        <w:rPr>
          <w:lang w:val="en-GB"/>
        </w:rPr>
        <w:t xml:space="preserve"> </w:t>
      </w:r>
      <w:r>
        <w:rPr>
          <w:lang w:val="en-GB"/>
        </w:rPr>
        <w:t>infrastructure (</w:t>
      </w:r>
      <w:r w:rsidR="00692395">
        <w:rPr>
          <w:lang w:val="en-GB"/>
        </w:rPr>
        <w:t xml:space="preserve">for example, </w:t>
      </w:r>
      <w:r>
        <w:rPr>
          <w:lang w:val="en-GB"/>
        </w:rPr>
        <w:t>My Health Record)</w:t>
      </w:r>
      <w:r w:rsidRPr="007601FD">
        <w:rPr>
          <w:lang w:val="en-GB"/>
        </w:rPr>
        <w:t xml:space="preserve"> </w:t>
      </w:r>
      <w:r>
        <w:rPr>
          <w:lang w:val="en-GB"/>
        </w:rPr>
        <w:t>to enhance</w:t>
      </w:r>
      <w:r w:rsidRPr="007601FD">
        <w:rPr>
          <w:lang w:val="en-GB"/>
        </w:rPr>
        <w:t xml:space="preserve"> health information exchange. </w:t>
      </w:r>
    </w:p>
    <w:p w14:paraId="2ACF753D" w14:textId="2F70CB5E" w:rsidR="009768BA" w:rsidRDefault="009768BA" w:rsidP="009768BA">
      <w:pPr>
        <w:rPr>
          <w:lang w:val="en-GB"/>
        </w:rPr>
      </w:pPr>
      <w:r>
        <w:rPr>
          <w:lang w:val="en-GB"/>
        </w:rPr>
        <w:t>The Australian Government Department of Health and Aged Care has funded a program of work led by the CSIRO’s Australian eHealth Research Centre to accelerate the development of standardised data sets to support interoperability and health information exchange across all health settings. This program has published the Australian Core Data for Interoperability (AUCDI) Release 1 in June 2024. The AUCDI Release 1 are considered the minimum data elements required to support standardised clinical information capture at the point of care, and to enable safe and meaningful health information exchange between care providers</w:t>
      </w:r>
      <w:r w:rsidR="000B6715">
        <w:rPr>
          <w:lang w:val="en-GB"/>
        </w:rPr>
        <w:t>.</w:t>
      </w:r>
      <w:r>
        <w:rPr>
          <w:vertAlign w:val="superscript"/>
          <w:lang w:val="en-GB"/>
        </w:rPr>
        <w:t>6</w:t>
      </w:r>
      <w:r>
        <w:rPr>
          <w:lang w:val="en-GB"/>
        </w:rPr>
        <w:t xml:space="preserve"> These Guidelines have considered the data groups published in AUCDI Release 1, recognising that future releases will build upon these foundational data sets. </w:t>
      </w:r>
    </w:p>
    <w:p w14:paraId="2496120C" w14:textId="243252F7" w:rsidR="009768BA" w:rsidRDefault="009768BA" w:rsidP="009768BA">
      <w:pPr>
        <w:rPr>
          <w:lang w:val="en-GB"/>
        </w:rPr>
      </w:pPr>
      <w:r>
        <w:rPr>
          <w:lang w:val="en-GB"/>
        </w:rPr>
        <w:t>The Commission also recognises the rapidly evolving potential for use of artificial intelligence (AI) in the healthcare environment, however in these early stages of application, the risks of harm are likely to outweigh the perceived benefits. At the time of publication of these Guidelines, evidence to support the broad use of AI technology for the authoring of an EDS is lacking and further research is required.</w:t>
      </w:r>
    </w:p>
    <w:p w14:paraId="2C3F14C7" w14:textId="77777777" w:rsidR="009768BA" w:rsidRDefault="009768BA" w:rsidP="00DD37EB">
      <w:pPr>
        <w:pStyle w:val="Heading1"/>
      </w:pPr>
      <w:bookmarkStart w:id="47" w:name="_Toc209177885"/>
      <w:r>
        <w:lastRenderedPageBreak/>
        <w:t>References</w:t>
      </w:r>
      <w:bookmarkEnd w:id="47"/>
    </w:p>
    <w:p w14:paraId="0B0CD589" w14:textId="6912A523" w:rsidR="009768BA" w:rsidRDefault="009768BA" w:rsidP="001E0B52">
      <w:pPr>
        <w:pStyle w:val="ListNumber"/>
        <w:numPr>
          <w:ilvl w:val="0"/>
          <w:numId w:val="8"/>
        </w:numPr>
      </w:pPr>
      <w:r w:rsidRPr="00161A2E">
        <w:t>Australian Commission on Safety and Quality in Health Care. Safety Issues at Transitions of Care: Consultation report on perceived pain points relating to clinical information systems. Sydney: ACSQHC; 2017.</w:t>
      </w:r>
    </w:p>
    <w:p w14:paraId="0668A7F0" w14:textId="0B561373" w:rsidR="009768BA" w:rsidRDefault="009768BA" w:rsidP="00EC4DD4">
      <w:pPr>
        <w:pStyle w:val="ListNumber"/>
      </w:pPr>
      <w:r>
        <w:t>Tesfaye W, Jordan M, Aslani P, Chen T, Castelino R, Sud K. Literature review and environmental scan: Review and update of the National Guidelines for On-Screen Presentation of Discharge Summaries. Final Report. Prepared for the Australian Commission on Safety and Quality in Health Care; 2022.</w:t>
      </w:r>
    </w:p>
    <w:p w14:paraId="1A3B4449" w14:textId="13B2F5D1" w:rsidR="009768BA" w:rsidRPr="009767B9" w:rsidRDefault="009768BA" w:rsidP="00EC4DD4">
      <w:pPr>
        <w:pStyle w:val="ListNumber"/>
      </w:pPr>
      <w:r w:rsidRPr="00AC3187">
        <w:rPr>
          <w:color w:val="212121"/>
          <w:shd w:val="clear" w:color="auto" w:fill="FFFFFF"/>
        </w:rPr>
        <w:t>Alameddine R, Dabliz R, Miles P, Ecclestone R, Hugman A. Electronic Discharge Summaries: Perspectives on National Implementation from Clinicians in Hospital and Primary Care. Stud Health Technol Inform. 2024 Sep 24;318:90-95. doi:</w:t>
      </w:r>
      <w:r w:rsidR="00247FA5">
        <w:rPr>
          <w:color w:val="212121"/>
          <w:shd w:val="clear" w:color="auto" w:fill="FFFFFF"/>
        </w:rPr>
        <w:t> </w:t>
      </w:r>
      <w:r w:rsidRPr="00AC3187">
        <w:rPr>
          <w:color w:val="212121"/>
          <w:shd w:val="clear" w:color="auto" w:fill="FFFFFF"/>
        </w:rPr>
        <w:t>10.3233/SHTI240897. PMID: 39320187</w:t>
      </w:r>
      <w:r w:rsidR="00EC4DD4">
        <w:rPr>
          <w:color w:val="212121"/>
          <w:shd w:val="clear" w:color="auto" w:fill="FFFFFF"/>
        </w:rPr>
        <w:t>.</w:t>
      </w:r>
    </w:p>
    <w:p w14:paraId="6EB76089" w14:textId="04B07CF0" w:rsidR="009768BA" w:rsidRPr="00125FF2" w:rsidRDefault="009768BA" w:rsidP="00EC4DD4">
      <w:pPr>
        <w:pStyle w:val="ListNumber"/>
      </w:pPr>
      <w:r w:rsidRPr="00125FF2">
        <w:rPr>
          <w:shd w:val="clear" w:color="auto" w:fill="FFFFFF"/>
        </w:rPr>
        <w:t>Mahera Masarrat, Rodda Hamish, Monypenny Nick, Wembridge Paul (2023) Evaluating an implementation of the Australian National Guidelines for the On-Screen Display of Discharge Summaries. </w:t>
      </w:r>
      <w:r w:rsidRPr="00125FF2">
        <w:rPr>
          <w:i/>
          <w:iCs/>
          <w:shd w:val="clear" w:color="auto" w:fill="FFFFFF"/>
        </w:rPr>
        <w:t>Australian Health Review</w:t>
      </w:r>
      <w:r w:rsidRPr="00125FF2">
        <w:rPr>
          <w:shd w:val="clear" w:color="auto" w:fill="FFFFFF"/>
        </w:rPr>
        <w:t> </w:t>
      </w:r>
      <w:r w:rsidRPr="00EC4DD4">
        <w:t>47</w:t>
      </w:r>
      <w:r w:rsidRPr="00125FF2">
        <w:rPr>
          <w:shd w:val="clear" w:color="auto" w:fill="FFFFFF"/>
        </w:rPr>
        <w:t>, 535-44.</w:t>
      </w:r>
    </w:p>
    <w:p w14:paraId="0BFF5492" w14:textId="32586A26" w:rsidR="009768BA" w:rsidRDefault="009768BA" w:rsidP="00EC4DD4">
      <w:pPr>
        <w:pStyle w:val="ListNumber"/>
      </w:pPr>
      <w:r w:rsidRPr="001A6456">
        <w:t xml:space="preserve">National E-Health Transition Authority, </w:t>
      </w:r>
      <w:r>
        <w:t>12 December</w:t>
      </w:r>
      <w:r w:rsidRPr="001A6456">
        <w:t xml:space="preserve"> 201</w:t>
      </w:r>
      <w:r>
        <w:t>1</w:t>
      </w:r>
      <w:r w:rsidRPr="001A6456">
        <w:t xml:space="preserve">, e-Discharge Summary </w:t>
      </w:r>
      <w:r w:rsidR="00DD37EB">
        <w:t>–</w:t>
      </w:r>
      <w:r w:rsidRPr="001A6456">
        <w:t xml:space="preserve"> Core</w:t>
      </w:r>
      <w:r w:rsidR="00247FA5">
        <w:t> </w:t>
      </w:r>
      <w:r w:rsidRPr="001A6456">
        <w:t>Information Components, Version 1.</w:t>
      </w:r>
      <w:r>
        <w:t>1.2</w:t>
      </w:r>
      <w:r w:rsidRPr="001A6456">
        <w:t xml:space="preserve">, accessed </w:t>
      </w:r>
      <w:r>
        <w:t>25 March 2024</w:t>
      </w:r>
      <w:r w:rsidRPr="001A6456">
        <w:t>.</w:t>
      </w:r>
      <w:r w:rsidRPr="00B07E81">
        <w:t xml:space="preserve"> </w:t>
      </w:r>
      <w:hyperlink r:id="rId53" w:history="1">
        <w:r w:rsidR="00EC4DD4" w:rsidRPr="00AD633C">
          <w:rPr>
            <w:rStyle w:val="Hyperlink"/>
            <w:rFonts w:ascii="Arial" w:eastAsiaTheme="majorEastAsia" w:hAnsi="Arial" w:cs="Arial"/>
          </w:rPr>
          <w:t>https://developer.digitalhealth.gov.au</w:t>
        </w:r>
      </w:hyperlink>
      <w:r w:rsidR="00EC4DD4">
        <w:t>.</w:t>
      </w:r>
    </w:p>
    <w:p w14:paraId="2FA9E2B3" w14:textId="2314551E" w:rsidR="009768BA" w:rsidRDefault="009768BA" w:rsidP="00EC4DD4">
      <w:pPr>
        <w:pStyle w:val="ListNumber"/>
      </w:pPr>
      <w:r>
        <w:t>Sparked AU FHIR Accelerator. Australian Core Data for Interoperability Release 1. Version 1.0. Herston QLD: Australian e-Health Research Centre; 2024.</w:t>
      </w:r>
    </w:p>
    <w:p w14:paraId="236AA6F3" w14:textId="5E12256E" w:rsidR="009768BA" w:rsidRDefault="009768BA" w:rsidP="00EC4DD4">
      <w:pPr>
        <w:pStyle w:val="ListNumber"/>
      </w:pPr>
      <w:r w:rsidRPr="00700073">
        <w:t>Australian Commission on Safety and Quality in Health Care. Medication without harm – WHO Global Patient Safety Challenge. Australia’s response. Sydney: ACSQHC; 2020.</w:t>
      </w:r>
    </w:p>
    <w:p w14:paraId="75C3962B" w14:textId="4F63E5C9" w:rsidR="001D4D0D" w:rsidRDefault="009768BA" w:rsidP="00EC4DD4">
      <w:pPr>
        <w:pStyle w:val="ListNumber"/>
      </w:pPr>
      <w:r w:rsidRPr="00ED1239">
        <w:t>Australian Commission on Safety and Quality in Health Care. Recommendations for safe use of medicines terminology. Sydney: ACSQHC; 2024</w:t>
      </w:r>
      <w:r w:rsidR="00EC4DD4">
        <w:t>.</w:t>
      </w:r>
    </w:p>
    <w:p w14:paraId="425DEDBC" w14:textId="37A1C685" w:rsidR="005915AE" w:rsidRPr="004E2765" w:rsidRDefault="00C05576" w:rsidP="00C05576">
      <w:pPr>
        <w:pageBreakBefore/>
      </w:pPr>
      <w:r>
        <w:rPr>
          <w:noProof/>
        </w:rPr>
        <w:lastRenderedPageBreak/>
        <w:drawing>
          <wp:anchor distT="0" distB="0" distL="114300" distR="114300" simplePos="0" relativeHeight="251677696" behindDoc="1" locked="1" layoutInCell="1" allowOverlap="1" wp14:anchorId="5449A944" wp14:editId="40E55913">
            <wp:simplePos x="866274" y="866274"/>
            <wp:positionH relativeFrom="page">
              <wp:align>left</wp:align>
            </wp:positionH>
            <wp:positionV relativeFrom="page">
              <wp:align>top</wp:align>
            </wp:positionV>
            <wp:extent cx="7560000" cy="10695600"/>
            <wp:effectExtent l="0" t="0" r="0" b="0"/>
            <wp:wrapNone/>
            <wp:docPr id="140298789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7899" name="Picture 15">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54816" behindDoc="0" locked="0" layoutInCell="1" allowOverlap="1" wp14:anchorId="73418381" wp14:editId="6A49F622">
                <wp:simplePos x="0" y="0"/>
                <wp:positionH relativeFrom="column">
                  <wp:posOffset>-227831</wp:posOffset>
                </wp:positionH>
                <wp:positionV relativeFrom="paragraph">
                  <wp:posOffset>7140953</wp:posOffset>
                </wp:positionV>
                <wp:extent cx="3345886" cy="2072738"/>
                <wp:effectExtent l="0" t="0" r="6985" b="3810"/>
                <wp:wrapNone/>
                <wp:docPr id="66082305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345886" cy="2072738"/>
                        </a:xfrm>
                        <a:prstGeom prst="rect">
                          <a:avLst/>
                        </a:prstGeom>
                        <a:noFill/>
                        <a:ln w="6350">
                          <a:noFill/>
                        </a:ln>
                      </wps:spPr>
                      <wps:txbx>
                        <w:txbxContent>
                          <w:p w14:paraId="72A28F38" w14:textId="333E3B6A"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57A310A" wp14:editId="10971A36">
                                  <wp:extent cx="1697040" cy="586800"/>
                                  <wp:effectExtent l="0" t="0" r="5080" b="0"/>
                                  <wp:docPr id="1490574487" name="Graphic 11" descr="Australian Commission on Safety and Quality in Health Care logo">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74487" name="Graphic 11" descr="Australian Commission on Safety and Quality in Health Care logo">
                                            <a:extLst>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pic:cNvPr>
                                          <pic:cNvPicPr>
                                            <a:picLocks noChangeAspect="1"/>
                                          </pic:cNvPicPr>
                                        </pic:nvPicPr>
                                        <pic:blipFill>
                                          <a:blip r:embed="rId55">
                                            <a:extLst>
                                              <a:ext uri="{96DAC541-7B7A-43D3-8B79-37D633B846F1}">
                                                <asvg:svgBlip xmlns:asvg="http://schemas.microsoft.com/office/drawing/2016/SVG/main" r:embed="rId56"/>
                                              </a:ext>
                                            </a:extLst>
                                          </a:blip>
                                          <a:stretch>
                                            <a:fillRect/>
                                          </a:stretch>
                                        </pic:blipFill>
                                        <pic:spPr>
                                          <a:xfrm>
                                            <a:off x="0" y="0"/>
                                            <a:ext cx="1697040" cy="586800"/>
                                          </a:xfrm>
                                          <a:prstGeom prst="rect">
                                            <a:avLst/>
                                          </a:prstGeom>
                                        </pic:spPr>
                                      </pic:pic>
                                    </a:graphicData>
                                  </a:graphic>
                                </wp:inline>
                              </w:drawing>
                            </w:r>
                          </w:p>
                          <w:p w14:paraId="1B816950" w14:textId="77777777" w:rsidR="00144E74" w:rsidRPr="009527AE" w:rsidRDefault="00144E74" w:rsidP="00144E74">
                            <w:pPr>
                              <w:spacing w:before="0" w:after="0" w:line="264" w:lineRule="auto"/>
                              <w:rPr>
                                <w:color w:val="FFFFFF" w:themeColor="background1"/>
                              </w:rPr>
                            </w:pPr>
                          </w:p>
                          <w:p w14:paraId="7A2D63BF" w14:textId="4B60CCC5"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3A589F6E"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74E92157"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75BF121" w14:textId="77777777" w:rsidR="00144E74" w:rsidRPr="009527AE" w:rsidRDefault="00144E74" w:rsidP="00144E74">
                            <w:pPr>
                              <w:pStyle w:val="NoSpacing"/>
                              <w:spacing w:line="264" w:lineRule="auto"/>
                              <w:rPr>
                                <w:color w:val="FFFFFF" w:themeColor="background1"/>
                                <w:sz w:val="16"/>
                                <w:szCs w:val="16"/>
                              </w:rPr>
                            </w:pPr>
                          </w:p>
                          <w:p w14:paraId="2EB0F367"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087B95E0" w14:textId="77777777" w:rsidR="00144E74" w:rsidRPr="009527AE" w:rsidRDefault="00144E74" w:rsidP="00144E74">
                            <w:pPr>
                              <w:pStyle w:val="NoSpacing"/>
                              <w:spacing w:line="264" w:lineRule="auto"/>
                              <w:rPr>
                                <w:color w:val="FFFFFF" w:themeColor="background1"/>
                                <w:sz w:val="16"/>
                                <w:szCs w:val="16"/>
                              </w:rPr>
                            </w:pPr>
                          </w:p>
                          <w:p w14:paraId="4445B82C" w14:textId="2BA1F23C"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Australian Commission on Safety and Quality in Health Care</w:t>
                            </w:r>
                            <w:r w:rsidR="00B90AE2">
                              <w:rPr>
                                <w:color w:val="FFFFFF" w:themeColor="background1"/>
                                <w:sz w:val="16"/>
                                <w:szCs w:val="16"/>
                              </w:rPr>
                              <w:t xml:space="preserve"> 2025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73418381" id="Text Box 2" o:spid="_x0000_s1027" type="#_x0000_t202" alt="&quot;&quot;" style="position:absolute;margin-left:-17.95pt;margin-top:562.3pt;width:263.45pt;height:163.2pt;z-index:2515548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" filled="f" stroked="f" strokeweight=".5pt">
                <v:textbox inset="0,0,0,0">
                  <w:txbxContent>
                    <w:p w14:paraId="72A28F38" w14:textId="333E3B6A" w:rsidR="003845DF" w:rsidRPr="009527AE" w:rsidRDefault="00144E74" w:rsidP="00144E74">
                      <w:pPr>
                        <w:spacing w:before="0" w:after="0" w:line="264" w:lineRule="auto"/>
                        <w:rPr>
                          <w:color w:val="FFFFFF" w:themeColor="background1"/>
                          <w:sz w:val="16"/>
                          <w:szCs w:val="16"/>
                        </w:rPr>
                      </w:pPr>
                      <w:r w:rsidRPr="009527AE">
                        <w:rPr>
                          <w:noProof/>
                          <w:color w:val="FFFFFF" w:themeColor="background1"/>
                          <w:sz w:val="16"/>
                          <w:szCs w:val="16"/>
                        </w:rPr>
                        <w:drawing>
                          <wp:inline distT="0" distB="0" distL="0" distR="0" wp14:anchorId="757A310A" wp14:editId="10971A36">
                            <wp:extent cx="1697040" cy="586800"/>
                            <wp:effectExtent l="0" t="0" r="5080" b="0"/>
                            <wp:docPr id="1490574487" name="Graphic 11" descr="Australian Commission on Safety and Quality in Health Care logo">
                              <a:extLst xmlns:a="http://schemas.openxmlformats.org/drawingml/2006/main">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74487" name="Graphic 11" descr="Australian Commission on Safety and Quality in Health Care logo">
                                      <a:extLst>
                                        <a:ext uri="{FF2B5EF4-FFF2-40B4-BE49-F238E27FC236}">
                                          <a16:creationId xmlns:a16="http://schemas.microsoft.com/office/drawing/2014/main" id="{03A7763C-B648-1C2B-592F-16266CACB79A}"/>
                                        </a:ext>
                                        <a:ext uri="{C183D7F6-B498-43B3-948B-1728B52AA6E4}">
                                          <adec:decorative xmlns:adec="http://schemas.microsoft.com/office/drawing/2017/decorative" val="0"/>
                                        </a:ext>
                                      </a:extLst>
                                    </pic:cNvPr>
                                    <pic:cNvPicPr>
                                      <a:picLocks noChangeAspect="1"/>
                                    </pic:cNvPicPr>
                                  </pic:nvPicPr>
                                  <pic:blipFill>
                                    <a:blip r:embed="rId57">
                                      <a:extLst>
                                        <a:ext uri="{96DAC541-7B7A-43D3-8B79-37D633B846F1}">
                                          <asvg:svgBlip xmlns:asvg="http://schemas.microsoft.com/office/drawing/2016/SVG/main" r:embed="rId58"/>
                                        </a:ext>
                                      </a:extLst>
                                    </a:blip>
                                    <a:stretch>
                                      <a:fillRect/>
                                    </a:stretch>
                                  </pic:blipFill>
                                  <pic:spPr>
                                    <a:xfrm>
                                      <a:off x="0" y="0"/>
                                      <a:ext cx="1697040" cy="586800"/>
                                    </a:xfrm>
                                    <a:prstGeom prst="rect">
                                      <a:avLst/>
                                    </a:prstGeom>
                                  </pic:spPr>
                                </pic:pic>
                              </a:graphicData>
                            </a:graphic>
                          </wp:inline>
                        </w:drawing>
                      </w:r>
                    </w:p>
                    <w:p w14:paraId="1B816950" w14:textId="77777777" w:rsidR="00144E74" w:rsidRPr="009527AE" w:rsidRDefault="00144E74" w:rsidP="00144E74">
                      <w:pPr>
                        <w:spacing w:before="0" w:after="0" w:line="264" w:lineRule="auto"/>
                        <w:rPr>
                          <w:color w:val="FFFFFF" w:themeColor="background1"/>
                        </w:rPr>
                      </w:pPr>
                    </w:p>
                    <w:p w14:paraId="7A2D63BF" w14:textId="4B60CCC5" w:rsidR="00144E74" w:rsidRPr="009527AE" w:rsidRDefault="00144E74" w:rsidP="00144E74">
                      <w:pPr>
                        <w:pStyle w:val="NoSpacing"/>
                        <w:spacing w:line="264" w:lineRule="auto"/>
                        <w:rPr>
                          <w:color w:val="FFFFFF" w:themeColor="background1"/>
                        </w:rPr>
                      </w:pPr>
                      <w:r w:rsidRPr="009527AE">
                        <w:rPr>
                          <w:color w:val="FFFFFF" w:themeColor="background1"/>
                        </w:rPr>
                        <w:t xml:space="preserve">T. +61 2 </w:t>
                      </w:r>
                      <w:r w:rsidR="00BD2982" w:rsidRPr="00BD2982">
                        <w:rPr>
                          <w:color w:val="FFFFFF" w:themeColor="background1"/>
                        </w:rPr>
                        <w:t>9126 3600</w:t>
                      </w:r>
                    </w:p>
                    <w:p w14:paraId="3A589F6E" w14:textId="77777777" w:rsidR="00144E74" w:rsidRPr="009527AE" w:rsidRDefault="00144E74" w:rsidP="00144E74">
                      <w:pPr>
                        <w:pStyle w:val="NoSpacing"/>
                        <w:spacing w:line="264" w:lineRule="auto"/>
                        <w:rPr>
                          <w:color w:val="FFFFFF" w:themeColor="background1"/>
                        </w:rPr>
                      </w:pPr>
                      <w:r w:rsidRPr="009527AE">
                        <w:rPr>
                          <w:color w:val="FFFFFF" w:themeColor="background1"/>
                        </w:rPr>
                        <w:t>Level 5, 255 Elizabeth St</w:t>
                      </w:r>
                    </w:p>
                    <w:p w14:paraId="74E92157" w14:textId="77777777" w:rsidR="00144E74" w:rsidRPr="009527AE" w:rsidRDefault="00144E74" w:rsidP="00144E74">
                      <w:pPr>
                        <w:pStyle w:val="NoSpacing"/>
                        <w:spacing w:line="264" w:lineRule="auto"/>
                        <w:rPr>
                          <w:color w:val="FFFFFF" w:themeColor="background1"/>
                        </w:rPr>
                      </w:pPr>
                      <w:r w:rsidRPr="009527AE">
                        <w:rPr>
                          <w:color w:val="FFFFFF" w:themeColor="background1"/>
                        </w:rPr>
                        <w:t>Sydney NSW 2000 Australia</w:t>
                      </w:r>
                    </w:p>
                    <w:p w14:paraId="075BF121" w14:textId="77777777" w:rsidR="00144E74" w:rsidRPr="009527AE" w:rsidRDefault="00144E74" w:rsidP="00144E74">
                      <w:pPr>
                        <w:pStyle w:val="NoSpacing"/>
                        <w:spacing w:line="264" w:lineRule="auto"/>
                        <w:rPr>
                          <w:color w:val="FFFFFF" w:themeColor="background1"/>
                          <w:sz w:val="16"/>
                          <w:szCs w:val="16"/>
                        </w:rPr>
                      </w:pPr>
                    </w:p>
                    <w:p w14:paraId="2EB0F367" w14:textId="77777777" w:rsidR="00144E74" w:rsidRPr="009527AE" w:rsidRDefault="00144E74" w:rsidP="00144E74">
                      <w:pPr>
                        <w:pStyle w:val="NoSpacing"/>
                        <w:spacing w:line="264" w:lineRule="auto"/>
                        <w:rPr>
                          <w:b/>
                          <w:bCs/>
                          <w:color w:val="FFFFFF" w:themeColor="background1"/>
                          <w:sz w:val="24"/>
                          <w:szCs w:val="24"/>
                        </w:rPr>
                      </w:pPr>
                      <w:r w:rsidRPr="009527AE">
                        <w:rPr>
                          <w:b/>
                          <w:bCs/>
                          <w:color w:val="FFFFFF" w:themeColor="background1"/>
                          <w:sz w:val="24"/>
                          <w:szCs w:val="24"/>
                        </w:rPr>
                        <w:t>safetyandquality.gov.au</w:t>
                      </w:r>
                    </w:p>
                    <w:p w14:paraId="087B95E0" w14:textId="77777777" w:rsidR="00144E74" w:rsidRPr="009527AE" w:rsidRDefault="00144E74" w:rsidP="00144E74">
                      <w:pPr>
                        <w:pStyle w:val="NoSpacing"/>
                        <w:spacing w:line="264" w:lineRule="auto"/>
                        <w:rPr>
                          <w:color w:val="FFFFFF" w:themeColor="background1"/>
                          <w:sz w:val="16"/>
                          <w:szCs w:val="16"/>
                        </w:rPr>
                      </w:pPr>
                    </w:p>
                    <w:p w14:paraId="4445B82C" w14:textId="2BA1F23C" w:rsidR="003845DF" w:rsidRPr="009527AE" w:rsidRDefault="00144E74" w:rsidP="00144E74">
                      <w:pPr>
                        <w:pStyle w:val="NoSpacing"/>
                        <w:spacing w:line="264" w:lineRule="auto"/>
                        <w:rPr>
                          <w:b/>
                          <w:bCs/>
                          <w:color w:val="FFFFFF" w:themeColor="background1"/>
                          <w:sz w:val="16"/>
                          <w:szCs w:val="16"/>
                        </w:rPr>
                      </w:pPr>
                      <w:r w:rsidRPr="009527AE">
                        <w:rPr>
                          <w:color w:val="FFFFFF" w:themeColor="background1"/>
                          <w:sz w:val="16"/>
                          <w:szCs w:val="16"/>
                        </w:rPr>
                        <w:t>© Australian Commission on Safety and Quality in Health Care</w:t>
                      </w:r>
                      <w:r w:rsidR="00B90AE2">
                        <w:rPr>
                          <w:color w:val="FFFFFF" w:themeColor="background1"/>
                          <w:sz w:val="16"/>
                          <w:szCs w:val="16"/>
                        </w:rPr>
                        <w:t xml:space="preserve"> 2025</w:t>
                      </w:r>
                    </w:p>
                  </w:txbxContent>
                </v:textbox>
              </v:shape>
            </w:pict>
          </mc:Fallback>
        </mc:AlternateContent>
      </w:r>
    </w:p>
    <w:sectPr w:rsidR="005915AE" w:rsidRPr="004E2765" w:rsidSect="005719F2">
      <w:headerReference w:type="default" r:id="rId59"/>
      <w:pgSz w:w="11906" w:h="16838" w:code="9"/>
      <w:pgMar w:top="1361" w:right="1361" w:bottom="1361" w:left="136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705F1E" w14:textId="77777777" w:rsidR="005C29AE" w:rsidRDefault="005C29AE" w:rsidP="001D0AFC">
      <w:r>
        <w:separator/>
      </w:r>
    </w:p>
    <w:p w14:paraId="79FDC003" w14:textId="77777777" w:rsidR="005C29AE" w:rsidRDefault="005C29AE"/>
    <w:p w14:paraId="16BC232F" w14:textId="77777777" w:rsidR="005C29AE" w:rsidRDefault="005C29AE"/>
    <w:p w14:paraId="4A9E91B9" w14:textId="77777777" w:rsidR="005C29AE" w:rsidRDefault="005C29AE"/>
  </w:endnote>
  <w:endnote w:type="continuationSeparator" w:id="0">
    <w:p w14:paraId="55A67878" w14:textId="77777777" w:rsidR="005C29AE" w:rsidRDefault="005C29AE" w:rsidP="001D0AFC">
      <w:r>
        <w:continuationSeparator/>
      </w:r>
    </w:p>
    <w:p w14:paraId="6E687B97" w14:textId="77777777" w:rsidR="005C29AE" w:rsidRDefault="005C29AE"/>
    <w:p w14:paraId="395A548E" w14:textId="77777777" w:rsidR="005C29AE" w:rsidRDefault="005C29AE"/>
    <w:p w14:paraId="596A996F" w14:textId="77777777" w:rsidR="005C29AE" w:rsidRDefault="005C29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tham Medium">
    <w:charset w:val="00"/>
    <w:family w:val="auto"/>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0788E" w14:textId="77777777" w:rsidR="002710D6" w:rsidRDefault="002710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BE60" w14:textId="548E481B" w:rsidR="003C469B" w:rsidRPr="009720E5" w:rsidRDefault="004E18F2" w:rsidP="004E18F2">
    <w:pPr>
      <w:pStyle w:val="Footer"/>
      <w:ind w:left="284"/>
      <w:rPr>
        <w:b/>
        <w:bCs/>
      </w:rPr>
    </w:pPr>
    <w:r w:rsidRPr="009768BA">
      <w:rPr>
        <w:noProof/>
        <w:color w:val="auto"/>
      </w:rPr>
      <w:drawing>
        <wp:anchor distT="0" distB="0" distL="114300" distR="114300" simplePos="0" relativeHeight="251663360" behindDoc="0" locked="0" layoutInCell="1" allowOverlap="1" wp14:anchorId="3A9EB464" wp14:editId="75C20EE3">
          <wp:simplePos x="0" y="0"/>
          <wp:positionH relativeFrom="column">
            <wp:posOffset>0</wp:posOffset>
          </wp:positionH>
          <wp:positionV relativeFrom="paragraph">
            <wp:posOffset>-27432</wp:posOffset>
          </wp:positionV>
          <wp:extent cx="138948" cy="180000"/>
          <wp:effectExtent l="0" t="0" r="0" b="0"/>
          <wp:wrapNone/>
          <wp:docPr id="630389717"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943"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948"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AE2" w:rsidRPr="00B90AE2">
      <w:rPr>
        <w:noProof/>
        <w:color w:val="auto"/>
        <w:lang w:val="en-GB"/>
      </w:rPr>
      <w:t>National guidelines for presentation of electronic discharge summaries</w:t>
    </w:r>
    <w:r w:rsidR="009720E5" w:rsidRPr="00033439">
      <w:tab/>
    </w:r>
    <w:r w:rsidR="009720E5" w:rsidRPr="00E74653">
      <w:rPr>
        <w:b/>
        <w:bCs/>
      </w:rPr>
      <w:fldChar w:fldCharType="begin"/>
    </w:r>
    <w:r w:rsidR="009720E5" w:rsidRPr="00E74653">
      <w:rPr>
        <w:b/>
        <w:bCs/>
      </w:rPr>
      <w:instrText xml:space="preserve"> PAGE   \* MERGEFORMAT </w:instrText>
    </w:r>
    <w:r w:rsidR="009720E5" w:rsidRPr="00E74653">
      <w:rPr>
        <w:b/>
        <w:bCs/>
      </w:rPr>
      <w:fldChar w:fldCharType="separate"/>
    </w:r>
    <w:r w:rsidR="009720E5">
      <w:rPr>
        <w:b/>
        <w:bCs/>
      </w:rPr>
      <w:t>5</w:t>
    </w:r>
    <w:r w:rsidR="009720E5" w:rsidRPr="00E74653">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95875" w14:textId="77777777" w:rsidR="002710D6" w:rsidRDefault="00271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F432A" w14:textId="77777777" w:rsidR="005C29AE" w:rsidRDefault="005C29AE" w:rsidP="001D0AFC">
      <w:r>
        <w:separator/>
      </w:r>
    </w:p>
    <w:p w14:paraId="10407D39" w14:textId="77777777" w:rsidR="005C29AE" w:rsidRDefault="005C29AE"/>
  </w:footnote>
  <w:footnote w:type="continuationSeparator" w:id="0">
    <w:p w14:paraId="3DDBA5DD" w14:textId="77777777" w:rsidR="005C29AE" w:rsidRDefault="005C29AE" w:rsidP="001D0AFC">
      <w:r>
        <w:continuationSeparator/>
      </w:r>
    </w:p>
    <w:p w14:paraId="2E76E322" w14:textId="77777777" w:rsidR="005C29AE" w:rsidRDefault="005C29AE"/>
  </w:footnote>
  <w:footnote w:type="continuationNotice" w:id="1">
    <w:p w14:paraId="342D1FBF" w14:textId="77777777" w:rsidR="005C29AE" w:rsidRDefault="005C29AE">
      <w:pPr>
        <w:spacing w:before="0" w:after="0"/>
      </w:pPr>
    </w:p>
    <w:p w14:paraId="4227B901" w14:textId="77777777" w:rsidR="005C29AE" w:rsidRDefault="005C29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F1167" w14:textId="77777777" w:rsidR="002710D6" w:rsidRDefault="002710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5BE11" w14:textId="77777777" w:rsidR="002710D6" w:rsidRDefault="002710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7EE8" w14:textId="77777777" w:rsidR="002710D6" w:rsidRDefault="002710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3C338" w14:textId="11D7A741" w:rsidR="00444B74" w:rsidRDefault="00444B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61F8" w14:textId="336FF2AB" w:rsidR="00796DE6" w:rsidRPr="002934C0" w:rsidRDefault="00796DE6" w:rsidP="00293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90D77"/>
    <w:multiLevelType w:val="multilevel"/>
    <w:tmpl w:val="C44E86B2"/>
    <w:lvl w:ilvl="0">
      <w:start w:val="1"/>
      <w:numFmt w:val="decimal"/>
      <w:pStyle w:val="CaptionTable"/>
      <w:lvlText w:val="Table %1"/>
      <w:lvlJc w:val="left"/>
      <w:pPr>
        <w:ind w:left="3338"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2" w15:restartNumberingAfterBreak="0">
    <w:nsid w:val="44D01175"/>
    <w:multiLevelType w:val="hybridMultilevel"/>
    <w:tmpl w:val="9B6E7982"/>
    <w:lvl w:ilvl="0" w:tplc="055E2B10">
      <w:start w:val="1"/>
      <w:numFmt w:val="decimal"/>
      <w:pStyle w:val="TableCaption"/>
      <w:lvlText w:val="Table %1"/>
      <w:lvlJc w:val="left"/>
      <w:pPr>
        <w:ind w:left="72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61F7723"/>
    <w:multiLevelType w:val="multilevel"/>
    <w:tmpl w:val="C24C997C"/>
    <w:lvl w:ilvl="0">
      <w:start w:val="1"/>
      <w:numFmt w:val="decimal"/>
      <w:pStyle w:val="Caption"/>
      <w:lvlText w:val="Figure %1"/>
      <w:lvlJc w:val="left"/>
      <w:pPr>
        <w:ind w:left="360" w:hanging="360"/>
      </w:pPr>
      <w:rPr>
        <w:rFonts w:ascii="Arial Bold" w:hAnsi="Arial Bold" w:hint="default"/>
        <w:b/>
        <w:i w:val="0"/>
        <w:color w:val="auto"/>
        <w:spacing w:val="0"/>
        <w:w w:val="100"/>
        <w:position w:val="0"/>
        <w:sz w:val="20"/>
        <w:u w:val="none"/>
        <w:vertAlign w:val="baseli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5" w15:restartNumberingAfterBreak="0">
    <w:nsid w:val="6D4B35A6"/>
    <w:multiLevelType w:val="multilevel"/>
    <w:tmpl w:val="AA2E211E"/>
    <w:styleLink w:val="CurrentList1"/>
    <w:lvl w:ilvl="0">
      <w:start w:val="1"/>
      <w:numFmt w:val="decimal"/>
      <w:lvlText w:val="Figure %1"/>
      <w:lvlJc w:val="left"/>
      <w:pPr>
        <w:ind w:left="360" w:hanging="360"/>
      </w:pPr>
      <w:rPr>
        <w:rFonts w:ascii="Arial Bold" w:hAnsi="Arial Bold" w:hint="default"/>
        <w:b/>
        <w:i w:val="0"/>
        <w:color w:val="auto"/>
        <w:spacing w:val="0"/>
        <w:w w:val="100"/>
        <w:position w:val="0"/>
        <w:sz w:val="20"/>
        <w:u w:val="none"/>
        <w14:ligatures w14:val="none"/>
        <w14:numForm w14:val="default"/>
        <w14:numSpacing w14:val="default"/>
        <w14:stylisticSet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87E4D88"/>
    <w:multiLevelType w:val="multilevel"/>
    <w:tmpl w:val="1B26FFD6"/>
    <w:lvl w:ilvl="0">
      <w:start w:val="1"/>
      <w:numFmt w:val="bullet"/>
      <w:pStyle w:val="ListBullet"/>
      <w:lvlText w:val=""/>
      <w:lvlJc w:val="left"/>
      <w:pPr>
        <w:ind w:left="360" w:hanging="360"/>
      </w:pPr>
      <w:rPr>
        <w:rFonts w:ascii="Symbol" w:hAnsi="Symbol" w:hint="default"/>
        <w:color w:val="auto"/>
        <w:sz w:val="22"/>
      </w:rPr>
    </w:lvl>
    <w:lvl w:ilvl="1">
      <w:start w:val="1"/>
      <w:numFmt w:val="bullet"/>
      <w:pStyle w:val="ListBullet2"/>
      <w:lvlText w:val="o"/>
      <w:lvlJc w:val="left"/>
      <w:pPr>
        <w:ind w:left="720" w:hanging="360"/>
      </w:pPr>
      <w:rPr>
        <w:rFonts w:ascii="Courier New" w:hAnsi="Courier New" w:hint="default"/>
        <w:color w:val="auto"/>
        <w:sz w:val="22"/>
      </w:rPr>
    </w:lvl>
    <w:lvl w:ilvl="2">
      <w:start w:val="1"/>
      <w:numFmt w:val="bullet"/>
      <w:pStyle w:val="ListBullet3"/>
      <w:lvlText w:val=""/>
      <w:lvlJc w:val="left"/>
      <w:pPr>
        <w:ind w:left="1080" w:hanging="360"/>
      </w:pPr>
      <w:rPr>
        <w:rFonts w:ascii="Wingdings" w:hAnsi="Wingdings" w:hint="default"/>
        <w:color w:val="auto"/>
        <w:sz w:val="22"/>
      </w:rPr>
    </w:lvl>
    <w:lvl w:ilvl="3">
      <w:start w:val="1"/>
      <w:numFmt w:val="bullet"/>
      <w:pStyle w:val="ListBullet4"/>
      <w:lvlText w:val="–"/>
      <w:lvlJc w:val="left"/>
      <w:pPr>
        <w:ind w:left="1440" w:hanging="360"/>
      </w:pPr>
      <w:rPr>
        <w:rFonts w:ascii="Arial" w:hAnsi="Arial" w:hint="default"/>
        <w:color w:val="auto"/>
        <w:sz w:val="22"/>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7" w15:restartNumberingAfterBreak="0">
    <w:nsid w:val="7FD55903"/>
    <w:multiLevelType w:val="hybridMultilevel"/>
    <w:tmpl w:val="368E3B22"/>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num w:numId="1" w16cid:durableId="186523040">
    <w:abstractNumId w:val="1"/>
  </w:num>
  <w:num w:numId="2" w16cid:durableId="1741051169">
    <w:abstractNumId w:val="6"/>
  </w:num>
  <w:num w:numId="3" w16cid:durableId="1155560808">
    <w:abstractNumId w:val="3"/>
  </w:num>
  <w:num w:numId="4" w16cid:durableId="1231190212">
    <w:abstractNumId w:val="4"/>
  </w:num>
  <w:num w:numId="5" w16cid:durableId="2088572470">
    <w:abstractNumId w:val="2"/>
  </w:num>
  <w:num w:numId="6" w16cid:durableId="1053164460">
    <w:abstractNumId w:val="0"/>
  </w:num>
  <w:num w:numId="7" w16cid:durableId="1533415140">
    <w:abstractNumId w:val="7"/>
  </w:num>
  <w:num w:numId="8" w16cid:durableId="4026839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396756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27"/>
  <w:defaultTableStyle w:val="SQHTable"/>
  <w:doNotShadeFormData/>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zNjcyNTezMLI0MjdS0lEKTi0uzszPAykwrgUAl714LiwAAAA="/>
  </w:docVars>
  <w:rsids>
    <w:rsidRoot w:val="0064638E"/>
    <w:rsid w:val="00011EBE"/>
    <w:rsid w:val="000121BA"/>
    <w:rsid w:val="00012458"/>
    <w:rsid w:val="000129A2"/>
    <w:rsid w:val="000136A5"/>
    <w:rsid w:val="00013E33"/>
    <w:rsid w:val="00013FDC"/>
    <w:rsid w:val="00015555"/>
    <w:rsid w:val="0001627D"/>
    <w:rsid w:val="000164A5"/>
    <w:rsid w:val="00020280"/>
    <w:rsid w:val="00020CF3"/>
    <w:rsid w:val="0002234B"/>
    <w:rsid w:val="000237BA"/>
    <w:rsid w:val="00024813"/>
    <w:rsid w:val="0002528E"/>
    <w:rsid w:val="0002723E"/>
    <w:rsid w:val="0002734D"/>
    <w:rsid w:val="00027926"/>
    <w:rsid w:val="0003148E"/>
    <w:rsid w:val="00032388"/>
    <w:rsid w:val="00033439"/>
    <w:rsid w:val="00034043"/>
    <w:rsid w:val="00034CA9"/>
    <w:rsid w:val="0003501D"/>
    <w:rsid w:val="000369EA"/>
    <w:rsid w:val="00036C75"/>
    <w:rsid w:val="00036FE5"/>
    <w:rsid w:val="00037DE5"/>
    <w:rsid w:val="00041055"/>
    <w:rsid w:val="00041141"/>
    <w:rsid w:val="00046136"/>
    <w:rsid w:val="00047E90"/>
    <w:rsid w:val="000520E1"/>
    <w:rsid w:val="00052D83"/>
    <w:rsid w:val="00056BC0"/>
    <w:rsid w:val="00061B61"/>
    <w:rsid w:val="00062BA3"/>
    <w:rsid w:val="000635BC"/>
    <w:rsid w:val="0006369F"/>
    <w:rsid w:val="00064283"/>
    <w:rsid w:val="000658B5"/>
    <w:rsid w:val="00065F7E"/>
    <w:rsid w:val="00074584"/>
    <w:rsid w:val="000760F4"/>
    <w:rsid w:val="00080037"/>
    <w:rsid w:val="00081BFA"/>
    <w:rsid w:val="00083A58"/>
    <w:rsid w:val="00083FD2"/>
    <w:rsid w:val="0008584C"/>
    <w:rsid w:val="000872A3"/>
    <w:rsid w:val="00090385"/>
    <w:rsid w:val="00091A80"/>
    <w:rsid w:val="00093BC8"/>
    <w:rsid w:val="00094A12"/>
    <w:rsid w:val="00095BC1"/>
    <w:rsid w:val="00096866"/>
    <w:rsid w:val="000A054F"/>
    <w:rsid w:val="000A0C2D"/>
    <w:rsid w:val="000A1273"/>
    <w:rsid w:val="000A1361"/>
    <w:rsid w:val="000A1738"/>
    <w:rsid w:val="000A1916"/>
    <w:rsid w:val="000A1EF9"/>
    <w:rsid w:val="000A2408"/>
    <w:rsid w:val="000A2E7B"/>
    <w:rsid w:val="000A336E"/>
    <w:rsid w:val="000A3F90"/>
    <w:rsid w:val="000A4DA7"/>
    <w:rsid w:val="000A5B5A"/>
    <w:rsid w:val="000A66C9"/>
    <w:rsid w:val="000A6E98"/>
    <w:rsid w:val="000A7A20"/>
    <w:rsid w:val="000B0A6F"/>
    <w:rsid w:val="000B19D3"/>
    <w:rsid w:val="000B3106"/>
    <w:rsid w:val="000B3336"/>
    <w:rsid w:val="000B40C2"/>
    <w:rsid w:val="000B5598"/>
    <w:rsid w:val="000B5729"/>
    <w:rsid w:val="000B6715"/>
    <w:rsid w:val="000B7D0A"/>
    <w:rsid w:val="000C0CA6"/>
    <w:rsid w:val="000C1B92"/>
    <w:rsid w:val="000C4291"/>
    <w:rsid w:val="000C5879"/>
    <w:rsid w:val="000C740C"/>
    <w:rsid w:val="000D19FF"/>
    <w:rsid w:val="000D22A8"/>
    <w:rsid w:val="000D739F"/>
    <w:rsid w:val="000D793D"/>
    <w:rsid w:val="000D7D92"/>
    <w:rsid w:val="000D7F92"/>
    <w:rsid w:val="000E195F"/>
    <w:rsid w:val="000E53AB"/>
    <w:rsid w:val="000E552A"/>
    <w:rsid w:val="000E76FA"/>
    <w:rsid w:val="000F0CAD"/>
    <w:rsid w:val="000F2461"/>
    <w:rsid w:val="000F2EDC"/>
    <w:rsid w:val="000F58A7"/>
    <w:rsid w:val="000F5A29"/>
    <w:rsid w:val="000F5CB5"/>
    <w:rsid w:val="000F6463"/>
    <w:rsid w:val="000F6579"/>
    <w:rsid w:val="000F775A"/>
    <w:rsid w:val="000F7990"/>
    <w:rsid w:val="00100584"/>
    <w:rsid w:val="001010A9"/>
    <w:rsid w:val="00103B28"/>
    <w:rsid w:val="00105FCC"/>
    <w:rsid w:val="0010640F"/>
    <w:rsid w:val="00106589"/>
    <w:rsid w:val="00106F60"/>
    <w:rsid w:val="00112DF1"/>
    <w:rsid w:val="00113133"/>
    <w:rsid w:val="00113EA9"/>
    <w:rsid w:val="001141D0"/>
    <w:rsid w:val="001175CB"/>
    <w:rsid w:val="00117894"/>
    <w:rsid w:val="001178D7"/>
    <w:rsid w:val="00120252"/>
    <w:rsid w:val="0012062F"/>
    <w:rsid w:val="00120E3D"/>
    <w:rsid w:val="001239C2"/>
    <w:rsid w:val="001239E7"/>
    <w:rsid w:val="0012449A"/>
    <w:rsid w:val="001271CF"/>
    <w:rsid w:val="001279BB"/>
    <w:rsid w:val="00131C48"/>
    <w:rsid w:val="00131F33"/>
    <w:rsid w:val="00133783"/>
    <w:rsid w:val="001338BA"/>
    <w:rsid w:val="001368BE"/>
    <w:rsid w:val="00136B50"/>
    <w:rsid w:val="001425A7"/>
    <w:rsid w:val="001432FE"/>
    <w:rsid w:val="00143D93"/>
    <w:rsid w:val="00144282"/>
    <w:rsid w:val="00144E74"/>
    <w:rsid w:val="001457C0"/>
    <w:rsid w:val="00150F87"/>
    <w:rsid w:val="001521AA"/>
    <w:rsid w:val="001523A3"/>
    <w:rsid w:val="00152581"/>
    <w:rsid w:val="00152AC1"/>
    <w:rsid w:val="00153AEF"/>
    <w:rsid w:val="001547CB"/>
    <w:rsid w:val="00154C1A"/>
    <w:rsid w:val="00156042"/>
    <w:rsid w:val="001567DD"/>
    <w:rsid w:val="001570A8"/>
    <w:rsid w:val="00157AB6"/>
    <w:rsid w:val="00157CE7"/>
    <w:rsid w:val="00162965"/>
    <w:rsid w:val="00165E78"/>
    <w:rsid w:val="00165F83"/>
    <w:rsid w:val="00166F1D"/>
    <w:rsid w:val="001712E1"/>
    <w:rsid w:val="001714D3"/>
    <w:rsid w:val="0017351A"/>
    <w:rsid w:val="0017356E"/>
    <w:rsid w:val="00174708"/>
    <w:rsid w:val="00181962"/>
    <w:rsid w:val="00181DFC"/>
    <w:rsid w:val="00182D27"/>
    <w:rsid w:val="00184B29"/>
    <w:rsid w:val="001851E5"/>
    <w:rsid w:val="00185E78"/>
    <w:rsid w:val="0018654C"/>
    <w:rsid w:val="00187C93"/>
    <w:rsid w:val="00191136"/>
    <w:rsid w:val="00191178"/>
    <w:rsid w:val="00191513"/>
    <w:rsid w:val="00191CC2"/>
    <w:rsid w:val="00192329"/>
    <w:rsid w:val="00193699"/>
    <w:rsid w:val="00193942"/>
    <w:rsid w:val="00197290"/>
    <w:rsid w:val="0019759D"/>
    <w:rsid w:val="00197ADC"/>
    <w:rsid w:val="00197E66"/>
    <w:rsid w:val="001A03FE"/>
    <w:rsid w:val="001A06E4"/>
    <w:rsid w:val="001A0E88"/>
    <w:rsid w:val="001A2B7F"/>
    <w:rsid w:val="001A3554"/>
    <w:rsid w:val="001A35A7"/>
    <w:rsid w:val="001A3D99"/>
    <w:rsid w:val="001A41EB"/>
    <w:rsid w:val="001A4611"/>
    <w:rsid w:val="001A50A3"/>
    <w:rsid w:val="001A5727"/>
    <w:rsid w:val="001A599E"/>
    <w:rsid w:val="001A6649"/>
    <w:rsid w:val="001A7D74"/>
    <w:rsid w:val="001B23B8"/>
    <w:rsid w:val="001B3928"/>
    <w:rsid w:val="001B6A4B"/>
    <w:rsid w:val="001B709F"/>
    <w:rsid w:val="001B7FA1"/>
    <w:rsid w:val="001C0177"/>
    <w:rsid w:val="001C28D3"/>
    <w:rsid w:val="001C3229"/>
    <w:rsid w:val="001C3BEB"/>
    <w:rsid w:val="001C3FD0"/>
    <w:rsid w:val="001C48D8"/>
    <w:rsid w:val="001C4B8A"/>
    <w:rsid w:val="001C5149"/>
    <w:rsid w:val="001C52C2"/>
    <w:rsid w:val="001C5CEB"/>
    <w:rsid w:val="001C6302"/>
    <w:rsid w:val="001C6BB6"/>
    <w:rsid w:val="001C743E"/>
    <w:rsid w:val="001D030C"/>
    <w:rsid w:val="001D0AFC"/>
    <w:rsid w:val="001D1EF4"/>
    <w:rsid w:val="001D2019"/>
    <w:rsid w:val="001D266D"/>
    <w:rsid w:val="001D3383"/>
    <w:rsid w:val="001D4D0D"/>
    <w:rsid w:val="001D6E4A"/>
    <w:rsid w:val="001D7528"/>
    <w:rsid w:val="001D76E4"/>
    <w:rsid w:val="001E0B52"/>
    <w:rsid w:val="001E3781"/>
    <w:rsid w:val="001E3A54"/>
    <w:rsid w:val="001E41E5"/>
    <w:rsid w:val="001E49C9"/>
    <w:rsid w:val="001E5108"/>
    <w:rsid w:val="001E5F8E"/>
    <w:rsid w:val="001F1430"/>
    <w:rsid w:val="001F25C8"/>
    <w:rsid w:val="001F3C12"/>
    <w:rsid w:val="001F3CE2"/>
    <w:rsid w:val="001F40EE"/>
    <w:rsid w:val="001F6C97"/>
    <w:rsid w:val="001F75E6"/>
    <w:rsid w:val="00200A33"/>
    <w:rsid w:val="00201AFE"/>
    <w:rsid w:val="00202AE5"/>
    <w:rsid w:val="00202C71"/>
    <w:rsid w:val="00202F7F"/>
    <w:rsid w:val="00204B80"/>
    <w:rsid w:val="002055A0"/>
    <w:rsid w:val="00207CBE"/>
    <w:rsid w:val="00207F95"/>
    <w:rsid w:val="00210174"/>
    <w:rsid w:val="00210409"/>
    <w:rsid w:val="00210E8D"/>
    <w:rsid w:val="0021123A"/>
    <w:rsid w:val="0021134B"/>
    <w:rsid w:val="00212784"/>
    <w:rsid w:val="00216854"/>
    <w:rsid w:val="00217D19"/>
    <w:rsid w:val="0022009C"/>
    <w:rsid w:val="00223151"/>
    <w:rsid w:val="00223F37"/>
    <w:rsid w:val="00226249"/>
    <w:rsid w:val="00227152"/>
    <w:rsid w:val="002307E1"/>
    <w:rsid w:val="002320CE"/>
    <w:rsid w:val="00233385"/>
    <w:rsid w:val="002333C5"/>
    <w:rsid w:val="002346DC"/>
    <w:rsid w:val="002349BF"/>
    <w:rsid w:val="00236950"/>
    <w:rsid w:val="00242034"/>
    <w:rsid w:val="002422FD"/>
    <w:rsid w:val="00244887"/>
    <w:rsid w:val="00244E46"/>
    <w:rsid w:val="002468CF"/>
    <w:rsid w:val="002473C1"/>
    <w:rsid w:val="00247FA5"/>
    <w:rsid w:val="00253E2B"/>
    <w:rsid w:val="002574B2"/>
    <w:rsid w:val="00257A55"/>
    <w:rsid w:val="00260209"/>
    <w:rsid w:val="00262769"/>
    <w:rsid w:val="002632B7"/>
    <w:rsid w:val="00264464"/>
    <w:rsid w:val="0026489B"/>
    <w:rsid w:val="00264F4D"/>
    <w:rsid w:val="0026541A"/>
    <w:rsid w:val="00265E3C"/>
    <w:rsid w:val="002710D6"/>
    <w:rsid w:val="00272AAC"/>
    <w:rsid w:val="00274521"/>
    <w:rsid w:val="002748D5"/>
    <w:rsid w:val="00275504"/>
    <w:rsid w:val="0027686A"/>
    <w:rsid w:val="002776FA"/>
    <w:rsid w:val="00277E47"/>
    <w:rsid w:val="0028070D"/>
    <w:rsid w:val="00282761"/>
    <w:rsid w:val="00286C5E"/>
    <w:rsid w:val="002871D8"/>
    <w:rsid w:val="00291082"/>
    <w:rsid w:val="00291704"/>
    <w:rsid w:val="002934C0"/>
    <w:rsid w:val="00295234"/>
    <w:rsid w:val="00296ADC"/>
    <w:rsid w:val="00297CB5"/>
    <w:rsid w:val="002A02B1"/>
    <w:rsid w:val="002A1211"/>
    <w:rsid w:val="002A12DA"/>
    <w:rsid w:val="002A1929"/>
    <w:rsid w:val="002A1BC8"/>
    <w:rsid w:val="002A50AE"/>
    <w:rsid w:val="002A521B"/>
    <w:rsid w:val="002A5D1A"/>
    <w:rsid w:val="002A66E5"/>
    <w:rsid w:val="002B1417"/>
    <w:rsid w:val="002B161A"/>
    <w:rsid w:val="002B16A7"/>
    <w:rsid w:val="002B3C79"/>
    <w:rsid w:val="002B5221"/>
    <w:rsid w:val="002B5C37"/>
    <w:rsid w:val="002C0ABE"/>
    <w:rsid w:val="002C0BE4"/>
    <w:rsid w:val="002C147F"/>
    <w:rsid w:val="002C1A6F"/>
    <w:rsid w:val="002C1E4B"/>
    <w:rsid w:val="002C2769"/>
    <w:rsid w:val="002C2E1B"/>
    <w:rsid w:val="002C3AFC"/>
    <w:rsid w:val="002C4209"/>
    <w:rsid w:val="002C6E3E"/>
    <w:rsid w:val="002D291F"/>
    <w:rsid w:val="002D374F"/>
    <w:rsid w:val="002D521E"/>
    <w:rsid w:val="002D62CE"/>
    <w:rsid w:val="002D67D3"/>
    <w:rsid w:val="002D7462"/>
    <w:rsid w:val="002E001E"/>
    <w:rsid w:val="002E027E"/>
    <w:rsid w:val="002E038B"/>
    <w:rsid w:val="002E1998"/>
    <w:rsid w:val="002E2CB1"/>
    <w:rsid w:val="002E2F01"/>
    <w:rsid w:val="002E41A9"/>
    <w:rsid w:val="002E440D"/>
    <w:rsid w:val="002E5A83"/>
    <w:rsid w:val="002E6D7C"/>
    <w:rsid w:val="002E7E37"/>
    <w:rsid w:val="002F0E89"/>
    <w:rsid w:val="002F208B"/>
    <w:rsid w:val="002F2993"/>
    <w:rsid w:val="002F34FF"/>
    <w:rsid w:val="002F52F7"/>
    <w:rsid w:val="002F5514"/>
    <w:rsid w:val="002F6F32"/>
    <w:rsid w:val="003004FA"/>
    <w:rsid w:val="00303CD4"/>
    <w:rsid w:val="0030578E"/>
    <w:rsid w:val="0030669E"/>
    <w:rsid w:val="0030795C"/>
    <w:rsid w:val="00311390"/>
    <w:rsid w:val="003122DD"/>
    <w:rsid w:val="0031351F"/>
    <w:rsid w:val="00313860"/>
    <w:rsid w:val="00313F81"/>
    <w:rsid w:val="00314BB5"/>
    <w:rsid w:val="00315D3C"/>
    <w:rsid w:val="0031785B"/>
    <w:rsid w:val="00320667"/>
    <w:rsid w:val="003233EA"/>
    <w:rsid w:val="0032430C"/>
    <w:rsid w:val="00325A41"/>
    <w:rsid w:val="00327466"/>
    <w:rsid w:val="003300BD"/>
    <w:rsid w:val="00330501"/>
    <w:rsid w:val="003324F3"/>
    <w:rsid w:val="00333BFF"/>
    <w:rsid w:val="00336E8A"/>
    <w:rsid w:val="00337255"/>
    <w:rsid w:val="00337769"/>
    <w:rsid w:val="0033785B"/>
    <w:rsid w:val="00340141"/>
    <w:rsid w:val="00340479"/>
    <w:rsid w:val="0034210B"/>
    <w:rsid w:val="00342671"/>
    <w:rsid w:val="00342B0C"/>
    <w:rsid w:val="00343C66"/>
    <w:rsid w:val="00343C87"/>
    <w:rsid w:val="003450AC"/>
    <w:rsid w:val="00351CED"/>
    <w:rsid w:val="0035330E"/>
    <w:rsid w:val="00353DC5"/>
    <w:rsid w:val="003606B1"/>
    <w:rsid w:val="00360A96"/>
    <w:rsid w:val="0036248A"/>
    <w:rsid w:val="0036434E"/>
    <w:rsid w:val="00367754"/>
    <w:rsid w:val="003713D2"/>
    <w:rsid w:val="00372BAA"/>
    <w:rsid w:val="00375370"/>
    <w:rsid w:val="00376BBA"/>
    <w:rsid w:val="00380AA5"/>
    <w:rsid w:val="0038259F"/>
    <w:rsid w:val="00384233"/>
    <w:rsid w:val="00384343"/>
    <w:rsid w:val="003845DF"/>
    <w:rsid w:val="00386BA6"/>
    <w:rsid w:val="00387748"/>
    <w:rsid w:val="00387AAC"/>
    <w:rsid w:val="00391669"/>
    <w:rsid w:val="00391E39"/>
    <w:rsid w:val="00392588"/>
    <w:rsid w:val="0039434E"/>
    <w:rsid w:val="00397A3B"/>
    <w:rsid w:val="003A0533"/>
    <w:rsid w:val="003A0DCA"/>
    <w:rsid w:val="003A4443"/>
    <w:rsid w:val="003A5810"/>
    <w:rsid w:val="003A5F1D"/>
    <w:rsid w:val="003A67D8"/>
    <w:rsid w:val="003A68CB"/>
    <w:rsid w:val="003B3D1A"/>
    <w:rsid w:val="003B4928"/>
    <w:rsid w:val="003B551F"/>
    <w:rsid w:val="003B5C68"/>
    <w:rsid w:val="003B647F"/>
    <w:rsid w:val="003C03E6"/>
    <w:rsid w:val="003C1731"/>
    <w:rsid w:val="003C17BB"/>
    <w:rsid w:val="003C27E2"/>
    <w:rsid w:val="003C3979"/>
    <w:rsid w:val="003C3CC4"/>
    <w:rsid w:val="003C429F"/>
    <w:rsid w:val="003C469B"/>
    <w:rsid w:val="003D0D9C"/>
    <w:rsid w:val="003D1058"/>
    <w:rsid w:val="003D1716"/>
    <w:rsid w:val="003D17FB"/>
    <w:rsid w:val="003D2652"/>
    <w:rsid w:val="003D2B5A"/>
    <w:rsid w:val="003D2CF0"/>
    <w:rsid w:val="003D3433"/>
    <w:rsid w:val="003D5D9E"/>
    <w:rsid w:val="003D70C7"/>
    <w:rsid w:val="003E0987"/>
    <w:rsid w:val="003E0E97"/>
    <w:rsid w:val="003E0F3F"/>
    <w:rsid w:val="003E14DC"/>
    <w:rsid w:val="003E19F9"/>
    <w:rsid w:val="003E1AC6"/>
    <w:rsid w:val="003E37B6"/>
    <w:rsid w:val="003E3CF0"/>
    <w:rsid w:val="003E4D00"/>
    <w:rsid w:val="003E6A59"/>
    <w:rsid w:val="003E7795"/>
    <w:rsid w:val="003F0176"/>
    <w:rsid w:val="003F0791"/>
    <w:rsid w:val="003F0DE2"/>
    <w:rsid w:val="003F1B03"/>
    <w:rsid w:val="003F2EDD"/>
    <w:rsid w:val="003F422C"/>
    <w:rsid w:val="003F4615"/>
    <w:rsid w:val="003F4678"/>
    <w:rsid w:val="003F5B8F"/>
    <w:rsid w:val="003F5DFF"/>
    <w:rsid w:val="003F6013"/>
    <w:rsid w:val="003F6F32"/>
    <w:rsid w:val="004003DB"/>
    <w:rsid w:val="00401788"/>
    <w:rsid w:val="00402F1C"/>
    <w:rsid w:val="00405260"/>
    <w:rsid w:val="00407E7F"/>
    <w:rsid w:val="00410032"/>
    <w:rsid w:val="00411636"/>
    <w:rsid w:val="00411B7D"/>
    <w:rsid w:val="00411E95"/>
    <w:rsid w:val="004133BD"/>
    <w:rsid w:val="00413623"/>
    <w:rsid w:val="00414086"/>
    <w:rsid w:val="004151DE"/>
    <w:rsid w:val="00416267"/>
    <w:rsid w:val="00416788"/>
    <w:rsid w:val="0042039D"/>
    <w:rsid w:val="00421E99"/>
    <w:rsid w:val="004223ED"/>
    <w:rsid w:val="00424406"/>
    <w:rsid w:val="004252F4"/>
    <w:rsid w:val="00425701"/>
    <w:rsid w:val="00425C5C"/>
    <w:rsid w:val="004265BE"/>
    <w:rsid w:val="00431975"/>
    <w:rsid w:val="004322C0"/>
    <w:rsid w:val="00433093"/>
    <w:rsid w:val="004339D6"/>
    <w:rsid w:val="00435303"/>
    <w:rsid w:val="00441CA3"/>
    <w:rsid w:val="0044217F"/>
    <w:rsid w:val="00442FA0"/>
    <w:rsid w:val="0044369F"/>
    <w:rsid w:val="00444B74"/>
    <w:rsid w:val="00447F86"/>
    <w:rsid w:val="00450AEF"/>
    <w:rsid w:val="0045454F"/>
    <w:rsid w:val="0045567D"/>
    <w:rsid w:val="004569AE"/>
    <w:rsid w:val="00460755"/>
    <w:rsid w:val="004622D6"/>
    <w:rsid w:val="004624F7"/>
    <w:rsid w:val="00462C1E"/>
    <w:rsid w:val="00463DEF"/>
    <w:rsid w:val="004642D9"/>
    <w:rsid w:val="00466AF8"/>
    <w:rsid w:val="00467B74"/>
    <w:rsid w:val="00467CE7"/>
    <w:rsid w:val="0047130C"/>
    <w:rsid w:val="004753EA"/>
    <w:rsid w:val="004765EF"/>
    <w:rsid w:val="0048419B"/>
    <w:rsid w:val="0048437F"/>
    <w:rsid w:val="00491AD7"/>
    <w:rsid w:val="00491F89"/>
    <w:rsid w:val="004937E8"/>
    <w:rsid w:val="0049548F"/>
    <w:rsid w:val="00495969"/>
    <w:rsid w:val="00497959"/>
    <w:rsid w:val="004A0ED4"/>
    <w:rsid w:val="004A1736"/>
    <w:rsid w:val="004A1BC5"/>
    <w:rsid w:val="004A1E47"/>
    <w:rsid w:val="004A3278"/>
    <w:rsid w:val="004A4B45"/>
    <w:rsid w:val="004A58E5"/>
    <w:rsid w:val="004A6A7C"/>
    <w:rsid w:val="004A6D7F"/>
    <w:rsid w:val="004A7DA8"/>
    <w:rsid w:val="004B17FB"/>
    <w:rsid w:val="004B2CFF"/>
    <w:rsid w:val="004B3359"/>
    <w:rsid w:val="004B38F6"/>
    <w:rsid w:val="004B5C3A"/>
    <w:rsid w:val="004C044C"/>
    <w:rsid w:val="004C0960"/>
    <w:rsid w:val="004C12BE"/>
    <w:rsid w:val="004C26DA"/>
    <w:rsid w:val="004C2CBD"/>
    <w:rsid w:val="004C2D38"/>
    <w:rsid w:val="004C359D"/>
    <w:rsid w:val="004C47F5"/>
    <w:rsid w:val="004C5254"/>
    <w:rsid w:val="004C6084"/>
    <w:rsid w:val="004C6C62"/>
    <w:rsid w:val="004D0DC8"/>
    <w:rsid w:val="004D14DD"/>
    <w:rsid w:val="004D1D34"/>
    <w:rsid w:val="004D1FE3"/>
    <w:rsid w:val="004D2834"/>
    <w:rsid w:val="004D3380"/>
    <w:rsid w:val="004D66E2"/>
    <w:rsid w:val="004D7430"/>
    <w:rsid w:val="004E06CD"/>
    <w:rsid w:val="004E0750"/>
    <w:rsid w:val="004E142F"/>
    <w:rsid w:val="004E169F"/>
    <w:rsid w:val="004E18F2"/>
    <w:rsid w:val="004E2765"/>
    <w:rsid w:val="004E302A"/>
    <w:rsid w:val="004E38D4"/>
    <w:rsid w:val="004E5861"/>
    <w:rsid w:val="004E5EEB"/>
    <w:rsid w:val="004E773A"/>
    <w:rsid w:val="004E7E54"/>
    <w:rsid w:val="004F16FA"/>
    <w:rsid w:val="004F3E66"/>
    <w:rsid w:val="004F6546"/>
    <w:rsid w:val="004F71C5"/>
    <w:rsid w:val="004F7817"/>
    <w:rsid w:val="00504AE4"/>
    <w:rsid w:val="00505381"/>
    <w:rsid w:val="005062D4"/>
    <w:rsid w:val="0050706D"/>
    <w:rsid w:val="005071B9"/>
    <w:rsid w:val="00507D3A"/>
    <w:rsid w:val="00507DED"/>
    <w:rsid w:val="00510A99"/>
    <w:rsid w:val="00512BE7"/>
    <w:rsid w:val="005138A5"/>
    <w:rsid w:val="00520281"/>
    <w:rsid w:val="00521C5A"/>
    <w:rsid w:val="00521CCB"/>
    <w:rsid w:val="005228B1"/>
    <w:rsid w:val="005234AB"/>
    <w:rsid w:val="00524354"/>
    <w:rsid w:val="005265F9"/>
    <w:rsid w:val="005266C3"/>
    <w:rsid w:val="00526839"/>
    <w:rsid w:val="00527D0A"/>
    <w:rsid w:val="005316C5"/>
    <w:rsid w:val="005348C8"/>
    <w:rsid w:val="00534A86"/>
    <w:rsid w:val="00536075"/>
    <w:rsid w:val="00537ECB"/>
    <w:rsid w:val="005410C1"/>
    <w:rsid w:val="00542889"/>
    <w:rsid w:val="00544B18"/>
    <w:rsid w:val="005465E1"/>
    <w:rsid w:val="00547E85"/>
    <w:rsid w:val="00550699"/>
    <w:rsid w:val="005520BC"/>
    <w:rsid w:val="00552F86"/>
    <w:rsid w:val="005532C6"/>
    <w:rsid w:val="005559C1"/>
    <w:rsid w:val="0055601C"/>
    <w:rsid w:val="00562DF0"/>
    <w:rsid w:val="00563353"/>
    <w:rsid w:val="005634B4"/>
    <w:rsid w:val="0056463F"/>
    <w:rsid w:val="005646CD"/>
    <w:rsid w:val="0056489B"/>
    <w:rsid w:val="00566964"/>
    <w:rsid w:val="00570151"/>
    <w:rsid w:val="005719F2"/>
    <w:rsid w:val="005743DF"/>
    <w:rsid w:val="005744DF"/>
    <w:rsid w:val="00575510"/>
    <w:rsid w:val="005756EF"/>
    <w:rsid w:val="00582037"/>
    <w:rsid w:val="00583B39"/>
    <w:rsid w:val="00583BF3"/>
    <w:rsid w:val="00584EA0"/>
    <w:rsid w:val="00585314"/>
    <w:rsid w:val="00585D96"/>
    <w:rsid w:val="00585FC6"/>
    <w:rsid w:val="00586756"/>
    <w:rsid w:val="00586A68"/>
    <w:rsid w:val="00587135"/>
    <w:rsid w:val="0058798E"/>
    <w:rsid w:val="005915AE"/>
    <w:rsid w:val="0059331F"/>
    <w:rsid w:val="00593C4E"/>
    <w:rsid w:val="005943E4"/>
    <w:rsid w:val="00594996"/>
    <w:rsid w:val="00595909"/>
    <w:rsid w:val="005A094A"/>
    <w:rsid w:val="005A142A"/>
    <w:rsid w:val="005A22A5"/>
    <w:rsid w:val="005A647D"/>
    <w:rsid w:val="005A6BF8"/>
    <w:rsid w:val="005B158F"/>
    <w:rsid w:val="005B1BD1"/>
    <w:rsid w:val="005B2791"/>
    <w:rsid w:val="005B3A1A"/>
    <w:rsid w:val="005B4808"/>
    <w:rsid w:val="005B5231"/>
    <w:rsid w:val="005B6306"/>
    <w:rsid w:val="005C29AE"/>
    <w:rsid w:val="005C2E0E"/>
    <w:rsid w:val="005C2FA1"/>
    <w:rsid w:val="005C317B"/>
    <w:rsid w:val="005C3BCC"/>
    <w:rsid w:val="005C3C53"/>
    <w:rsid w:val="005C3D26"/>
    <w:rsid w:val="005C76E3"/>
    <w:rsid w:val="005D1997"/>
    <w:rsid w:val="005D2781"/>
    <w:rsid w:val="005D32BE"/>
    <w:rsid w:val="005D3A3B"/>
    <w:rsid w:val="005D65FE"/>
    <w:rsid w:val="005D7DCC"/>
    <w:rsid w:val="005E12BF"/>
    <w:rsid w:val="005E3C4D"/>
    <w:rsid w:val="005E3E4E"/>
    <w:rsid w:val="005E645E"/>
    <w:rsid w:val="005F08D9"/>
    <w:rsid w:val="005F3552"/>
    <w:rsid w:val="005F36C3"/>
    <w:rsid w:val="005F4337"/>
    <w:rsid w:val="005F4740"/>
    <w:rsid w:val="005F4A35"/>
    <w:rsid w:val="005F56D4"/>
    <w:rsid w:val="005F59AA"/>
    <w:rsid w:val="005F6160"/>
    <w:rsid w:val="005F63A7"/>
    <w:rsid w:val="006016AC"/>
    <w:rsid w:val="0060327D"/>
    <w:rsid w:val="00603D3A"/>
    <w:rsid w:val="006044D2"/>
    <w:rsid w:val="00606ED1"/>
    <w:rsid w:val="0060777F"/>
    <w:rsid w:val="00607D8E"/>
    <w:rsid w:val="00610149"/>
    <w:rsid w:val="0061259C"/>
    <w:rsid w:val="00616063"/>
    <w:rsid w:val="00616A8F"/>
    <w:rsid w:val="0062006A"/>
    <w:rsid w:val="00620692"/>
    <w:rsid w:val="00621DAE"/>
    <w:rsid w:val="00622A8D"/>
    <w:rsid w:val="0062348C"/>
    <w:rsid w:val="00627D5B"/>
    <w:rsid w:val="006330DA"/>
    <w:rsid w:val="0063532A"/>
    <w:rsid w:val="006367D6"/>
    <w:rsid w:val="006368C7"/>
    <w:rsid w:val="00636D55"/>
    <w:rsid w:val="00640006"/>
    <w:rsid w:val="0064041E"/>
    <w:rsid w:val="00640B02"/>
    <w:rsid w:val="00640CA1"/>
    <w:rsid w:val="00644F41"/>
    <w:rsid w:val="006454C7"/>
    <w:rsid w:val="006458A1"/>
    <w:rsid w:val="00645A51"/>
    <w:rsid w:val="006461FB"/>
    <w:rsid w:val="0064638E"/>
    <w:rsid w:val="00647F38"/>
    <w:rsid w:val="00656D2E"/>
    <w:rsid w:val="0065754D"/>
    <w:rsid w:val="00662B82"/>
    <w:rsid w:val="00663A07"/>
    <w:rsid w:val="00663EB2"/>
    <w:rsid w:val="00664625"/>
    <w:rsid w:val="00664F81"/>
    <w:rsid w:val="00665B4F"/>
    <w:rsid w:val="00665F53"/>
    <w:rsid w:val="00666185"/>
    <w:rsid w:val="006666F0"/>
    <w:rsid w:val="00667C32"/>
    <w:rsid w:val="006761D1"/>
    <w:rsid w:val="006818CB"/>
    <w:rsid w:val="00681DC4"/>
    <w:rsid w:val="00681ED4"/>
    <w:rsid w:val="00682690"/>
    <w:rsid w:val="00686747"/>
    <w:rsid w:val="00687FC3"/>
    <w:rsid w:val="006909B3"/>
    <w:rsid w:val="006910B9"/>
    <w:rsid w:val="00691B1E"/>
    <w:rsid w:val="00692395"/>
    <w:rsid w:val="00693751"/>
    <w:rsid w:val="00693793"/>
    <w:rsid w:val="00693A71"/>
    <w:rsid w:val="00695F4C"/>
    <w:rsid w:val="006A0D5B"/>
    <w:rsid w:val="006A261D"/>
    <w:rsid w:val="006A2E6C"/>
    <w:rsid w:val="006A35DD"/>
    <w:rsid w:val="006A3CDA"/>
    <w:rsid w:val="006A3D01"/>
    <w:rsid w:val="006A7FC2"/>
    <w:rsid w:val="006B0300"/>
    <w:rsid w:val="006B0B35"/>
    <w:rsid w:val="006B0C33"/>
    <w:rsid w:val="006B1240"/>
    <w:rsid w:val="006B2759"/>
    <w:rsid w:val="006B366A"/>
    <w:rsid w:val="006B3A4B"/>
    <w:rsid w:val="006B3DD4"/>
    <w:rsid w:val="006B4175"/>
    <w:rsid w:val="006B4332"/>
    <w:rsid w:val="006B4500"/>
    <w:rsid w:val="006B6CB3"/>
    <w:rsid w:val="006B7C51"/>
    <w:rsid w:val="006C1340"/>
    <w:rsid w:val="006C15AE"/>
    <w:rsid w:val="006C1E76"/>
    <w:rsid w:val="006C2813"/>
    <w:rsid w:val="006C2EEC"/>
    <w:rsid w:val="006C3EE5"/>
    <w:rsid w:val="006C3FCD"/>
    <w:rsid w:val="006C448B"/>
    <w:rsid w:val="006C4497"/>
    <w:rsid w:val="006C5560"/>
    <w:rsid w:val="006C5AD6"/>
    <w:rsid w:val="006C5BC4"/>
    <w:rsid w:val="006C5FFE"/>
    <w:rsid w:val="006C643E"/>
    <w:rsid w:val="006D0E06"/>
    <w:rsid w:val="006D118B"/>
    <w:rsid w:val="006D2526"/>
    <w:rsid w:val="006D3B30"/>
    <w:rsid w:val="006D3C01"/>
    <w:rsid w:val="006D41CA"/>
    <w:rsid w:val="006D6392"/>
    <w:rsid w:val="006D65CA"/>
    <w:rsid w:val="006D7A2A"/>
    <w:rsid w:val="006E0022"/>
    <w:rsid w:val="006E281A"/>
    <w:rsid w:val="006E546F"/>
    <w:rsid w:val="006E5981"/>
    <w:rsid w:val="006E6195"/>
    <w:rsid w:val="006E777C"/>
    <w:rsid w:val="006E7EA8"/>
    <w:rsid w:val="006F0D69"/>
    <w:rsid w:val="006F169C"/>
    <w:rsid w:val="006F297E"/>
    <w:rsid w:val="006F418B"/>
    <w:rsid w:val="006F50F5"/>
    <w:rsid w:val="006F5C6F"/>
    <w:rsid w:val="006F7CB3"/>
    <w:rsid w:val="007000F3"/>
    <w:rsid w:val="007023B2"/>
    <w:rsid w:val="00707356"/>
    <w:rsid w:val="0070784B"/>
    <w:rsid w:val="00707B0F"/>
    <w:rsid w:val="0071081D"/>
    <w:rsid w:val="00710AEE"/>
    <w:rsid w:val="00711370"/>
    <w:rsid w:val="00711E33"/>
    <w:rsid w:val="00713ADF"/>
    <w:rsid w:val="007156BC"/>
    <w:rsid w:val="00716958"/>
    <w:rsid w:val="00720614"/>
    <w:rsid w:val="00721ABD"/>
    <w:rsid w:val="00722E45"/>
    <w:rsid w:val="0072344E"/>
    <w:rsid w:val="00724799"/>
    <w:rsid w:val="00724C16"/>
    <w:rsid w:val="00732F33"/>
    <w:rsid w:val="00733BB6"/>
    <w:rsid w:val="00734448"/>
    <w:rsid w:val="007345C6"/>
    <w:rsid w:val="0073698E"/>
    <w:rsid w:val="007369FD"/>
    <w:rsid w:val="007401FB"/>
    <w:rsid w:val="00740F95"/>
    <w:rsid w:val="00742A2A"/>
    <w:rsid w:val="00742C92"/>
    <w:rsid w:val="00742D15"/>
    <w:rsid w:val="00743223"/>
    <w:rsid w:val="00743F2B"/>
    <w:rsid w:val="007454B9"/>
    <w:rsid w:val="007467E3"/>
    <w:rsid w:val="007512D3"/>
    <w:rsid w:val="00751B97"/>
    <w:rsid w:val="00752D37"/>
    <w:rsid w:val="007531C4"/>
    <w:rsid w:val="00754945"/>
    <w:rsid w:val="00756A70"/>
    <w:rsid w:val="00756E38"/>
    <w:rsid w:val="007577DB"/>
    <w:rsid w:val="00760E66"/>
    <w:rsid w:val="007619BA"/>
    <w:rsid w:val="00762818"/>
    <w:rsid w:val="00763211"/>
    <w:rsid w:val="007641A7"/>
    <w:rsid w:val="0076540B"/>
    <w:rsid w:val="00772031"/>
    <w:rsid w:val="00772BCA"/>
    <w:rsid w:val="0077668B"/>
    <w:rsid w:val="007776CE"/>
    <w:rsid w:val="00780046"/>
    <w:rsid w:val="00780A83"/>
    <w:rsid w:val="007819DD"/>
    <w:rsid w:val="00781D4D"/>
    <w:rsid w:val="007907D2"/>
    <w:rsid w:val="00791A9F"/>
    <w:rsid w:val="00794B20"/>
    <w:rsid w:val="00796DE6"/>
    <w:rsid w:val="007A049D"/>
    <w:rsid w:val="007A61FC"/>
    <w:rsid w:val="007A63DD"/>
    <w:rsid w:val="007B03B8"/>
    <w:rsid w:val="007B20FE"/>
    <w:rsid w:val="007B3904"/>
    <w:rsid w:val="007B4C52"/>
    <w:rsid w:val="007B4D88"/>
    <w:rsid w:val="007B5FB6"/>
    <w:rsid w:val="007B730B"/>
    <w:rsid w:val="007C0D01"/>
    <w:rsid w:val="007C13F1"/>
    <w:rsid w:val="007C1423"/>
    <w:rsid w:val="007C5286"/>
    <w:rsid w:val="007C5B4F"/>
    <w:rsid w:val="007C5FAE"/>
    <w:rsid w:val="007C68A4"/>
    <w:rsid w:val="007D0359"/>
    <w:rsid w:val="007D1CC1"/>
    <w:rsid w:val="007D4A01"/>
    <w:rsid w:val="007E1165"/>
    <w:rsid w:val="007E6C0C"/>
    <w:rsid w:val="007F0839"/>
    <w:rsid w:val="007F09EE"/>
    <w:rsid w:val="007F1006"/>
    <w:rsid w:val="007F53A1"/>
    <w:rsid w:val="007F6088"/>
    <w:rsid w:val="007F7683"/>
    <w:rsid w:val="007F7F9B"/>
    <w:rsid w:val="0080000F"/>
    <w:rsid w:val="00800F49"/>
    <w:rsid w:val="00802574"/>
    <w:rsid w:val="00803042"/>
    <w:rsid w:val="008043C0"/>
    <w:rsid w:val="008044C2"/>
    <w:rsid w:val="00806A1D"/>
    <w:rsid w:val="00807063"/>
    <w:rsid w:val="0080745E"/>
    <w:rsid w:val="00807516"/>
    <w:rsid w:val="0080756E"/>
    <w:rsid w:val="00807B89"/>
    <w:rsid w:val="008106C1"/>
    <w:rsid w:val="00810F2C"/>
    <w:rsid w:val="00813D71"/>
    <w:rsid w:val="00814EB6"/>
    <w:rsid w:val="00814EEE"/>
    <w:rsid w:val="00815B59"/>
    <w:rsid w:val="0081794A"/>
    <w:rsid w:val="00823B41"/>
    <w:rsid w:val="0082499B"/>
    <w:rsid w:val="008254F9"/>
    <w:rsid w:val="00825F78"/>
    <w:rsid w:val="00826D89"/>
    <w:rsid w:val="0082700C"/>
    <w:rsid w:val="00830E9D"/>
    <w:rsid w:val="00831855"/>
    <w:rsid w:val="008326EB"/>
    <w:rsid w:val="008327AB"/>
    <w:rsid w:val="00834459"/>
    <w:rsid w:val="00835736"/>
    <w:rsid w:val="00835D56"/>
    <w:rsid w:val="00837C66"/>
    <w:rsid w:val="00837FCF"/>
    <w:rsid w:val="0084260B"/>
    <w:rsid w:val="00845E10"/>
    <w:rsid w:val="008520E2"/>
    <w:rsid w:val="00852BEA"/>
    <w:rsid w:val="00853537"/>
    <w:rsid w:val="008603FF"/>
    <w:rsid w:val="0086137C"/>
    <w:rsid w:val="0086257B"/>
    <w:rsid w:val="008629B7"/>
    <w:rsid w:val="00862D9B"/>
    <w:rsid w:val="0086323A"/>
    <w:rsid w:val="00864797"/>
    <w:rsid w:val="00864F9E"/>
    <w:rsid w:val="00867C7F"/>
    <w:rsid w:val="00867FD1"/>
    <w:rsid w:val="0087248E"/>
    <w:rsid w:val="00872DBB"/>
    <w:rsid w:val="00873EEA"/>
    <w:rsid w:val="00875B30"/>
    <w:rsid w:val="00876962"/>
    <w:rsid w:val="00880FAF"/>
    <w:rsid w:val="00882D35"/>
    <w:rsid w:val="00883520"/>
    <w:rsid w:val="008877E5"/>
    <w:rsid w:val="0088797B"/>
    <w:rsid w:val="00892C60"/>
    <w:rsid w:val="00896871"/>
    <w:rsid w:val="008969F7"/>
    <w:rsid w:val="00896BFF"/>
    <w:rsid w:val="008A0FBC"/>
    <w:rsid w:val="008A1F47"/>
    <w:rsid w:val="008A3F11"/>
    <w:rsid w:val="008A6F64"/>
    <w:rsid w:val="008A7CA5"/>
    <w:rsid w:val="008B0557"/>
    <w:rsid w:val="008B3ADF"/>
    <w:rsid w:val="008B4110"/>
    <w:rsid w:val="008B41E5"/>
    <w:rsid w:val="008B4594"/>
    <w:rsid w:val="008B5006"/>
    <w:rsid w:val="008B513E"/>
    <w:rsid w:val="008B591A"/>
    <w:rsid w:val="008B6BA7"/>
    <w:rsid w:val="008B793C"/>
    <w:rsid w:val="008C0FBC"/>
    <w:rsid w:val="008C1C10"/>
    <w:rsid w:val="008C20AC"/>
    <w:rsid w:val="008C2FAB"/>
    <w:rsid w:val="008C3C5D"/>
    <w:rsid w:val="008D1C45"/>
    <w:rsid w:val="008D1DE2"/>
    <w:rsid w:val="008D44DD"/>
    <w:rsid w:val="008D4814"/>
    <w:rsid w:val="008D5EA6"/>
    <w:rsid w:val="008D6976"/>
    <w:rsid w:val="008D7966"/>
    <w:rsid w:val="008E0981"/>
    <w:rsid w:val="008E0BDC"/>
    <w:rsid w:val="008E2748"/>
    <w:rsid w:val="008E37C3"/>
    <w:rsid w:val="008E3D43"/>
    <w:rsid w:val="008E6310"/>
    <w:rsid w:val="008E76B2"/>
    <w:rsid w:val="008F22DF"/>
    <w:rsid w:val="008F348D"/>
    <w:rsid w:val="008F5915"/>
    <w:rsid w:val="008F68E6"/>
    <w:rsid w:val="008F7ED4"/>
    <w:rsid w:val="009042B2"/>
    <w:rsid w:val="00905EE7"/>
    <w:rsid w:val="00907414"/>
    <w:rsid w:val="00907D31"/>
    <w:rsid w:val="0091398C"/>
    <w:rsid w:val="009148B4"/>
    <w:rsid w:val="009173AC"/>
    <w:rsid w:val="009178B6"/>
    <w:rsid w:val="00917DA2"/>
    <w:rsid w:val="00920552"/>
    <w:rsid w:val="009205AF"/>
    <w:rsid w:val="00925993"/>
    <w:rsid w:val="00930132"/>
    <w:rsid w:val="00930D4E"/>
    <w:rsid w:val="00931911"/>
    <w:rsid w:val="00932857"/>
    <w:rsid w:val="009363FF"/>
    <w:rsid w:val="0093688A"/>
    <w:rsid w:val="00937C77"/>
    <w:rsid w:val="00943667"/>
    <w:rsid w:val="00944B83"/>
    <w:rsid w:val="00944E01"/>
    <w:rsid w:val="00950CB7"/>
    <w:rsid w:val="00951C2A"/>
    <w:rsid w:val="00951EA7"/>
    <w:rsid w:val="009527AE"/>
    <w:rsid w:val="0095289A"/>
    <w:rsid w:val="0095480D"/>
    <w:rsid w:val="00957C0B"/>
    <w:rsid w:val="00962401"/>
    <w:rsid w:val="009643B7"/>
    <w:rsid w:val="009659DF"/>
    <w:rsid w:val="0096683E"/>
    <w:rsid w:val="009673AA"/>
    <w:rsid w:val="009720E5"/>
    <w:rsid w:val="00973FAA"/>
    <w:rsid w:val="0097559E"/>
    <w:rsid w:val="009768BA"/>
    <w:rsid w:val="00977BFB"/>
    <w:rsid w:val="009805D1"/>
    <w:rsid w:val="00983A0C"/>
    <w:rsid w:val="00984817"/>
    <w:rsid w:val="0098562A"/>
    <w:rsid w:val="00985941"/>
    <w:rsid w:val="009875F1"/>
    <w:rsid w:val="009939C2"/>
    <w:rsid w:val="00993DEF"/>
    <w:rsid w:val="009949CF"/>
    <w:rsid w:val="009951D1"/>
    <w:rsid w:val="009967DA"/>
    <w:rsid w:val="00996A28"/>
    <w:rsid w:val="009A1343"/>
    <w:rsid w:val="009A244B"/>
    <w:rsid w:val="009A293F"/>
    <w:rsid w:val="009A29FA"/>
    <w:rsid w:val="009A3301"/>
    <w:rsid w:val="009A4CF8"/>
    <w:rsid w:val="009A565B"/>
    <w:rsid w:val="009A7E7C"/>
    <w:rsid w:val="009B07E5"/>
    <w:rsid w:val="009B08C9"/>
    <w:rsid w:val="009B2BD5"/>
    <w:rsid w:val="009B415F"/>
    <w:rsid w:val="009C0248"/>
    <w:rsid w:val="009C1CC3"/>
    <w:rsid w:val="009C6862"/>
    <w:rsid w:val="009C69D1"/>
    <w:rsid w:val="009D04F8"/>
    <w:rsid w:val="009D13BE"/>
    <w:rsid w:val="009D18FC"/>
    <w:rsid w:val="009D27F9"/>
    <w:rsid w:val="009D5542"/>
    <w:rsid w:val="009D5614"/>
    <w:rsid w:val="009D6BAB"/>
    <w:rsid w:val="009D7365"/>
    <w:rsid w:val="009D7C4C"/>
    <w:rsid w:val="009E0D5D"/>
    <w:rsid w:val="009E0DBB"/>
    <w:rsid w:val="009E3ABE"/>
    <w:rsid w:val="009E5530"/>
    <w:rsid w:val="009F1238"/>
    <w:rsid w:val="009F1578"/>
    <w:rsid w:val="009F3EB9"/>
    <w:rsid w:val="009F4403"/>
    <w:rsid w:val="009F4ED2"/>
    <w:rsid w:val="009F7C41"/>
    <w:rsid w:val="00A002B2"/>
    <w:rsid w:val="00A0390D"/>
    <w:rsid w:val="00A040B2"/>
    <w:rsid w:val="00A04FA7"/>
    <w:rsid w:val="00A05877"/>
    <w:rsid w:val="00A05B14"/>
    <w:rsid w:val="00A05CB3"/>
    <w:rsid w:val="00A10C8D"/>
    <w:rsid w:val="00A10DCB"/>
    <w:rsid w:val="00A11010"/>
    <w:rsid w:val="00A121BE"/>
    <w:rsid w:val="00A124BD"/>
    <w:rsid w:val="00A12B26"/>
    <w:rsid w:val="00A1740D"/>
    <w:rsid w:val="00A2102A"/>
    <w:rsid w:val="00A21250"/>
    <w:rsid w:val="00A237CC"/>
    <w:rsid w:val="00A239E9"/>
    <w:rsid w:val="00A24E7E"/>
    <w:rsid w:val="00A263AC"/>
    <w:rsid w:val="00A26FDC"/>
    <w:rsid w:val="00A305C0"/>
    <w:rsid w:val="00A30B2F"/>
    <w:rsid w:val="00A30CA2"/>
    <w:rsid w:val="00A311EC"/>
    <w:rsid w:val="00A31F47"/>
    <w:rsid w:val="00A3271C"/>
    <w:rsid w:val="00A34814"/>
    <w:rsid w:val="00A3563F"/>
    <w:rsid w:val="00A35EB9"/>
    <w:rsid w:val="00A37834"/>
    <w:rsid w:val="00A379D0"/>
    <w:rsid w:val="00A406C2"/>
    <w:rsid w:val="00A40702"/>
    <w:rsid w:val="00A40E79"/>
    <w:rsid w:val="00A41D2C"/>
    <w:rsid w:val="00A438DA"/>
    <w:rsid w:val="00A45CA9"/>
    <w:rsid w:val="00A50F2A"/>
    <w:rsid w:val="00A546B5"/>
    <w:rsid w:val="00A549C7"/>
    <w:rsid w:val="00A54B77"/>
    <w:rsid w:val="00A554CC"/>
    <w:rsid w:val="00A554D4"/>
    <w:rsid w:val="00A57BEE"/>
    <w:rsid w:val="00A60798"/>
    <w:rsid w:val="00A608A2"/>
    <w:rsid w:val="00A60BEC"/>
    <w:rsid w:val="00A61431"/>
    <w:rsid w:val="00A61580"/>
    <w:rsid w:val="00A62057"/>
    <w:rsid w:val="00A62BBD"/>
    <w:rsid w:val="00A634BA"/>
    <w:rsid w:val="00A6586C"/>
    <w:rsid w:val="00A6719F"/>
    <w:rsid w:val="00A72917"/>
    <w:rsid w:val="00A738DB"/>
    <w:rsid w:val="00A752C3"/>
    <w:rsid w:val="00A76331"/>
    <w:rsid w:val="00A7654D"/>
    <w:rsid w:val="00A76AD3"/>
    <w:rsid w:val="00A778EF"/>
    <w:rsid w:val="00A77C9F"/>
    <w:rsid w:val="00A802A9"/>
    <w:rsid w:val="00A80C22"/>
    <w:rsid w:val="00A81D00"/>
    <w:rsid w:val="00A8239E"/>
    <w:rsid w:val="00A82C5F"/>
    <w:rsid w:val="00A8559F"/>
    <w:rsid w:val="00A85621"/>
    <w:rsid w:val="00A857C9"/>
    <w:rsid w:val="00A866B8"/>
    <w:rsid w:val="00A91389"/>
    <w:rsid w:val="00A9727D"/>
    <w:rsid w:val="00A97298"/>
    <w:rsid w:val="00A97EE7"/>
    <w:rsid w:val="00AA0104"/>
    <w:rsid w:val="00AA267E"/>
    <w:rsid w:val="00AA5D4F"/>
    <w:rsid w:val="00AB0BBD"/>
    <w:rsid w:val="00AB0D0F"/>
    <w:rsid w:val="00AB3114"/>
    <w:rsid w:val="00AB3259"/>
    <w:rsid w:val="00AB396A"/>
    <w:rsid w:val="00AB3C56"/>
    <w:rsid w:val="00AB3E03"/>
    <w:rsid w:val="00AB6449"/>
    <w:rsid w:val="00AB64A7"/>
    <w:rsid w:val="00AC04BB"/>
    <w:rsid w:val="00AC2041"/>
    <w:rsid w:val="00AC2C84"/>
    <w:rsid w:val="00AC32F5"/>
    <w:rsid w:val="00AC4303"/>
    <w:rsid w:val="00AC4B47"/>
    <w:rsid w:val="00AC4CF0"/>
    <w:rsid w:val="00AC6350"/>
    <w:rsid w:val="00AC75DC"/>
    <w:rsid w:val="00AD10B5"/>
    <w:rsid w:val="00AD2F37"/>
    <w:rsid w:val="00AD374F"/>
    <w:rsid w:val="00AD3B5E"/>
    <w:rsid w:val="00AD54DB"/>
    <w:rsid w:val="00AD5C27"/>
    <w:rsid w:val="00AD64EA"/>
    <w:rsid w:val="00AE1A42"/>
    <w:rsid w:val="00AE2702"/>
    <w:rsid w:val="00AE4737"/>
    <w:rsid w:val="00AE5580"/>
    <w:rsid w:val="00AE583A"/>
    <w:rsid w:val="00AE5B90"/>
    <w:rsid w:val="00AE5EDF"/>
    <w:rsid w:val="00AE6670"/>
    <w:rsid w:val="00AE7410"/>
    <w:rsid w:val="00AE7D1E"/>
    <w:rsid w:val="00AF1121"/>
    <w:rsid w:val="00AF28F1"/>
    <w:rsid w:val="00AF72A3"/>
    <w:rsid w:val="00AF74B0"/>
    <w:rsid w:val="00AF76D5"/>
    <w:rsid w:val="00AF7C96"/>
    <w:rsid w:val="00B00592"/>
    <w:rsid w:val="00B014AA"/>
    <w:rsid w:val="00B0201E"/>
    <w:rsid w:val="00B02197"/>
    <w:rsid w:val="00B03FC2"/>
    <w:rsid w:val="00B0442F"/>
    <w:rsid w:val="00B044AE"/>
    <w:rsid w:val="00B04AD9"/>
    <w:rsid w:val="00B0751F"/>
    <w:rsid w:val="00B12ADD"/>
    <w:rsid w:val="00B12BB4"/>
    <w:rsid w:val="00B146CB"/>
    <w:rsid w:val="00B14D49"/>
    <w:rsid w:val="00B15324"/>
    <w:rsid w:val="00B16C4D"/>
    <w:rsid w:val="00B215D7"/>
    <w:rsid w:val="00B22EE5"/>
    <w:rsid w:val="00B232F6"/>
    <w:rsid w:val="00B23442"/>
    <w:rsid w:val="00B26D2F"/>
    <w:rsid w:val="00B27AA1"/>
    <w:rsid w:val="00B3112C"/>
    <w:rsid w:val="00B33686"/>
    <w:rsid w:val="00B33CDB"/>
    <w:rsid w:val="00B34696"/>
    <w:rsid w:val="00B36484"/>
    <w:rsid w:val="00B37CD6"/>
    <w:rsid w:val="00B41C57"/>
    <w:rsid w:val="00B420FC"/>
    <w:rsid w:val="00B42F1B"/>
    <w:rsid w:val="00B46E65"/>
    <w:rsid w:val="00B50CF8"/>
    <w:rsid w:val="00B51190"/>
    <w:rsid w:val="00B51AE2"/>
    <w:rsid w:val="00B52143"/>
    <w:rsid w:val="00B543B5"/>
    <w:rsid w:val="00B57046"/>
    <w:rsid w:val="00B5778A"/>
    <w:rsid w:val="00B60932"/>
    <w:rsid w:val="00B6203C"/>
    <w:rsid w:val="00B62237"/>
    <w:rsid w:val="00B62340"/>
    <w:rsid w:val="00B6294F"/>
    <w:rsid w:val="00B64364"/>
    <w:rsid w:val="00B64B07"/>
    <w:rsid w:val="00B64EB7"/>
    <w:rsid w:val="00B67DE1"/>
    <w:rsid w:val="00B70F22"/>
    <w:rsid w:val="00B71030"/>
    <w:rsid w:val="00B715FF"/>
    <w:rsid w:val="00B72F90"/>
    <w:rsid w:val="00B73C43"/>
    <w:rsid w:val="00B761FF"/>
    <w:rsid w:val="00B77005"/>
    <w:rsid w:val="00B81269"/>
    <w:rsid w:val="00B81FB3"/>
    <w:rsid w:val="00B846A2"/>
    <w:rsid w:val="00B848DC"/>
    <w:rsid w:val="00B90471"/>
    <w:rsid w:val="00B90AE2"/>
    <w:rsid w:val="00B91EDE"/>
    <w:rsid w:val="00B920FA"/>
    <w:rsid w:val="00B932AC"/>
    <w:rsid w:val="00B93D2E"/>
    <w:rsid w:val="00B94743"/>
    <w:rsid w:val="00B949C0"/>
    <w:rsid w:val="00B949E0"/>
    <w:rsid w:val="00B94A36"/>
    <w:rsid w:val="00BA0A53"/>
    <w:rsid w:val="00BA1D14"/>
    <w:rsid w:val="00BA248E"/>
    <w:rsid w:val="00BA28F9"/>
    <w:rsid w:val="00BA2B7C"/>
    <w:rsid w:val="00BA2D5F"/>
    <w:rsid w:val="00BA2F61"/>
    <w:rsid w:val="00BA32F1"/>
    <w:rsid w:val="00BA699A"/>
    <w:rsid w:val="00BA6AD7"/>
    <w:rsid w:val="00BA7EF2"/>
    <w:rsid w:val="00BB03F1"/>
    <w:rsid w:val="00BB1DCF"/>
    <w:rsid w:val="00BB3E60"/>
    <w:rsid w:val="00BB4210"/>
    <w:rsid w:val="00BB425C"/>
    <w:rsid w:val="00BB7373"/>
    <w:rsid w:val="00BC05DE"/>
    <w:rsid w:val="00BC08AA"/>
    <w:rsid w:val="00BC2986"/>
    <w:rsid w:val="00BC4040"/>
    <w:rsid w:val="00BC4754"/>
    <w:rsid w:val="00BC488E"/>
    <w:rsid w:val="00BC4E55"/>
    <w:rsid w:val="00BD262C"/>
    <w:rsid w:val="00BD2982"/>
    <w:rsid w:val="00BD3681"/>
    <w:rsid w:val="00BD4D35"/>
    <w:rsid w:val="00BD7AD8"/>
    <w:rsid w:val="00BE29D9"/>
    <w:rsid w:val="00BE2A20"/>
    <w:rsid w:val="00BE2DF2"/>
    <w:rsid w:val="00BE3106"/>
    <w:rsid w:val="00BE55DC"/>
    <w:rsid w:val="00BE5DF1"/>
    <w:rsid w:val="00BE6AD3"/>
    <w:rsid w:val="00BF35FF"/>
    <w:rsid w:val="00BF3C7B"/>
    <w:rsid w:val="00BF4602"/>
    <w:rsid w:val="00BF5F0E"/>
    <w:rsid w:val="00BF6B6C"/>
    <w:rsid w:val="00BF6D6A"/>
    <w:rsid w:val="00C00A73"/>
    <w:rsid w:val="00C0177A"/>
    <w:rsid w:val="00C02412"/>
    <w:rsid w:val="00C02EA8"/>
    <w:rsid w:val="00C05576"/>
    <w:rsid w:val="00C05C65"/>
    <w:rsid w:val="00C05EF3"/>
    <w:rsid w:val="00C064C8"/>
    <w:rsid w:val="00C10D9D"/>
    <w:rsid w:val="00C115C2"/>
    <w:rsid w:val="00C11AB0"/>
    <w:rsid w:val="00C1216D"/>
    <w:rsid w:val="00C1257C"/>
    <w:rsid w:val="00C127FA"/>
    <w:rsid w:val="00C13EC6"/>
    <w:rsid w:val="00C15DB5"/>
    <w:rsid w:val="00C16318"/>
    <w:rsid w:val="00C1659D"/>
    <w:rsid w:val="00C16C1C"/>
    <w:rsid w:val="00C2062C"/>
    <w:rsid w:val="00C207DA"/>
    <w:rsid w:val="00C20F7C"/>
    <w:rsid w:val="00C213C2"/>
    <w:rsid w:val="00C217DF"/>
    <w:rsid w:val="00C227EC"/>
    <w:rsid w:val="00C238D8"/>
    <w:rsid w:val="00C24FE9"/>
    <w:rsid w:val="00C263F4"/>
    <w:rsid w:val="00C31329"/>
    <w:rsid w:val="00C31441"/>
    <w:rsid w:val="00C314A9"/>
    <w:rsid w:val="00C328CC"/>
    <w:rsid w:val="00C33215"/>
    <w:rsid w:val="00C34E35"/>
    <w:rsid w:val="00C375BA"/>
    <w:rsid w:val="00C409A5"/>
    <w:rsid w:val="00C40B14"/>
    <w:rsid w:val="00C41D5E"/>
    <w:rsid w:val="00C44F77"/>
    <w:rsid w:val="00C45B5E"/>
    <w:rsid w:val="00C46294"/>
    <w:rsid w:val="00C46F97"/>
    <w:rsid w:val="00C471C4"/>
    <w:rsid w:val="00C50D1C"/>
    <w:rsid w:val="00C50FF3"/>
    <w:rsid w:val="00C51F57"/>
    <w:rsid w:val="00C534C4"/>
    <w:rsid w:val="00C5647F"/>
    <w:rsid w:val="00C56A46"/>
    <w:rsid w:val="00C57E87"/>
    <w:rsid w:val="00C646A8"/>
    <w:rsid w:val="00C6547C"/>
    <w:rsid w:val="00C6566B"/>
    <w:rsid w:val="00C66147"/>
    <w:rsid w:val="00C663C0"/>
    <w:rsid w:val="00C671BA"/>
    <w:rsid w:val="00C67810"/>
    <w:rsid w:val="00C72800"/>
    <w:rsid w:val="00C7511F"/>
    <w:rsid w:val="00C7645F"/>
    <w:rsid w:val="00C76B8E"/>
    <w:rsid w:val="00C80B2D"/>
    <w:rsid w:val="00C80DDE"/>
    <w:rsid w:val="00C8199C"/>
    <w:rsid w:val="00C840D8"/>
    <w:rsid w:val="00C84714"/>
    <w:rsid w:val="00C84E10"/>
    <w:rsid w:val="00C85349"/>
    <w:rsid w:val="00C86AF1"/>
    <w:rsid w:val="00C87D99"/>
    <w:rsid w:val="00C87F46"/>
    <w:rsid w:val="00C901C6"/>
    <w:rsid w:val="00C9029F"/>
    <w:rsid w:val="00C9039F"/>
    <w:rsid w:val="00C923AD"/>
    <w:rsid w:val="00C92477"/>
    <w:rsid w:val="00C92A32"/>
    <w:rsid w:val="00C92DE4"/>
    <w:rsid w:val="00C94113"/>
    <w:rsid w:val="00C96051"/>
    <w:rsid w:val="00C9668B"/>
    <w:rsid w:val="00C96C49"/>
    <w:rsid w:val="00CA0694"/>
    <w:rsid w:val="00CA0FFF"/>
    <w:rsid w:val="00CA1EE9"/>
    <w:rsid w:val="00CA27B7"/>
    <w:rsid w:val="00CA2E95"/>
    <w:rsid w:val="00CA7572"/>
    <w:rsid w:val="00CA7F74"/>
    <w:rsid w:val="00CB0C32"/>
    <w:rsid w:val="00CB1248"/>
    <w:rsid w:val="00CB16D2"/>
    <w:rsid w:val="00CB1DFC"/>
    <w:rsid w:val="00CB1E3F"/>
    <w:rsid w:val="00CB2D65"/>
    <w:rsid w:val="00CB6246"/>
    <w:rsid w:val="00CC0759"/>
    <w:rsid w:val="00CC3160"/>
    <w:rsid w:val="00CC5A0A"/>
    <w:rsid w:val="00CC5B56"/>
    <w:rsid w:val="00CC6953"/>
    <w:rsid w:val="00CC72FB"/>
    <w:rsid w:val="00CD2A69"/>
    <w:rsid w:val="00CD2BAD"/>
    <w:rsid w:val="00CD2DBF"/>
    <w:rsid w:val="00CD4E24"/>
    <w:rsid w:val="00CD6207"/>
    <w:rsid w:val="00CD7298"/>
    <w:rsid w:val="00CD72A6"/>
    <w:rsid w:val="00CE0486"/>
    <w:rsid w:val="00CE1AA9"/>
    <w:rsid w:val="00CE39B8"/>
    <w:rsid w:val="00CE4A83"/>
    <w:rsid w:val="00CE4BBF"/>
    <w:rsid w:val="00CE525E"/>
    <w:rsid w:val="00CF1591"/>
    <w:rsid w:val="00CF1689"/>
    <w:rsid w:val="00CF4344"/>
    <w:rsid w:val="00CF5164"/>
    <w:rsid w:val="00CF55E6"/>
    <w:rsid w:val="00CF5B88"/>
    <w:rsid w:val="00CF72D7"/>
    <w:rsid w:val="00CF7780"/>
    <w:rsid w:val="00D00689"/>
    <w:rsid w:val="00D014A6"/>
    <w:rsid w:val="00D015A4"/>
    <w:rsid w:val="00D02F69"/>
    <w:rsid w:val="00D033FB"/>
    <w:rsid w:val="00D044FB"/>
    <w:rsid w:val="00D057AE"/>
    <w:rsid w:val="00D108BF"/>
    <w:rsid w:val="00D1092B"/>
    <w:rsid w:val="00D11DB8"/>
    <w:rsid w:val="00D1423F"/>
    <w:rsid w:val="00D14534"/>
    <w:rsid w:val="00D15F2D"/>
    <w:rsid w:val="00D167D0"/>
    <w:rsid w:val="00D174E3"/>
    <w:rsid w:val="00D177A0"/>
    <w:rsid w:val="00D20092"/>
    <w:rsid w:val="00D2293A"/>
    <w:rsid w:val="00D22E65"/>
    <w:rsid w:val="00D22EAF"/>
    <w:rsid w:val="00D23606"/>
    <w:rsid w:val="00D2430E"/>
    <w:rsid w:val="00D251B7"/>
    <w:rsid w:val="00D2717B"/>
    <w:rsid w:val="00D3078B"/>
    <w:rsid w:val="00D3118E"/>
    <w:rsid w:val="00D31979"/>
    <w:rsid w:val="00D32E8F"/>
    <w:rsid w:val="00D34BC5"/>
    <w:rsid w:val="00D36BA1"/>
    <w:rsid w:val="00D36C76"/>
    <w:rsid w:val="00D37F07"/>
    <w:rsid w:val="00D41BB8"/>
    <w:rsid w:val="00D444E3"/>
    <w:rsid w:val="00D507A3"/>
    <w:rsid w:val="00D50850"/>
    <w:rsid w:val="00D52AFA"/>
    <w:rsid w:val="00D54285"/>
    <w:rsid w:val="00D5566B"/>
    <w:rsid w:val="00D57F24"/>
    <w:rsid w:val="00D6102D"/>
    <w:rsid w:val="00D6258D"/>
    <w:rsid w:val="00D63381"/>
    <w:rsid w:val="00D63FE3"/>
    <w:rsid w:val="00D643F8"/>
    <w:rsid w:val="00D67892"/>
    <w:rsid w:val="00D7119E"/>
    <w:rsid w:val="00D713FF"/>
    <w:rsid w:val="00D71BF6"/>
    <w:rsid w:val="00D744A5"/>
    <w:rsid w:val="00D7590F"/>
    <w:rsid w:val="00D75ED8"/>
    <w:rsid w:val="00D762A0"/>
    <w:rsid w:val="00D83141"/>
    <w:rsid w:val="00D853E5"/>
    <w:rsid w:val="00D85656"/>
    <w:rsid w:val="00D8730A"/>
    <w:rsid w:val="00D92519"/>
    <w:rsid w:val="00DA0143"/>
    <w:rsid w:val="00DA0378"/>
    <w:rsid w:val="00DA0EA5"/>
    <w:rsid w:val="00DA1664"/>
    <w:rsid w:val="00DA258B"/>
    <w:rsid w:val="00DA33AC"/>
    <w:rsid w:val="00DA4D73"/>
    <w:rsid w:val="00DB13D3"/>
    <w:rsid w:val="00DB62E8"/>
    <w:rsid w:val="00DB65A3"/>
    <w:rsid w:val="00DB6B58"/>
    <w:rsid w:val="00DB78FC"/>
    <w:rsid w:val="00DB7E4B"/>
    <w:rsid w:val="00DC0F37"/>
    <w:rsid w:val="00DC18AE"/>
    <w:rsid w:val="00DC57CD"/>
    <w:rsid w:val="00DC58F4"/>
    <w:rsid w:val="00DC5BFB"/>
    <w:rsid w:val="00DC6912"/>
    <w:rsid w:val="00DD2233"/>
    <w:rsid w:val="00DD242E"/>
    <w:rsid w:val="00DD28CD"/>
    <w:rsid w:val="00DD30D0"/>
    <w:rsid w:val="00DD37EB"/>
    <w:rsid w:val="00DD3EA6"/>
    <w:rsid w:val="00DD4258"/>
    <w:rsid w:val="00DD542A"/>
    <w:rsid w:val="00DD588C"/>
    <w:rsid w:val="00DD5CF9"/>
    <w:rsid w:val="00DD641C"/>
    <w:rsid w:val="00DE0022"/>
    <w:rsid w:val="00DE08B3"/>
    <w:rsid w:val="00DE0F7A"/>
    <w:rsid w:val="00DE1D8B"/>
    <w:rsid w:val="00DE251A"/>
    <w:rsid w:val="00DE29A8"/>
    <w:rsid w:val="00DE2C1D"/>
    <w:rsid w:val="00DE4533"/>
    <w:rsid w:val="00DE49E1"/>
    <w:rsid w:val="00DE596C"/>
    <w:rsid w:val="00DE7206"/>
    <w:rsid w:val="00DF0CB9"/>
    <w:rsid w:val="00DF172C"/>
    <w:rsid w:val="00DF3454"/>
    <w:rsid w:val="00DF423A"/>
    <w:rsid w:val="00DF5286"/>
    <w:rsid w:val="00DF571E"/>
    <w:rsid w:val="00DF698D"/>
    <w:rsid w:val="00DF7FFC"/>
    <w:rsid w:val="00E01D1F"/>
    <w:rsid w:val="00E055E6"/>
    <w:rsid w:val="00E05985"/>
    <w:rsid w:val="00E05B3F"/>
    <w:rsid w:val="00E06A0A"/>
    <w:rsid w:val="00E06A9D"/>
    <w:rsid w:val="00E07146"/>
    <w:rsid w:val="00E0783E"/>
    <w:rsid w:val="00E12C7D"/>
    <w:rsid w:val="00E15F80"/>
    <w:rsid w:val="00E1617A"/>
    <w:rsid w:val="00E219CC"/>
    <w:rsid w:val="00E21BB8"/>
    <w:rsid w:val="00E23775"/>
    <w:rsid w:val="00E238C6"/>
    <w:rsid w:val="00E26DB0"/>
    <w:rsid w:val="00E26E5B"/>
    <w:rsid w:val="00E277FE"/>
    <w:rsid w:val="00E279BB"/>
    <w:rsid w:val="00E315FC"/>
    <w:rsid w:val="00E348D1"/>
    <w:rsid w:val="00E352A5"/>
    <w:rsid w:val="00E35E2E"/>
    <w:rsid w:val="00E364A7"/>
    <w:rsid w:val="00E36B78"/>
    <w:rsid w:val="00E36F5D"/>
    <w:rsid w:val="00E40C21"/>
    <w:rsid w:val="00E40DD3"/>
    <w:rsid w:val="00E410F8"/>
    <w:rsid w:val="00E41313"/>
    <w:rsid w:val="00E42FFF"/>
    <w:rsid w:val="00E433F1"/>
    <w:rsid w:val="00E43BF5"/>
    <w:rsid w:val="00E442CC"/>
    <w:rsid w:val="00E46236"/>
    <w:rsid w:val="00E47469"/>
    <w:rsid w:val="00E5311D"/>
    <w:rsid w:val="00E570B7"/>
    <w:rsid w:val="00E57122"/>
    <w:rsid w:val="00E573AC"/>
    <w:rsid w:val="00E579E2"/>
    <w:rsid w:val="00E6120F"/>
    <w:rsid w:val="00E63092"/>
    <w:rsid w:val="00E6368F"/>
    <w:rsid w:val="00E63D5C"/>
    <w:rsid w:val="00E64167"/>
    <w:rsid w:val="00E65A88"/>
    <w:rsid w:val="00E65AC2"/>
    <w:rsid w:val="00E66116"/>
    <w:rsid w:val="00E666CA"/>
    <w:rsid w:val="00E74653"/>
    <w:rsid w:val="00E7489D"/>
    <w:rsid w:val="00E753E2"/>
    <w:rsid w:val="00E7548B"/>
    <w:rsid w:val="00E75C04"/>
    <w:rsid w:val="00E768ED"/>
    <w:rsid w:val="00E76C1B"/>
    <w:rsid w:val="00E7711C"/>
    <w:rsid w:val="00E773FF"/>
    <w:rsid w:val="00E77A3D"/>
    <w:rsid w:val="00E80627"/>
    <w:rsid w:val="00E817BE"/>
    <w:rsid w:val="00E82472"/>
    <w:rsid w:val="00E956CF"/>
    <w:rsid w:val="00E957A3"/>
    <w:rsid w:val="00EA114E"/>
    <w:rsid w:val="00EA1341"/>
    <w:rsid w:val="00EA1B2E"/>
    <w:rsid w:val="00EA1C66"/>
    <w:rsid w:val="00EA2DD2"/>
    <w:rsid w:val="00EA73F8"/>
    <w:rsid w:val="00EB4D1D"/>
    <w:rsid w:val="00EC0623"/>
    <w:rsid w:val="00EC07A6"/>
    <w:rsid w:val="00EC21BE"/>
    <w:rsid w:val="00EC3938"/>
    <w:rsid w:val="00EC4D13"/>
    <w:rsid w:val="00EC4DD4"/>
    <w:rsid w:val="00EC4F17"/>
    <w:rsid w:val="00EC643A"/>
    <w:rsid w:val="00EC6B5C"/>
    <w:rsid w:val="00EC71D8"/>
    <w:rsid w:val="00ED244D"/>
    <w:rsid w:val="00ED7ED8"/>
    <w:rsid w:val="00EE0E86"/>
    <w:rsid w:val="00EE172A"/>
    <w:rsid w:val="00EE26C4"/>
    <w:rsid w:val="00EE36E8"/>
    <w:rsid w:val="00EE49E7"/>
    <w:rsid w:val="00EE4A4F"/>
    <w:rsid w:val="00EE54B9"/>
    <w:rsid w:val="00EE5707"/>
    <w:rsid w:val="00EE5A67"/>
    <w:rsid w:val="00EE6A34"/>
    <w:rsid w:val="00EE6E46"/>
    <w:rsid w:val="00EF11B5"/>
    <w:rsid w:val="00EF4E2A"/>
    <w:rsid w:val="00EF53BF"/>
    <w:rsid w:val="00EF5E63"/>
    <w:rsid w:val="00EF6B9B"/>
    <w:rsid w:val="00EF7E9B"/>
    <w:rsid w:val="00F0134F"/>
    <w:rsid w:val="00F0366B"/>
    <w:rsid w:val="00F04440"/>
    <w:rsid w:val="00F05DDD"/>
    <w:rsid w:val="00F07D53"/>
    <w:rsid w:val="00F07DC3"/>
    <w:rsid w:val="00F07E01"/>
    <w:rsid w:val="00F1198E"/>
    <w:rsid w:val="00F11AEE"/>
    <w:rsid w:val="00F124B7"/>
    <w:rsid w:val="00F12B0C"/>
    <w:rsid w:val="00F12D52"/>
    <w:rsid w:val="00F13AC6"/>
    <w:rsid w:val="00F14231"/>
    <w:rsid w:val="00F147D8"/>
    <w:rsid w:val="00F14EA5"/>
    <w:rsid w:val="00F15CD5"/>
    <w:rsid w:val="00F16059"/>
    <w:rsid w:val="00F16393"/>
    <w:rsid w:val="00F17C14"/>
    <w:rsid w:val="00F20C42"/>
    <w:rsid w:val="00F210BE"/>
    <w:rsid w:val="00F23E69"/>
    <w:rsid w:val="00F240BD"/>
    <w:rsid w:val="00F2533F"/>
    <w:rsid w:val="00F30EEE"/>
    <w:rsid w:val="00F3483C"/>
    <w:rsid w:val="00F348CF"/>
    <w:rsid w:val="00F35E47"/>
    <w:rsid w:val="00F364CB"/>
    <w:rsid w:val="00F366A4"/>
    <w:rsid w:val="00F36D7A"/>
    <w:rsid w:val="00F37592"/>
    <w:rsid w:val="00F377B3"/>
    <w:rsid w:val="00F400A4"/>
    <w:rsid w:val="00F400EF"/>
    <w:rsid w:val="00F41EF2"/>
    <w:rsid w:val="00F42218"/>
    <w:rsid w:val="00F43D14"/>
    <w:rsid w:val="00F45ABD"/>
    <w:rsid w:val="00F46705"/>
    <w:rsid w:val="00F46CFF"/>
    <w:rsid w:val="00F47F82"/>
    <w:rsid w:val="00F50457"/>
    <w:rsid w:val="00F515E6"/>
    <w:rsid w:val="00F52BFF"/>
    <w:rsid w:val="00F538A1"/>
    <w:rsid w:val="00F53E64"/>
    <w:rsid w:val="00F53F46"/>
    <w:rsid w:val="00F540B3"/>
    <w:rsid w:val="00F545EB"/>
    <w:rsid w:val="00F55AD3"/>
    <w:rsid w:val="00F56218"/>
    <w:rsid w:val="00F56615"/>
    <w:rsid w:val="00F601E2"/>
    <w:rsid w:val="00F63AE3"/>
    <w:rsid w:val="00F645DF"/>
    <w:rsid w:val="00F66333"/>
    <w:rsid w:val="00F673DE"/>
    <w:rsid w:val="00F676E2"/>
    <w:rsid w:val="00F71556"/>
    <w:rsid w:val="00F71A48"/>
    <w:rsid w:val="00F72E68"/>
    <w:rsid w:val="00F73845"/>
    <w:rsid w:val="00F76366"/>
    <w:rsid w:val="00F82439"/>
    <w:rsid w:val="00F834B3"/>
    <w:rsid w:val="00F85300"/>
    <w:rsid w:val="00F86761"/>
    <w:rsid w:val="00F87AFD"/>
    <w:rsid w:val="00F87E6E"/>
    <w:rsid w:val="00F90B8D"/>
    <w:rsid w:val="00F92885"/>
    <w:rsid w:val="00F93070"/>
    <w:rsid w:val="00F93B56"/>
    <w:rsid w:val="00F95BEA"/>
    <w:rsid w:val="00F96123"/>
    <w:rsid w:val="00F967D7"/>
    <w:rsid w:val="00FA1B12"/>
    <w:rsid w:val="00FA1ED8"/>
    <w:rsid w:val="00FA37BA"/>
    <w:rsid w:val="00FB0353"/>
    <w:rsid w:val="00FB49DA"/>
    <w:rsid w:val="00FB5203"/>
    <w:rsid w:val="00FB5748"/>
    <w:rsid w:val="00FB5DAB"/>
    <w:rsid w:val="00FB67B6"/>
    <w:rsid w:val="00FB6ACA"/>
    <w:rsid w:val="00FC1535"/>
    <w:rsid w:val="00FC2C83"/>
    <w:rsid w:val="00FC2E31"/>
    <w:rsid w:val="00FC3883"/>
    <w:rsid w:val="00FC38F5"/>
    <w:rsid w:val="00FC3E07"/>
    <w:rsid w:val="00FC6061"/>
    <w:rsid w:val="00FC7517"/>
    <w:rsid w:val="00FD0EEF"/>
    <w:rsid w:val="00FD1232"/>
    <w:rsid w:val="00FD2908"/>
    <w:rsid w:val="00FD3A12"/>
    <w:rsid w:val="00FD3AC0"/>
    <w:rsid w:val="00FD56DD"/>
    <w:rsid w:val="00FD59F8"/>
    <w:rsid w:val="00FD662D"/>
    <w:rsid w:val="00FD766A"/>
    <w:rsid w:val="00FE0BAD"/>
    <w:rsid w:val="00FE0D43"/>
    <w:rsid w:val="00FE13CD"/>
    <w:rsid w:val="00FE19A6"/>
    <w:rsid w:val="00FE1E79"/>
    <w:rsid w:val="00FE5BFC"/>
    <w:rsid w:val="00FE77B6"/>
    <w:rsid w:val="00FF07F4"/>
    <w:rsid w:val="00FF2332"/>
    <w:rsid w:val="00FF2606"/>
    <w:rsid w:val="00FF302B"/>
    <w:rsid w:val="00FF385D"/>
    <w:rsid w:val="00FF4975"/>
    <w:rsid w:val="00FF4A25"/>
    <w:rsid w:val="00FF4D6B"/>
    <w:rsid w:val="00FF52CA"/>
    <w:rsid w:val="00FF5897"/>
    <w:rsid w:val="00FF5C5F"/>
    <w:rsid w:val="00FF5FE1"/>
    <w:rsid w:val="00FF65EC"/>
    <w:rsid w:val="00FF6A46"/>
    <w:rsid w:val="00FF7A53"/>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20151"/>
  <w15:docId w15:val="{838A2546-6645-C048-B554-7A11F42E7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1"/>
        <w:sz w:val="22"/>
        <w:szCs w:val="22"/>
        <w:lang w:val="en-AU" w:eastAsia="en-US" w:bidi="ar-SA"/>
      </w:rPr>
    </w:rPrDefault>
    <w:pPrDefault>
      <w:pPr>
        <w:spacing w:before="120" w:after="12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433"/>
    <w:pPr>
      <w:keepLines/>
    </w:pPr>
  </w:style>
  <w:style w:type="paragraph" w:styleId="Heading1">
    <w:name w:val="heading 1"/>
    <w:basedOn w:val="Normal"/>
    <w:next w:val="Normal"/>
    <w:link w:val="Heading1Char"/>
    <w:uiPriority w:val="9"/>
    <w:qFormat/>
    <w:rsid w:val="00DD37EB"/>
    <w:pPr>
      <w:keepNext/>
      <w:pageBreakBefore/>
      <w:spacing w:before="0" w:after="360"/>
      <w:contextualSpacing/>
      <w:outlineLvl w:val="0"/>
    </w:pPr>
    <w:rPr>
      <w:rFonts w:asciiTheme="majorHAnsi" w:hAnsiTheme="majorHAnsi"/>
      <w:sz w:val="52"/>
      <w:szCs w:val="44"/>
    </w:rPr>
  </w:style>
  <w:style w:type="paragraph" w:styleId="Heading2">
    <w:name w:val="heading 2"/>
    <w:basedOn w:val="Normal"/>
    <w:next w:val="Normal"/>
    <w:link w:val="Heading2Char"/>
    <w:uiPriority w:val="9"/>
    <w:qFormat/>
    <w:rsid w:val="00DF423A"/>
    <w:pPr>
      <w:keepNext/>
      <w:spacing w:before="480" w:after="240"/>
      <w:ind w:left="454" w:hanging="454"/>
      <w:contextualSpacing/>
      <w:outlineLvl w:val="1"/>
    </w:pPr>
    <w:rPr>
      <w:rFonts w:asciiTheme="majorHAnsi" w:hAnsiTheme="majorHAnsi" w:cstheme="majorHAnsi"/>
      <w:b/>
      <w:sz w:val="30"/>
      <w:szCs w:val="30"/>
    </w:rPr>
  </w:style>
  <w:style w:type="paragraph" w:styleId="Heading3">
    <w:name w:val="heading 3"/>
    <w:basedOn w:val="Normal"/>
    <w:next w:val="Normal"/>
    <w:link w:val="Heading3Char"/>
    <w:uiPriority w:val="9"/>
    <w:qFormat/>
    <w:rsid w:val="006454C7"/>
    <w:pPr>
      <w:keepNext/>
      <w:spacing w:before="240"/>
      <w:contextualSpacing/>
      <w:outlineLvl w:val="2"/>
    </w:pPr>
    <w:rPr>
      <w:rFonts w:asciiTheme="majorHAnsi" w:hAnsiTheme="majorHAnsi"/>
      <w:b/>
      <w:color w:val="auto"/>
      <w:sz w:val="26"/>
    </w:rPr>
  </w:style>
  <w:style w:type="paragraph" w:styleId="Heading4">
    <w:name w:val="heading 4"/>
    <w:basedOn w:val="Normal"/>
    <w:next w:val="Normal"/>
    <w:link w:val="Heading4Char"/>
    <w:autoRedefine/>
    <w:uiPriority w:val="9"/>
    <w:qFormat/>
    <w:rsid w:val="00DD4258"/>
    <w:pPr>
      <w:keepNext/>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DD4258"/>
    <w:pPr>
      <w:keepNext/>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autoRedefine/>
    <w:uiPriority w:val="9"/>
    <w:qFormat/>
    <w:rsid w:val="00DD4258"/>
    <w:pPr>
      <w:keepNext/>
      <w:spacing w:before="240"/>
      <w:contextualSpacing/>
      <w:outlineLvl w:val="5"/>
    </w:pPr>
    <w:rPr>
      <w:rFonts w:asciiTheme="majorHAnsi" w:eastAsiaTheme="majorEastAsia" w:hAnsiTheme="majorHAnsi" w:cstheme="majorBidi"/>
      <w:b/>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EDS Plain"/>
    <w:basedOn w:val="TableNormal"/>
    <w:rsid w:val="003A0DCA"/>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cantSplit/>
        <w:tblHeader/>
      </w:trPr>
      <w:tcPr>
        <w:shd w:val="clear" w:color="auto" w:fill="D9D9D9" w:themeFill="background1" w:themeFillShade="D9"/>
      </w:tcPr>
    </w:tblStylePr>
  </w:style>
  <w:style w:type="paragraph" w:styleId="Subtitle">
    <w:name w:val="Subtitle"/>
    <w:basedOn w:val="Title"/>
    <w:link w:val="SubtitleChar"/>
    <w:uiPriority w:val="18"/>
    <w:qFormat/>
    <w:rsid w:val="00062BA3"/>
    <w:pPr>
      <w:framePr w:wrap="around"/>
      <w:spacing w:after="0"/>
    </w:pPr>
    <w:rPr>
      <w:sz w:val="32"/>
      <w:szCs w:val="24"/>
    </w:rPr>
  </w:style>
  <w:style w:type="character" w:customStyle="1" w:styleId="SubtitleChar">
    <w:name w:val="Subtitle Char"/>
    <w:basedOn w:val="DefaultParagraphFont"/>
    <w:link w:val="Subtitle"/>
    <w:uiPriority w:val="18"/>
    <w:rsid w:val="00062BA3"/>
    <w:rPr>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FC7517"/>
    <w:pPr>
      <w:tabs>
        <w:tab w:val="center" w:pos="4513"/>
        <w:tab w:val="right" w:pos="9026"/>
      </w:tabs>
      <w:spacing w:before="0" w:after="0" w:line="240" w:lineRule="auto"/>
    </w:pPr>
    <w:rPr>
      <w:sz w:val="20"/>
    </w:rPr>
  </w:style>
  <w:style w:type="character" w:customStyle="1" w:styleId="HeaderChar">
    <w:name w:val="Header Char"/>
    <w:basedOn w:val="DefaultParagraphFont"/>
    <w:link w:val="Header"/>
    <w:uiPriority w:val="99"/>
    <w:rsid w:val="00FC7517"/>
    <w:rPr>
      <w:sz w:val="20"/>
    </w:rPr>
  </w:style>
  <w:style w:type="paragraph" w:styleId="Footer">
    <w:name w:val="footer"/>
    <w:basedOn w:val="Normal"/>
    <w:link w:val="FooterChar"/>
    <w:uiPriority w:val="99"/>
    <w:unhideWhenUsed/>
    <w:rsid w:val="00E74653"/>
    <w:pPr>
      <w:tabs>
        <w:tab w:val="right" w:pos="10206"/>
      </w:tabs>
      <w:spacing w:before="0" w:after="0" w:line="240" w:lineRule="auto"/>
    </w:pPr>
    <w:rPr>
      <w:sz w:val="18"/>
    </w:rPr>
  </w:style>
  <w:style w:type="character" w:customStyle="1" w:styleId="FooterChar">
    <w:name w:val="Footer Char"/>
    <w:basedOn w:val="DefaultParagraphFont"/>
    <w:link w:val="Footer"/>
    <w:uiPriority w:val="99"/>
    <w:rsid w:val="00E74653"/>
    <w:rPr>
      <w:sz w:val="18"/>
    </w:rPr>
  </w:style>
  <w:style w:type="paragraph" w:styleId="Title">
    <w:name w:val="Title"/>
    <w:basedOn w:val="Normal"/>
    <w:link w:val="TitleChar"/>
    <w:uiPriority w:val="17"/>
    <w:qFormat/>
    <w:rsid w:val="00062BA3"/>
    <w:pPr>
      <w:framePr w:w="6917" w:h="5670" w:hRule="exact" w:wrap="around" w:vAnchor="page" w:hAnchor="page" w:x="1022" w:y="4821"/>
      <w:spacing w:before="0" w:after="425" w:line="240" w:lineRule="auto"/>
    </w:pPr>
    <w:rPr>
      <w:sz w:val="72"/>
      <w:szCs w:val="82"/>
    </w:rPr>
  </w:style>
  <w:style w:type="character" w:customStyle="1" w:styleId="TitleChar">
    <w:name w:val="Title Char"/>
    <w:basedOn w:val="DefaultParagraphFont"/>
    <w:link w:val="Title"/>
    <w:uiPriority w:val="17"/>
    <w:rsid w:val="00062BA3"/>
    <w:rPr>
      <w:sz w:val="72"/>
      <w:szCs w:val="82"/>
    </w:rPr>
  </w:style>
  <w:style w:type="paragraph" w:customStyle="1" w:styleId="Address">
    <w:name w:val="Address"/>
    <w:basedOn w:val="Normal"/>
    <w:semiHidden/>
    <w:rsid w:val="00191178"/>
    <w:pPr>
      <w:spacing w:before="0" w:after="0"/>
    </w:pPr>
    <w:rPr>
      <w:b/>
      <w:color w:val="421A75" w:themeColor="accent1"/>
    </w:rPr>
  </w:style>
  <w:style w:type="character" w:customStyle="1" w:styleId="Heading1Char">
    <w:name w:val="Heading 1 Char"/>
    <w:basedOn w:val="DefaultParagraphFont"/>
    <w:link w:val="Heading1"/>
    <w:uiPriority w:val="9"/>
    <w:rsid w:val="00DD37EB"/>
    <w:rPr>
      <w:rFonts w:asciiTheme="majorHAnsi" w:hAnsiTheme="majorHAnsi"/>
      <w:sz w:val="52"/>
      <w:szCs w:val="44"/>
    </w:rPr>
  </w:style>
  <w:style w:type="character" w:customStyle="1" w:styleId="Heading2Char">
    <w:name w:val="Heading 2 Char"/>
    <w:basedOn w:val="DefaultParagraphFont"/>
    <w:link w:val="Heading2"/>
    <w:uiPriority w:val="9"/>
    <w:rsid w:val="00DF423A"/>
    <w:rPr>
      <w:rFonts w:asciiTheme="majorHAnsi" w:hAnsiTheme="majorHAnsi" w:cstheme="majorHAnsi"/>
      <w:b/>
      <w:sz w:val="30"/>
      <w:szCs w:val="30"/>
    </w:rPr>
  </w:style>
  <w:style w:type="character" w:customStyle="1" w:styleId="Heading3Char">
    <w:name w:val="Heading 3 Char"/>
    <w:basedOn w:val="DefaultParagraphFont"/>
    <w:link w:val="Heading3"/>
    <w:uiPriority w:val="9"/>
    <w:rsid w:val="006454C7"/>
    <w:rPr>
      <w:rFonts w:asciiTheme="majorHAnsi" w:hAnsiTheme="majorHAnsi"/>
      <w:b/>
      <w:color w:val="auto"/>
      <w:sz w:val="26"/>
    </w:rPr>
  </w:style>
  <w:style w:type="paragraph" w:styleId="TOCHeading">
    <w:name w:val="TOC Heading"/>
    <w:basedOn w:val="Heading1"/>
    <w:next w:val="Normal"/>
    <w:uiPriority w:val="39"/>
    <w:rsid w:val="00FF52CA"/>
    <w:pPr>
      <w:spacing w:after="1080"/>
      <w:outlineLvl w:val="9"/>
    </w:pPr>
    <w:rPr>
      <w:rFonts w:eastAsiaTheme="majorEastAsia" w:cstheme="majorBidi"/>
      <w:bCs/>
      <w:sz w:val="64"/>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4D0DC8"/>
    <w:pPr>
      <w:spacing w:before="0" w:after="0" w:line="240" w:lineRule="auto"/>
    </w:pPr>
    <w:rPr>
      <w:sz w:val="14"/>
    </w:rPr>
  </w:style>
  <w:style w:type="character" w:customStyle="1" w:styleId="FootnoteTextChar">
    <w:name w:val="Footnote Text Char"/>
    <w:basedOn w:val="DefaultParagraphFont"/>
    <w:link w:val="FootnoteText"/>
    <w:uiPriority w:val="99"/>
    <w:rsid w:val="004D0DC8"/>
    <w:rPr>
      <w:sz w:val="14"/>
    </w:rPr>
  </w:style>
  <w:style w:type="character" w:styleId="Hyperlink">
    <w:name w:val="Hyperlink"/>
    <w:basedOn w:val="DefaultParagraphFont"/>
    <w:uiPriority w:val="99"/>
    <w:unhideWhenUsed/>
    <w:qFormat/>
    <w:rsid w:val="00C15DB5"/>
    <w:rPr>
      <w:b w:val="0"/>
      <w:color w:val="282EA0"/>
      <w:u w:val="single"/>
    </w:rPr>
  </w:style>
  <w:style w:type="paragraph" w:styleId="ListBullet">
    <w:name w:val="List Bullet"/>
    <w:basedOn w:val="Normal"/>
    <w:uiPriority w:val="2"/>
    <w:qFormat/>
    <w:rsid w:val="00F71556"/>
    <w:pPr>
      <w:numPr>
        <w:numId w:val="2"/>
      </w:numPr>
    </w:pPr>
    <w:rPr>
      <w:rFonts w:eastAsia="Times New Roman"/>
      <w:lang w:eastAsia="en-AU"/>
    </w:rPr>
  </w:style>
  <w:style w:type="paragraph" w:styleId="ListNumber">
    <w:name w:val="List Number"/>
    <w:basedOn w:val="Normal"/>
    <w:uiPriority w:val="2"/>
    <w:qFormat/>
    <w:rsid w:val="00F71556"/>
    <w:pPr>
      <w:numPr>
        <w:numId w:val="4"/>
      </w:numPr>
    </w:pPr>
    <w:rPr>
      <w:rFonts w:eastAsia="Times New Roman"/>
      <w:lang w:eastAsia="en-AU"/>
    </w:rPr>
  </w:style>
  <w:style w:type="table" w:customStyle="1" w:styleId="SQHTable">
    <w:name w:val="SQH Table"/>
    <w:basedOn w:val="TableNormal"/>
    <w:uiPriority w:val="99"/>
    <w:rsid w:val="00D15F2D"/>
    <w:pPr>
      <w:spacing w:line="240" w:lineRule="auto"/>
    </w:pPr>
    <w:rPr>
      <w:sz w:val="20"/>
    </w:rPr>
    <w:tblPr>
      <w:tblStyleRowBandSize w:val="1"/>
      <w:tblBorders>
        <w:top w:val="single" w:sz="12" w:space="0" w:color="FFFFFF" w:themeColor="background1"/>
        <w:bottom w:val="single" w:sz="12" w:space="0" w:color="FFFFFF" w:themeColor="background1"/>
        <w:insideV w:val="single" w:sz="4" w:space="0" w:color="FFFFFF" w:themeColor="background1"/>
      </w:tblBorders>
    </w:tblPr>
    <w:trPr>
      <w:cantSplit/>
    </w:trPr>
    <w:tblStylePr w:type="firstRow">
      <w:rPr>
        <w:b/>
        <w:color w:val="FFFFFF" w:themeColor="background1"/>
        <w:sz w:val="20"/>
      </w:rPr>
      <w:tblPr/>
      <w:tcPr>
        <w:tcBorders>
          <w:top w:val="nil"/>
          <w:left w:val="nil"/>
          <w:bottom w:val="nil"/>
          <w:right w:val="nil"/>
          <w:insideH w:val="nil"/>
          <w:insideV w:val="single" w:sz="4" w:space="0" w:color="FFFFFF" w:themeColor="background1"/>
          <w:tl2br w:val="nil"/>
          <w:tr2bl w:val="nil"/>
        </w:tcBorders>
        <w:shd w:val="clear" w:color="auto" w:fill="421A75" w:themeFill="accent1"/>
      </w:tcPr>
    </w:tblStylePr>
    <w:tblStylePr w:type="firstCol">
      <w:rPr>
        <w:b/>
      </w:rPr>
    </w:tblStylePr>
    <w:tblStylePr w:type="band2Horz">
      <w:tblPr/>
      <w:tcPr>
        <w:shd w:val="clear" w:color="auto" w:fill="F3EEFE"/>
      </w:tcPr>
    </w:tblStylePr>
  </w:style>
  <w:style w:type="paragraph" w:styleId="TOC1">
    <w:name w:val="toc 1"/>
    <w:basedOn w:val="Normal"/>
    <w:next w:val="Normal"/>
    <w:autoRedefine/>
    <w:uiPriority w:val="39"/>
    <w:rsid w:val="007619BA"/>
    <w:pPr>
      <w:pBdr>
        <w:top w:val="single" w:sz="4" w:space="10" w:color="D3BBFD" w:themeColor="text2"/>
        <w:bottom w:val="single" w:sz="4" w:space="10" w:color="D3BBFD" w:themeColor="text2"/>
        <w:between w:val="single" w:sz="4" w:space="10" w:color="D3BBFD" w:themeColor="text2"/>
      </w:pBdr>
      <w:tabs>
        <w:tab w:val="right" w:pos="9174"/>
      </w:tabs>
      <w:spacing w:line="240" w:lineRule="auto"/>
      <w:contextualSpacing/>
    </w:pPr>
    <w:rPr>
      <w:b/>
      <w:noProof/>
      <w:lang w:val="en-GB"/>
    </w:rPr>
  </w:style>
  <w:style w:type="table" w:styleId="LightShading-Accent1">
    <w:name w:val="Light Shading Accent 1"/>
    <w:basedOn w:val="TableNormal"/>
    <w:uiPriority w:val="60"/>
    <w:rsid w:val="00056BC0"/>
    <w:rPr>
      <w:color w:val="311357" w:themeColor="accent1" w:themeShade="BF"/>
    </w:rPr>
    <w:tblPr>
      <w:tblStyleRowBandSize w:val="1"/>
      <w:tblStyleColBandSize w:val="1"/>
      <w:tblBorders>
        <w:top w:val="single" w:sz="8" w:space="0" w:color="421A75" w:themeColor="accent1"/>
        <w:bottom w:val="single" w:sz="8" w:space="0" w:color="421A75" w:themeColor="accent1"/>
      </w:tblBorders>
    </w:tblPr>
    <w:tblStylePr w:type="fir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lastRow">
      <w:pPr>
        <w:spacing w:before="0" w:after="0" w:line="240" w:lineRule="auto"/>
      </w:pPr>
      <w:rPr>
        <w:b/>
        <w:bCs/>
      </w:rPr>
      <w:tblPr/>
      <w:tcPr>
        <w:tcBorders>
          <w:top w:val="single" w:sz="8" w:space="0" w:color="421A75" w:themeColor="accent1"/>
          <w:left w:val="nil"/>
          <w:bottom w:val="single" w:sz="8" w:space="0" w:color="421A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B4EE" w:themeFill="accent1" w:themeFillTint="3F"/>
      </w:tcPr>
    </w:tblStylePr>
    <w:tblStylePr w:type="band1Horz">
      <w:tblPr/>
      <w:tcPr>
        <w:tcBorders>
          <w:left w:val="nil"/>
          <w:right w:val="nil"/>
          <w:insideH w:val="nil"/>
          <w:insideV w:val="nil"/>
        </w:tcBorders>
        <w:shd w:val="clear" w:color="auto" w:fill="CDB4EE"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1A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1A75" w:themeFill="accent1"/>
      </w:tcPr>
    </w:tblStylePr>
    <w:tblStylePr w:type="lastCol">
      <w:rPr>
        <w:b/>
        <w:bCs/>
        <w:color w:val="FFFFFF" w:themeColor="background1"/>
      </w:rPr>
      <w:tblPr/>
      <w:tcPr>
        <w:tcBorders>
          <w:left w:val="nil"/>
          <w:right w:val="nil"/>
          <w:insideH w:val="nil"/>
          <w:insideV w:val="nil"/>
        </w:tcBorders>
        <w:shd w:val="clear" w:color="auto" w:fill="421A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7619BA"/>
    <w:pPr>
      <w:tabs>
        <w:tab w:val="right" w:pos="9174"/>
      </w:tabs>
      <w:spacing w:before="0" w:line="240" w:lineRule="auto"/>
    </w:pPr>
    <w:rPr>
      <w:noProof/>
    </w:rPr>
  </w:style>
  <w:style w:type="paragraph" w:styleId="ListBullet2">
    <w:name w:val="List Bullet 2"/>
    <w:basedOn w:val="Normal"/>
    <w:uiPriority w:val="2"/>
    <w:semiHidden/>
    <w:qFormat/>
    <w:rsid w:val="00F71556"/>
    <w:pPr>
      <w:numPr>
        <w:ilvl w:val="1"/>
        <w:numId w:val="2"/>
      </w:numPr>
    </w:pPr>
    <w:rPr>
      <w:rFonts w:eastAsia="Times New Roman"/>
      <w:lang w:eastAsia="en-AU"/>
    </w:rPr>
  </w:style>
  <w:style w:type="character" w:customStyle="1" w:styleId="Heading4Char">
    <w:name w:val="Heading 4 Char"/>
    <w:basedOn w:val="DefaultParagraphFont"/>
    <w:link w:val="Heading4"/>
    <w:uiPriority w:val="9"/>
    <w:rsid w:val="00DD4258"/>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2"/>
      </w:numPr>
    </w:pPr>
    <w:rPr>
      <w:rFonts w:eastAsia="Times New Roman"/>
      <w:lang w:eastAsia="en-AU"/>
    </w:rPr>
  </w:style>
  <w:style w:type="paragraph" w:styleId="ListBullet4">
    <w:name w:val="List Bullet 4"/>
    <w:basedOn w:val="Normal"/>
    <w:uiPriority w:val="2"/>
    <w:semiHidden/>
    <w:rsid w:val="00F71556"/>
    <w:pPr>
      <w:numPr>
        <w:ilvl w:val="3"/>
        <w:numId w:val="2"/>
      </w:numPr>
      <w:tabs>
        <w:tab w:val="num" w:pos="360"/>
      </w:tabs>
      <w:ind w:left="0" w:firstLine="0"/>
    </w:pPr>
    <w:rPr>
      <w:rFonts w:eastAsia="Times New Roman"/>
      <w:lang w:eastAsia="en-AU"/>
    </w:rPr>
  </w:style>
  <w:style w:type="paragraph" w:styleId="ListBullet5">
    <w:name w:val="List Bullet 5"/>
    <w:basedOn w:val="Normal"/>
    <w:uiPriority w:val="2"/>
    <w:semiHidden/>
    <w:rsid w:val="00F71556"/>
    <w:pPr>
      <w:numPr>
        <w:ilvl w:val="4"/>
        <w:numId w:val="2"/>
      </w:numPr>
      <w:tabs>
        <w:tab w:val="num" w:pos="360"/>
      </w:tabs>
      <w:ind w:left="0" w:firstLine="0"/>
    </w:pPr>
    <w:rPr>
      <w:rFonts w:eastAsia="Times New Roman"/>
      <w:lang w:eastAsia="en-AU"/>
    </w:rPr>
  </w:style>
  <w:style w:type="paragraph" w:styleId="ListNumber2">
    <w:name w:val="List Number 2"/>
    <w:basedOn w:val="Normal"/>
    <w:uiPriority w:val="2"/>
    <w:semiHidden/>
    <w:rsid w:val="00F71556"/>
    <w:pPr>
      <w:numPr>
        <w:ilvl w:val="1"/>
        <w:numId w:val="4"/>
      </w:numPr>
    </w:pPr>
    <w:rPr>
      <w:rFonts w:eastAsia="Times New Roman"/>
      <w:lang w:eastAsia="en-AU"/>
    </w:rPr>
  </w:style>
  <w:style w:type="paragraph" w:styleId="ListNumber3">
    <w:name w:val="List Number 3"/>
    <w:basedOn w:val="Normal"/>
    <w:uiPriority w:val="2"/>
    <w:semiHidden/>
    <w:rsid w:val="00F71556"/>
    <w:pPr>
      <w:numPr>
        <w:ilvl w:val="2"/>
        <w:numId w:val="4"/>
      </w:numPr>
    </w:pPr>
    <w:rPr>
      <w:rFonts w:eastAsia="Times New Roman"/>
      <w:lang w:eastAsia="en-AU"/>
    </w:rPr>
  </w:style>
  <w:style w:type="paragraph" w:styleId="ListNumber4">
    <w:name w:val="List Number 4"/>
    <w:basedOn w:val="Normal"/>
    <w:uiPriority w:val="2"/>
    <w:semiHidden/>
    <w:rsid w:val="00F71556"/>
    <w:pPr>
      <w:numPr>
        <w:ilvl w:val="3"/>
        <w:numId w:val="4"/>
      </w:numPr>
    </w:pPr>
    <w:rPr>
      <w:rFonts w:eastAsia="Times New Roman"/>
      <w:lang w:eastAsia="en-AU"/>
    </w:rPr>
  </w:style>
  <w:style w:type="paragraph" w:styleId="ListNumber5">
    <w:name w:val="List Number 5"/>
    <w:basedOn w:val="Normal"/>
    <w:uiPriority w:val="2"/>
    <w:semiHidden/>
    <w:rsid w:val="00F71556"/>
    <w:pPr>
      <w:numPr>
        <w:ilvl w:val="4"/>
        <w:numId w:val="4"/>
      </w:numPr>
    </w:pPr>
    <w:rPr>
      <w:rFonts w:eastAsia="Times New Roman"/>
      <w:lang w:eastAsia="en-AU"/>
    </w:rPr>
  </w:style>
  <w:style w:type="paragraph" w:styleId="List">
    <w:name w:val="List"/>
    <w:aliases w:val="Letter"/>
    <w:basedOn w:val="Normal"/>
    <w:uiPriority w:val="2"/>
    <w:rsid w:val="00F71556"/>
    <w:pPr>
      <w:numPr>
        <w:numId w:val="1"/>
      </w:numPr>
    </w:pPr>
    <w:rPr>
      <w:rFonts w:eastAsia="Times New Roman"/>
      <w:lang w:eastAsia="en-AU"/>
    </w:rPr>
  </w:style>
  <w:style w:type="paragraph" w:customStyle="1" w:styleId="SectionHeading">
    <w:name w:val="Section Heading"/>
    <w:basedOn w:val="Normal"/>
    <w:uiPriority w:val="8"/>
    <w:rsid w:val="00907414"/>
    <w:pPr>
      <w:spacing w:before="0" w:after="0" w:line="240" w:lineRule="auto"/>
      <w:ind w:right="450"/>
    </w:pPr>
    <w:rPr>
      <w:rFonts w:asciiTheme="majorHAnsi" w:hAnsiTheme="majorHAnsi"/>
      <w:color w:val="auto"/>
      <w:sz w:val="64"/>
      <w:szCs w:val="60"/>
    </w:rPr>
  </w:style>
  <w:style w:type="paragraph" w:styleId="Caption">
    <w:name w:val="caption"/>
    <w:basedOn w:val="Normal"/>
    <w:next w:val="Normal"/>
    <w:link w:val="CaptionChar"/>
    <w:autoRedefine/>
    <w:uiPriority w:val="12"/>
    <w:qFormat/>
    <w:rsid w:val="00D57F24"/>
    <w:pPr>
      <w:keepNext/>
      <w:numPr>
        <w:numId w:val="3"/>
      </w:numPr>
      <w:spacing w:before="360" w:after="240" w:line="240" w:lineRule="auto"/>
      <w:ind w:left="993" w:hanging="993"/>
      <w:contextualSpacing/>
    </w:pPr>
    <w:rPr>
      <w:iCs/>
      <w:sz w:val="20"/>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5F36C3"/>
    <w:pPr>
      <w:spacing w:line="240" w:lineRule="auto"/>
      <w:ind w:left="357"/>
      <w:contextualSpacing/>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D2BBFC" w:themeColor="accent4" w:themeTint="99"/>
        <w:bottom w:val="single" w:sz="4" w:space="0" w:color="D2BBFC" w:themeColor="accent4" w:themeTint="99"/>
        <w:insideH w:val="single" w:sz="4" w:space="0" w:color="D2BB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styleId="Date">
    <w:name w:val="Date"/>
    <w:basedOn w:val="Normal"/>
    <w:next w:val="Normal"/>
    <w:link w:val="DateChar"/>
    <w:uiPriority w:val="99"/>
    <w:rsid w:val="00F366A4"/>
    <w:pPr>
      <w:framePr w:w="9866" w:h="1191" w:hRule="exact" w:wrap="around" w:vAnchor="page" w:hAnchor="page" w:x="1022" w:yAlign="bottom"/>
      <w:tabs>
        <w:tab w:val="right" w:pos="9866"/>
      </w:tabs>
      <w:spacing w:before="0" w:after="0" w:line="240" w:lineRule="auto"/>
    </w:pPr>
    <w:rPr>
      <w:b/>
    </w:rPr>
  </w:style>
  <w:style w:type="character" w:customStyle="1" w:styleId="DateChar">
    <w:name w:val="Date Char"/>
    <w:basedOn w:val="DefaultParagraphFont"/>
    <w:link w:val="Date"/>
    <w:uiPriority w:val="99"/>
    <w:rsid w:val="00896871"/>
    <w:rPr>
      <w:b/>
    </w:rPr>
  </w:style>
  <w:style w:type="character" w:customStyle="1" w:styleId="Heading5Char">
    <w:name w:val="Heading 5 Char"/>
    <w:basedOn w:val="DefaultParagraphFont"/>
    <w:link w:val="Heading5"/>
    <w:uiPriority w:val="9"/>
    <w:rsid w:val="00DD4258"/>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rsid w:val="00DD4258"/>
    <w:rPr>
      <w:rFonts w:asciiTheme="majorHAnsi" w:eastAsiaTheme="majorEastAsia" w:hAnsiTheme="majorHAnsi" w:cstheme="majorBidi"/>
      <w:b/>
      <w:color w:val="auto"/>
      <w:sz w:val="20"/>
    </w:rPr>
  </w:style>
  <w:style w:type="paragraph" w:styleId="NoSpacing">
    <w:name w:val="No Spacing"/>
    <w:uiPriority w:val="1"/>
    <w:rsid w:val="003A5810"/>
    <w:pPr>
      <w:spacing w:before="0" w:after="0"/>
    </w:pPr>
  </w:style>
  <w:style w:type="character" w:styleId="UnresolvedMention">
    <w:name w:val="Unresolved Mention"/>
    <w:basedOn w:val="DefaultParagraphFont"/>
    <w:uiPriority w:val="99"/>
    <w:semiHidden/>
    <w:unhideWhenUsed/>
    <w:rsid w:val="00AC4B47"/>
    <w:rPr>
      <w:color w:val="605E5C"/>
      <w:shd w:val="clear" w:color="auto" w:fill="E1DFDD"/>
    </w:rPr>
  </w:style>
  <w:style w:type="table" w:styleId="GridTable4-Accent4">
    <w:name w:val="Grid Table 4 Accent 4"/>
    <w:basedOn w:val="TableNormal"/>
    <w:uiPriority w:val="49"/>
    <w:rsid w:val="00F400EF"/>
    <w:pPr>
      <w:spacing w:after="0" w:line="240" w:lineRule="auto"/>
    </w:pPr>
    <w:tblPr>
      <w:tblStyleRowBandSize w:val="1"/>
      <w:tblStyleColBandSize w:val="1"/>
      <w:tblBorders>
        <w:top w:val="single" w:sz="4" w:space="0" w:color="D2BBFC" w:themeColor="accent4" w:themeTint="99"/>
        <w:left w:val="single" w:sz="4" w:space="0" w:color="D2BBFC" w:themeColor="accent4" w:themeTint="99"/>
        <w:bottom w:val="single" w:sz="4" w:space="0" w:color="D2BBFC" w:themeColor="accent4" w:themeTint="99"/>
        <w:right w:val="single" w:sz="4" w:space="0" w:color="D2BBFC" w:themeColor="accent4" w:themeTint="99"/>
        <w:insideH w:val="single" w:sz="4" w:space="0" w:color="D2BBFC" w:themeColor="accent4" w:themeTint="99"/>
        <w:insideV w:val="single" w:sz="4" w:space="0" w:color="D2BBFC" w:themeColor="accent4" w:themeTint="99"/>
      </w:tblBorders>
    </w:tblPr>
    <w:tblStylePr w:type="firstRow">
      <w:rPr>
        <w:b/>
        <w:bCs/>
        <w:color w:val="FFFFFF" w:themeColor="background1"/>
      </w:rPr>
      <w:tblPr/>
      <w:tcPr>
        <w:tcBorders>
          <w:top w:val="single" w:sz="4" w:space="0" w:color="B58EFB" w:themeColor="accent4"/>
          <w:left w:val="single" w:sz="4" w:space="0" w:color="B58EFB" w:themeColor="accent4"/>
          <w:bottom w:val="single" w:sz="4" w:space="0" w:color="B58EFB" w:themeColor="accent4"/>
          <w:right w:val="single" w:sz="4" w:space="0" w:color="B58EFB" w:themeColor="accent4"/>
          <w:insideH w:val="nil"/>
          <w:insideV w:val="nil"/>
        </w:tcBorders>
        <w:shd w:val="clear" w:color="auto" w:fill="B58EFB" w:themeFill="accent4"/>
      </w:tcPr>
    </w:tblStylePr>
    <w:tblStylePr w:type="lastRow">
      <w:rPr>
        <w:b/>
        <w:bCs/>
      </w:rPr>
      <w:tblPr/>
      <w:tcPr>
        <w:tcBorders>
          <w:top w:val="double" w:sz="4" w:space="0" w:color="B58EFB" w:themeColor="accent4"/>
        </w:tcBorders>
      </w:tcPr>
    </w:tblStylePr>
    <w:tblStylePr w:type="firstCol">
      <w:rPr>
        <w:b/>
        <w:bCs/>
      </w:rPr>
    </w:tblStylePr>
    <w:tblStylePr w:type="lastCol">
      <w:rPr>
        <w:b/>
        <w:bCs/>
      </w:rPr>
    </w:tblStylePr>
    <w:tblStylePr w:type="band1Vert">
      <w:tblPr/>
      <w:tcPr>
        <w:shd w:val="clear" w:color="auto" w:fill="EFE8FE" w:themeFill="accent4" w:themeFillTint="33"/>
      </w:tcPr>
    </w:tblStylePr>
    <w:tblStylePr w:type="band1Horz">
      <w:tblPr/>
      <w:tcPr>
        <w:shd w:val="clear" w:color="auto" w:fill="EFE8FE" w:themeFill="accent4" w:themeFillTint="33"/>
      </w:tcPr>
    </w:tblStylePr>
  </w:style>
  <w:style w:type="paragraph" w:customStyle="1" w:styleId="BoxHeading">
    <w:name w:val="Box Heading"/>
    <w:basedOn w:val="Normal"/>
    <w:next w:val="Normal"/>
    <w:uiPriority w:val="10"/>
    <w:qFormat/>
    <w:rsid w:val="002B3C79"/>
    <w:rPr>
      <w:b/>
      <w:bCs/>
      <w:sz w:val="24"/>
      <w:szCs w:val="24"/>
    </w:rPr>
  </w:style>
  <w:style w:type="paragraph" w:customStyle="1" w:styleId="IntroPara">
    <w:name w:val="Intro Para"/>
    <w:basedOn w:val="Normal"/>
    <w:next w:val="Normal"/>
    <w:uiPriority w:val="11"/>
    <w:qFormat/>
    <w:rsid w:val="00F86761"/>
    <w:pPr>
      <w:spacing w:before="360" w:after="360"/>
      <w:contextualSpacing/>
    </w:pPr>
    <w:rPr>
      <w:sz w:val="26"/>
      <w:szCs w:val="26"/>
    </w:rPr>
  </w:style>
  <w:style w:type="paragraph" w:customStyle="1" w:styleId="Title2">
    <w:name w:val="Title 2"/>
    <w:basedOn w:val="Title"/>
    <w:uiPriority w:val="17"/>
    <w:qFormat/>
    <w:rsid w:val="00491F89"/>
    <w:pPr>
      <w:framePr w:h="7655" w:hRule="exact" w:wrap="around" w:x="1033" w:y="6465"/>
    </w:pPr>
  </w:style>
  <w:style w:type="paragraph" w:customStyle="1" w:styleId="Subtitle2">
    <w:name w:val="Subtitle 2"/>
    <w:basedOn w:val="Subtitle"/>
    <w:uiPriority w:val="18"/>
    <w:qFormat/>
    <w:rsid w:val="00491F89"/>
    <w:pPr>
      <w:framePr w:h="7655" w:hRule="exact" w:wrap="around" w:x="1033" w:y="6465"/>
    </w:pPr>
  </w:style>
  <w:style w:type="paragraph" w:customStyle="1" w:styleId="TableCaption">
    <w:name w:val="Table Caption"/>
    <w:basedOn w:val="Caption"/>
    <w:link w:val="TableCaptionChar"/>
    <w:autoRedefine/>
    <w:qFormat/>
    <w:rsid w:val="00460755"/>
    <w:pPr>
      <w:numPr>
        <w:numId w:val="5"/>
      </w:numPr>
      <w:ind w:left="851" w:hanging="851"/>
    </w:pPr>
    <w:rPr>
      <w:rFonts w:eastAsiaTheme="minorEastAsia"/>
    </w:rPr>
  </w:style>
  <w:style w:type="character" w:customStyle="1" w:styleId="CaptionChar">
    <w:name w:val="Caption Char"/>
    <w:basedOn w:val="DefaultParagraphFont"/>
    <w:link w:val="Caption"/>
    <w:uiPriority w:val="12"/>
    <w:rsid w:val="00D57F24"/>
    <w:rPr>
      <w:iCs/>
      <w:sz w:val="20"/>
    </w:rPr>
  </w:style>
  <w:style w:type="character" w:customStyle="1" w:styleId="TableCaptionChar">
    <w:name w:val="Table Caption Char"/>
    <w:basedOn w:val="CaptionChar"/>
    <w:link w:val="TableCaption"/>
    <w:rsid w:val="00460755"/>
    <w:rPr>
      <w:rFonts w:eastAsiaTheme="minorEastAsia"/>
      <w:iCs/>
      <w:sz w:val="20"/>
    </w:rPr>
  </w:style>
  <w:style w:type="character" w:customStyle="1" w:styleId="Blue">
    <w:name w:val="Blue"/>
    <w:basedOn w:val="DefaultParagraphFont"/>
    <w:uiPriority w:val="1"/>
    <w:qFormat/>
    <w:rsid w:val="00883520"/>
    <w:rPr>
      <w:color w:val="002060"/>
    </w:rPr>
  </w:style>
  <w:style w:type="character" w:styleId="Emphasis">
    <w:name w:val="Emphasis"/>
    <w:basedOn w:val="DefaultParagraphFont"/>
    <w:uiPriority w:val="20"/>
    <w:rsid w:val="00883520"/>
    <w:rPr>
      <w:i/>
      <w:iCs/>
    </w:rPr>
  </w:style>
  <w:style w:type="character" w:styleId="FollowedHyperlink">
    <w:name w:val="FollowedHyperlink"/>
    <w:basedOn w:val="DefaultParagraphFont"/>
    <w:uiPriority w:val="99"/>
    <w:semiHidden/>
    <w:unhideWhenUsed/>
    <w:rsid w:val="001521AA"/>
    <w:rPr>
      <w:color w:val="000000" w:themeColor="followedHyperlink"/>
      <w:u w:val="single"/>
    </w:rPr>
  </w:style>
  <w:style w:type="paragraph" w:customStyle="1" w:styleId="CaptionTable">
    <w:name w:val="Caption Table"/>
    <w:basedOn w:val="Caption"/>
    <w:qFormat/>
    <w:rsid w:val="00883520"/>
    <w:pPr>
      <w:numPr>
        <w:numId w:val="6"/>
      </w:numPr>
      <w:ind w:left="851" w:hanging="851"/>
    </w:pPr>
    <w:rPr>
      <w:lang w:val="en-GB"/>
    </w:rPr>
  </w:style>
  <w:style w:type="character" w:customStyle="1" w:styleId="Superscript">
    <w:name w:val="Superscript"/>
    <w:basedOn w:val="DefaultParagraphFont"/>
    <w:uiPriority w:val="1"/>
    <w:qFormat/>
    <w:rsid w:val="00883520"/>
    <w:rPr>
      <w:vertAlign w:val="superscript"/>
    </w:rPr>
  </w:style>
  <w:style w:type="table" w:customStyle="1" w:styleId="DarkHeadingBanded">
    <w:name w:val="Dark Heading Banded"/>
    <w:basedOn w:val="TableNormal"/>
    <w:uiPriority w:val="99"/>
    <w:rsid w:val="007401FB"/>
    <w:pPr>
      <w:spacing w:before="0" w:after="0" w:line="240" w:lineRule="auto"/>
    </w:pPr>
    <w:rPr>
      <w:rFonts w:eastAsia="Times New Roman"/>
      <w:color w:val="auto"/>
      <w:sz w:val="20"/>
      <w:lang w:eastAsia="en-AU"/>
    </w:rPr>
    <w:tblPr>
      <w:tblStyleRowBandSize w:val="1"/>
      <w:tblStyleColBandSize w:val="1"/>
      <w:tblBorders>
        <w:top w:val="single" w:sz="4" w:space="0" w:color="F0E8FE" w:themeColor="background2"/>
        <w:left w:val="single" w:sz="4" w:space="0" w:color="F0E8FE" w:themeColor="background2"/>
        <w:bottom w:val="single" w:sz="4" w:space="0" w:color="F0E8FE" w:themeColor="background2"/>
        <w:right w:val="single" w:sz="4" w:space="0" w:color="F0E8FE" w:themeColor="background2"/>
        <w:insideH w:val="single" w:sz="4" w:space="0" w:color="F0E8FE" w:themeColor="background2"/>
        <w:insideV w:val="single" w:sz="4" w:space="0" w:color="F0E8FE" w:themeColor="background2"/>
      </w:tblBorders>
    </w:tblPr>
    <w:tblStylePr w:type="firstRow">
      <w:pPr>
        <w:jc w:val="left"/>
      </w:pPr>
      <w:rPr>
        <w:b/>
        <w:color w:val="FFFFFF" w:themeColor="background1"/>
      </w:rPr>
      <w:tblPr/>
      <w:tcPr>
        <w:shd w:val="clear" w:color="auto" w:fill="F0E8FE" w:themeFill="background2"/>
      </w:tcPr>
    </w:tblStylePr>
    <w:tblStylePr w:type="band2Horz">
      <w:tblPr/>
      <w:tcPr>
        <w:shd w:val="clear" w:color="auto" w:fill="F2F2F2" w:themeFill="background1" w:themeFillShade="F2"/>
      </w:tcPr>
    </w:tblStyle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Bullet "/>
    <w:basedOn w:val="Normal"/>
    <w:link w:val="ListParagraphChar"/>
    <w:uiPriority w:val="34"/>
    <w:qFormat/>
    <w:rsid w:val="007401FB"/>
    <w:pPr>
      <w:spacing w:line="240" w:lineRule="auto"/>
      <w:ind w:left="720"/>
      <w:contextualSpacing/>
    </w:pPr>
    <w:rPr>
      <w:rFonts w:eastAsia="Times New Roman"/>
      <w:color w:val="auto"/>
      <w:lang w:eastAsia="en-AU"/>
    </w:r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Bullet  Char"/>
    <w:basedOn w:val="DefaultParagraphFont"/>
    <w:link w:val="ListParagraph"/>
    <w:uiPriority w:val="34"/>
    <w:qFormat/>
    <w:rsid w:val="007401FB"/>
    <w:rPr>
      <w:rFonts w:eastAsia="Times New Roman"/>
      <w:color w:val="auto"/>
      <w:lang w:eastAsia="en-AU"/>
    </w:rPr>
  </w:style>
  <w:style w:type="paragraph" w:customStyle="1" w:styleId="Default">
    <w:name w:val="Default"/>
    <w:rsid w:val="009768BA"/>
    <w:pPr>
      <w:autoSpaceDE w:val="0"/>
      <w:autoSpaceDN w:val="0"/>
      <w:adjustRightInd w:val="0"/>
      <w:spacing w:before="0" w:after="0" w:line="240" w:lineRule="auto"/>
    </w:pPr>
    <w:rPr>
      <w:rFonts w:ascii="Gotham Medium" w:eastAsia="Times New Roman" w:hAnsi="Gotham Medium" w:cs="Gotham Medium"/>
      <w:color w:val="000000"/>
      <w:sz w:val="24"/>
      <w:szCs w:val="24"/>
      <w:lang w:eastAsia="en-AU"/>
    </w:rPr>
  </w:style>
  <w:style w:type="character" w:styleId="Strong">
    <w:name w:val="Strong"/>
    <w:basedOn w:val="DefaultParagraphFont"/>
    <w:uiPriority w:val="22"/>
    <w:qFormat/>
    <w:rsid w:val="009768BA"/>
    <w:rPr>
      <w:b/>
      <w:bCs/>
    </w:rPr>
  </w:style>
  <w:style w:type="paragraph" w:customStyle="1" w:styleId="FigureTableTitle">
    <w:name w:val="Figure/Table Title"/>
    <w:basedOn w:val="Normal"/>
    <w:qFormat/>
    <w:rsid w:val="009768BA"/>
    <w:pPr>
      <w:spacing w:before="240" w:after="240" w:line="240" w:lineRule="auto"/>
      <w:contextualSpacing/>
    </w:pPr>
    <w:rPr>
      <w:rFonts w:eastAsia="Times New Roman"/>
      <w:b/>
      <w:color w:val="auto"/>
      <w:lang w:eastAsia="en-AU"/>
    </w:rPr>
  </w:style>
  <w:style w:type="character" w:customStyle="1" w:styleId="HyperlinkItalic">
    <w:name w:val="Hyperlink Italic"/>
    <w:basedOn w:val="Hyperlink"/>
    <w:uiPriority w:val="1"/>
    <w:qFormat/>
    <w:rsid w:val="001521AA"/>
    <w:rPr>
      <w:b w:val="0"/>
      <w:i/>
      <w:color w:val="282EA0"/>
      <w:u w:val="single"/>
    </w:rPr>
  </w:style>
  <w:style w:type="character" w:customStyle="1" w:styleId="Cross-references">
    <w:name w:val="Cross-references"/>
    <w:basedOn w:val="Hyperlink"/>
    <w:uiPriority w:val="1"/>
    <w:qFormat/>
    <w:rsid w:val="00772031"/>
    <w:rPr>
      <w:rFonts w:eastAsiaTheme="minorEastAsia"/>
      <w:b w:val="0"/>
      <w:color w:val="282EA0"/>
      <w:sz w:val="20"/>
      <w:u w:val="single"/>
      <w:lang w:val="en-GB"/>
    </w:rPr>
  </w:style>
  <w:style w:type="table" w:customStyle="1" w:styleId="Style1">
    <w:name w:val="Style1"/>
    <w:basedOn w:val="TableNormal"/>
    <w:uiPriority w:val="99"/>
    <w:rsid w:val="00BA699A"/>
    <w:pPr>
      <w:spacing w:before="0" w:line="240" w:lineRule="auto"/>
    </w:pPr>
    <w:tblPr>
      <w:tblCellMar>
        <w:left w:w="284" w:type="dxa"/>
        <w:bottom w:w="113" w:type="dxa"/>
        <w:right w:w="227" w:type="dxa"/>
      </w:tblCellMar>
    </w:tblPr>
    <w:tcPr>
      <w:shd w:val="clear" w:color="auto" w:fill="FFE9EA" w:themeFill="accent5" w:themeFillTint="33"/>
    </w:tcPr>
    <w:tblStylePr w:type="firstRow">
      <w:pPr>
        <w:wordWrap/>
        <w:spacing w:afterLines="0" w:after="0" w:afterAutospacing="0" w:line="240" w:lineRule="auto"/>
      </w:pPr>
      <w:rPr>
        <w:b/>
        <w:sz w:val="26"/>
      </w:rPr>
      <w:tblPr>
        <w:tblCellMar>
          <w:top w:w="284" w:type="dxa"/>
          <w:left w:w="284" w:type="dxa"/>
          <w:bottom w:w="113" w:type="dxa"/>
          <w:right w:w="227" w:type="dxa"/>
        </w:tblCellMar>
      </w:tblPr>
      <w:trPr>
        <w:cantSplit/>
        <w:tblHeader/>
      </w:trPr>
    </w:tblStylePr>
  </w:style>
  <w:style w:type="numbering" w:customStyle="1" w:styleId="CurrentList1">
    <w:name w:val="Current List1"/>
    <w:uiPriority w:val="99"/>
    <w:rsid w:val="00D57F24"/>
    <w:pPr>
      <w:numPr>
        <w:numId w:val="9"/>
      </w:numPr>
    </w:pPr>
  </w:style>
  <w:style w:type="table" w:customStyle="1" w:styleId="AquaQuoteMarks">
    <w:name w:val="Aqua Quote Marks"/>
    <w:basedOn w:val="TableNormal"/>
    <w:uiPriority w:val="99"/>
    <w:rsid w:val="00C92DE4"/>
    <w:pPr>
      <w:spacing w:line="240" w:lineRule="auto"/>
    </w:pPr>
    <w:tblPr>
      <w:tblBorders>
        <w:top w:val="single" w:sz="24" w:space="0" w:color="E2F4F8"/>
        <w:left w:val="single" w:sz="24" w:space="0" w:color="E2F4F8"/>
        <w:bottom w:val="single" w:sz="24" w:space="0" w:color="E2F4F8"/>
        <w:right w:val="single" w:sz="24" w:space="0" w:color="E2F4F8"/>
      </w:tblBorders>
      <w:tblCellMar>
        <w:top w:w="113" w:type="dxa"/>
        <w:left w:w="170" w:type="dxa"/>
        <w:bottom w:w="170" w:type="dxa"/>
        <w:right w:w="170" w:type="dxa"/>
      </w:tblCellMar>
    </w:tblPr>
    <w:tblStylePr w:type="firstRow">
      <w:pPr>
        <w:wordWrap/>
        <w:spacing w:beforeLines="0" w:before="0" w:beforeAutospacing="0" w:afterLines="0" w:after="0" w:afterAutospacing="0" w:line="240" w:lineRule="auto"/>
      </w:pPr>
      <w:tblPr/>
      <w:trPr>
        <w:cantSplit/>
        <w:tblHeader/>
      </w:trPr>
      <w:tcPr>
        <w:shd w:val="clear" w:color="auto" w:fill="E2F4F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519275">
      <w:bodyDiv w:val="1"/>
      <w:marLeft w:val="0"/>
      <w:marRight w:val="0"/>
      <w:marTop w:val="0"/>
      <w:marBottom w:val="0"/>
      <w:divBdr>
        <w:top w:val="none" w:sz="0" w:space="0" w:color="auto"/>
        <w:left w:val="none" w:sz="0" w:space="0" w:color="auto"/>
        <w:bottom w:val="none" w:sz="0" w:space="0" w:color="auto"/>
        <w:right w:val="none" w:sz="0" w:space="0" w:color="auto"/>
      </w:divBdr>
    </w:div>
    <w:div w:id="1299798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il%40safetyandquality.gov.au?subject=" TargetMode="External"/><Relationship Id="rId18" Type="http://schemas.openxmlformats.org/officeDocument/2006/relationships/header" Target="header1.xml"/><Relationship Id="rId26" Type="http://schemas.openxmlformats.org/officeDocument/2006/relationships/hyperlink" Target="https://www.digitalhealth.gov.au/sites/default/files/documents/national-digital-health-strategy-2023-2028.pdf" TargetMode="External"/><Relationship Id="rId39" Type="http://schemas.openxmlformats.org/officeDocument/2006/relationships/image" Target="media/image15.svg"/><Relationship Id="rId21" Type="http://schemas.openxmlformats.org/officeDocument/2006/relationships/footer" Target="footer2.xml"/><Relationship Id="rId34" Type="http://schemas.openxmlformats.org/officeDocument/2006/relationships/image" Target="media/image10.png"/><Relationship Id="rId42" Type="http://schemas.openxmlformats.org/officeDocument/2006/relationships/hyperlink" Target="https://www.digitalhealth.gov.au/healthcare-providers/initiatives-and-programs/digital-health-standards" TargetMode="External"/><Relationship Id="rId47" Type="http://schemas.openxmlformats.org/officeDocument/2006/relationships/image" Target="media/image20.png"/><Relationship Id="rId50" Type="http://schemas.openxmlformats.org/officeDocument/2006/relationships/hyperlink" Target="https://www.safetyandquality.gov.au/publications-and-resources/resource-library/national-guidelines-screen-display-medicines-information" TargetMode="External"/><Relationship Id="rId55"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7.svg"/><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s://www.safetyandquality.gov.au/standards/nsqhs-standards" TargetMode="External"/><Relationship Id="rId37" Type="http://schemas.openxmlformats.org/officeDocument/2006/relationships/image" Target="media/image13.svg"/><Relationship Id="rId40" Type="http://schemas.openxmlformats.org/officeDocument/2006/relationships/image" Target="media/image16.png"/><Relationship Id="rId45" Type="http://schemas.openxmlformats.org/officeDocument/2006/relationships/image" Target="media/image19.svg"/><Relationship Id="rId53" Type="http://schemas.openxmlformats.org/officeDocument/2006/relationships/hyperlink" Target="https://developer.digitalhealth.gov.au/" TargetMode="External"/><Relationship Id="rId58" Type="http://schemas.openxmlformats.org/officeDocument/2006/relationships/image" Target="media/image240.svg"/><Relationship Id="rId5" Type="http://schemas.openxmlformats.org/officeDocument/2006/relationships/numbering" Target="numbering.xml"/><Relationship Id="rId61" Type="http://schemas.openxmlformats.org/officeDocument/2006/relationships/glossaryDocument" Target="glossary/document.xml"/><Relationship Id="rId19" Type="http://schemas.openxmlformats.org/officeDocument/2006/relationships/header" Target="header2.xml"/><Relationship Id="rId14" Type="http://schemas.openxmlformats.org/officeDocument/2006/relationships/hyperlink" Target="http://www.safetyandquality.gov.au" TargetMode="External"/><Relationship Id="rId22" Type="http://schemas.openxmlformats.org/officeDocument/2006/relationships/header" Target="header3.xml"/><Relationship Id="rId27" Type="http://schemas.openxmlformats.org/officeDocument/2006/relationships/image" Target="media/image5.emf"/><Relationship Id="rId30" Type="http://schemas.openxmlformats.org/officeDocument/2006/relationships/image" Target="media/image8.png"/><Relationship Id="rId35" Type="http://schemas.openxmlformats.org/officeDocument/2006/relationships/image" Target="media/image11.svg"/><Relationship Id="rId43" Type="http://schemas.openxmlformats.org/officeDocument/2006/relationships/hyperlink" Target="https://www.safetyandquality.gov.au/sites/default/files/2024-12/recommendations-for-safe-use-of-medicines-terminology.pdf" TargetMode="External"/><Relationship Id="rId48" Type="http://schemas.openxmlformats.org/officeDocument/2006/relationships/image" Target="media/image21.svg"/><Relationship Id="rId56" Type="http://schemas.openxmlformats.org/officeDocument/2006/relationships/image" Target="media/image24.svg"/><Relationship Id="rId8" Type="http://schemas.openxmlformats.org/officeDocument/2006/relationships/webSettings" Target="webSettings.xml"/><Relationship Id="rId51" Type="http://schemas.openxmlformats.org/officeDocument/2006/relationships/hyperlink" Target="https://www.safetyandquality.gov.au/publications-and-resources/resource-library/national-guidelines-screen-display-medicines-informatio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safetyandquality.gov.au/permission-request" TargetMode="External"/><Relationship Id="rId25" Type="http://schemas.openxmlformats.org/officeDocument/2006/relationships/hyperlink" Target="https://developer.digitalhealth.gov.au/" TargetMode="External"/><Relationship Id="rId33" Type="http://schemas.openxmlformats.org/officeDocument/2006/relationships/hyperlink" Target="https://www.safetyandquality.gov.au/our-work/transitions-care/principles-safe-and-high-quality-transitions-care" TargetMode="External"/><Relationship Id="rId38" Type="http://schemas.openxmlformats.org/officeDocument/2006/relationships/image" Target="media/image14.png"/><Relationship Id="rId46" Type="http://schemas.openxmlformats.org/officeDocument/2006/relationships/hyperlink" Target="https://developer.digitalhealth.gov.au/" TargetMode="External"/><Relationship Id="rId59" Type="http://schemas.openxmlformats.org/officeDocument/2006/relationships/header" Target="header5.xml"/><Relationship Id="rId20" Type="http://schemas.openxmlformats.org/officeDocument/2006/relationships/footer" Target="footer1.xml"/><Relationship Id="rId41" Type="http://schemas.openxmlformats.org/officeDocument/2006/relationships/image" Target="media/image17.svg"/><Relationship Id="rId54" Type="http://schemas.openxmlformats.org/officeDocument/2006/relationships/image" Target="media/image2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nc-nd/4.0/" TargetMode="Externa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https://www.safetyandquality.gov.au/publications-and-resources/resource-library/antimicrobial-stewardship-clinical-care-standard-2020" TargetMode="External"/><Relationship Id="rId57" Type="http://schemas.openxmlformats.org/officeDocument/2006/relationships/image" Target="media/image230.png"/><Relationship Id="rId10" Type="http://schemas.openxmlformats.org/officeDocument/2006/relationships/endnotes" Target="endnotes.xml"/><Relationship Id="rId31" Type="http://schemas.openxmlformats.org/officeDocument/2006/relationships/image" Target="media/image9.svg"/><Relationship Id="rId44" Type="http://schemas.openxmlformats.org/officeDocument/2006/relationships/image" Target="media/image18.png"/><Relationship Id="rId52" Type="http://schemas.openxmlformats.org/officeDocument/2006/relationships/hyperlink" Target="https://www.digitalhealth.gov.au/sites/default/files/documents/national-digital-health-strategy-2023-2028.pdf"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47354C263054CD7AF4A85525CF9177A"/>
        <w:category>
          <w:name w:val="General"/>
          <w:gallery w:val="placeholder"/>
        </w:category>
        <w:types>
          <w:type w:val="bbPlcHdr"/>
        </w:types>
        <w:behaviors>
          <w:behavior w:val="content"/>
        </w:behaviors>
        <w:guid w:val="{DC81DC09-F295-4E2C-B969-BC44BF5D9D85}"/>
      </w:docPartPr>
      <w:docPartBody>
        <w:p w:rsidR="00371ACF" w:rsidRDefault="00371ACF" w:rsidP="00371ACF">
          <w:pPr>
            <w:pStyle w:val="347354C263054CD7AF4A85525CF9177A"/>
          </w:pPr>
          <w:r w:rsidRPr="00062BA3">
            <w:t>Best-practice care for people, clinicians,</w:t>
          </w:r>
          <w:r>
            <w:t xml:space="preserve"> </w:t>
          </w:r>
          <w:r w:rsidRPr="00062BA3">
            <w:t>and Healthcare 36 pt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F233D" w:rsidRDefault="006F233D">
      <w:pPr>
        <w:spacing w:after="0" w:line="240" w:lineRule="auto"/>
      </w:pPr>
      <w:r>
        <w:separator/>
      </w:r>
    </w:p>
  </w:endnote>
  <w:endnote w:type="continuationSeparator" w:id="0">
    <w:p w:rsidR="006F233D" w:rsidRDefault="006F233D">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old">
    <w:altName w:val="Aria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otham Medium">
    <w:charset w:val="00"/>
    <w:family w:val="auto"/>
    <w:pitch w:val="variable"/>
    <w:sig w:usb0="A100007F" w:usb1="4000005B" w:usb2="00000000" w:usb3="00000000" w:csb0="0000009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F233D" w:rsidRDefault="006F233D">
      <w:pPr>
        <w:spacing w:after="0" w:line="240" w:lineRule="auto"/>
      </w:pPr>
      <w:r>
        <w:separator/>
      </w:r>
    </w:p>
  </w:footnote>
  <w:footnote w:type="continuationSeparator" w:id="0">
    <w:p w:rsidR="006F233D" w:rsidRDefault="006F233D">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1F7723"/>
    <w:multiLevelType w:val="multilevel"/>
    <w:tmpl w:val="F3AE1808"/>
    <w:lvl w:ilvl="0">
      <w:start w:val="1"/>
      <w:numFmt w:val="decimal"/>
      <w:pStyle w:val="Caption"/>
      <w:suff w:val="space"/>
      <w:lvlText w:val="Figure 1.%1"/>
      <w:lvlJc w:val="left"/>
      <w:pPr>
        <w:ind w:left="0" w:firstLine="0"/>
      </w:pPr>
      <w:rPr>
        <w:rFonts w:asciiTheme="minorHAnsi" w:hAnsiTheme="minorHAnsi" w:hint="default"/>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5556080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D51"/>
    <w:rsid w:val="00031886"/>
    <w:rsid w:val="00034CA9"/>
    <w:rsid w:val="00072888"/>
    <w:rsid w:val="00080E17"/>
    <w:rsid w:val="000A4AEE"/>
    <w:rsid w:val="000A5C0F"/>
    <w:rsid w:val="000C045D"/>
    <w:rsid w:val="000C1B8F"/>
    <w:rsid w:val="000C721E"/>
    <w:rsid w:val="000E3EAC"/>
    <w:rsid w:val="001251D1"/>
    <w:rsid w:val="001457C0"/>
    <w:rsid w:val="00152581"/>
    <w:rsid w:val="00160718"/>
    <w:rsid w:val="001712E1"/>
    <w:rsid w:val="001717DE"/>
    <w:rsid w:val="00174708"/>
    <w:rsid w:val="00185E78"/>
    <w:rsid w:val="00190EE5"/>
    <w:rsid w:val="001C2493"/>
    <w:rsid w:val="00212374"/>
    <w:rsid w:val="00234A0A"/>
    <w:rsid w:val="00255EB0"/>
    <w:rsid w:val="00271B6B"/>
    <w:rsid w:val="002721AA"/>
    <w:rsid w:val="00274521"/>
    <w:rsid w:val="002760FF"/>
    <w:rsid w:val="002A5D1A"/>
    <w:rsid w:val="002B6170"/>
    <w:rsid w:val="002C1B37"/>
    <w:rsid w:val="002D230D"/>
    <w:rsid w:val="002D5E50"/>
    <w:rsid w:val="0032009E"/>
    <w:rsid w:val="00332A2C"/>
    <w:rsid w:val="00334DFA"/>
    <w:rsid w:val="0035741F"/>
    <w:rsid w:val="00360551"/>
    <w:rsid w:val="00360A96"/>
    <w:rsid w:val="003713D2"/>
    <w:rsid w:val="00371ACF"/>
    <w:rsid w:val="00375370"/>
    <w:rsid w:val="00377F16"/>
    <w:rsid w:val="00386BA6"/>
    <w:rsid w:val="00391E39"/>
    <w:rsid w:val="00393504"/>
    <w:rsid w:val="00393641"/>
    <w:rsid w:val="003B735D"/>
    <w:rsid w:val="003E19F9"/>
    <w:rsid w:val="003F1B03"/>
    <w:rsid w:val="00410DAB"/>
    <w:rsid w:val="00421E99"/>
    <w:rsid w:val="004259AD"/>
    <w:rsid w:val="0044369F"/>
    <w:rsid w:val="0045567D"/>
    <w:rsid w:val="004622D6"/>
    <w:rsid w:val="0048437F"/>
    <w:rsid w:val="004A0B94"/>
    <w:rsid w:val="004A27AB"/>
    <w:rsid w:val="004A2AB7"/>
    <w:rsid w:val="004B0292"/>
    <w:rsid w:val="004B17FB"/>
    <w:rsid w:val="004D2834"/>
    <w:rsid w:val="004F0DB1"/>
    <w:rsid w:val="00524354"/>
    <w:rsid w:val="005303BD"/>
    <w:rsid w:val="00530CD8"/>
    <w:rsid w:val="0054568A"/>
    <w:rsid w:val="00555FF1"/>
    <w:rsid w:val="00560AC1"/>
    <w:rsid w:val="005804E7"/>
    <w:rsid w:val="00583A05"/>
    <w:rsid w:val="0058501C"/>
    <w:rsid w:val="005962B1"/>
    <w:rsid w:val="005A3FB2"/>
    <w:rsid w:val="005A48C8"/>
    <w:rsid w:val="005B13D5"/>
    <w:rsid w:val="005D2781"/>
    <w:rsid w:val="005F4B1C"/>
    <w:rsid w:val="006014C6"/>
    <w:rsid w:val="00626D84"/>
    <w:rsid w:val="00671D4C"/>
    <w:rsid w:val="00674DD1"/>
    <w:rsid w:val="00691304"/>
    <w:rsid w:val="00691C97"/>
    <w:rsid w:val="00693751"/>
    <w:rsid w:val="006B4500"/>
    <w:rsid w:val="006B67FE"/>
    <w:rsid w:val="006E12D3"/>
    <w:rsid w:val="006E40CD"/>
    <w:rsid w:val="006E6195"/>
    <w:rsid w:val="006F233D"/>
    <w:rsid w:val="00720614"/>
    <w:rsid w:val="00730E2D"/>
    <w:rsid w:val="00736C86"/>
    <w:rsid w:val="00755E9B"/>
    <w:rsid w:val="00756A70"/>
    <w:rsid w:val="00775E7C"/>
    <w:rsid w:val="007A4250"/>
    <w:rsid w:val="007C5B7C"/>
    <w:rsid w:val="007F024E"/>
    <w:rsid w:val="008044C2"/>
    <w:rsid w:val="008122A5"/>
    <w:rsid w:val="0082499B"/>
    <w:rsid w:val="00825736"/>
    <w:rsid w:val="008328D9"/>
    <w:rsid w:val="00861215"/>
    <w:rsid w:val="0086257B"/>
    <w:rsid w:val="00867A29"/>
    <w:rsid w:val="00875919"/>
    <w:rsid w:val="00876962"/>
    <w:rsid w:val="00881553"/>
    <w:rsid w:val="008969F7"/>
    <w:rsid w:val="008A34A8"/>
    <w:rsid w:val="008C59C2"/>
    <w:rsid w:val="008F22DF"/>
    <w:rsid w:val="009026D3"/>
    <w:rsid w:val="00925973"/>
    <w:rsid w:val="00925993"/>
    <w:rsid w:val="00982173"/>
    <w:rsid w:val="009951D1"/>
    <w:rsid w:val="009967DA"/>
    <w:rsid w:val="009B6121"/>
    <w:rsid w:val="009D2E06"/>
    <w:rsid w:val="009F503E"/>
    <w:rsid w:val="00A10995"/>
    <w:rsid w:val="00A2102A"/>
    <w:rsid w:val="00A45210"/>
    <w:rsid w:val="00A552A7"/>
    <w:rsid w:val="00A608A2"/>
    <w:rsid w:val="00A6122F"/>
    <w:rsid w:val="00A77C9F"/>
    <w:rsid w:val="00A8505C"/>
    <w:rsid w:val="00AA62F8"/>
    <w:rsid w:val="00AB530E"/>
    <w:rsid w:val="00AB5FFB"/>
    <w:rsid w:val="00AC07F0"/>
    <w:rsid w:val="00AC1CC3"/>
    <w:rsid w:val="00AD2F37"/>
    <w:rsid w:val="00AD4765"/>
    <w:rsid w:val="00AE5580"/>
    <w:rsid w:val="00AE6B04"/>
    <w:rsid w:val="00B238D4"/>
    <w:rsid w:val="00B34696"/>
    <w:rsid w:val="00B422D6"/>
    <w:rsid w:val="00B57C2F"/>
    <w:rsid w:val="00B62237"/>
    <w:rsid w:val="00B72177"/>
    <w:rsid w:val="00B81269"/>
    <w:rsid w:val="00B846A2"/>
    <w:rsid w:val="00B920FA"/>
    <w:rsid w:val="00BA4520"/>
    <w:rsid w:val="00BA4A3C"/>
    <w:rsid w:val="00BB2815"/>
    <w:rsid w:val="00BC4E55"/>
    <w:rsid w:val="00BE0D51"/>
    <w:rsid w:val="00BE789F"/>
    <w:rsid w:val="00BF4602"/>
    <w:rsid w:val="00C0177A"/>
    <w:rsid w:val="00C31329"/>
    <w:rsid w:val="00C3509D"/>
    <w:rsid w:val="00C54E6C"/>
    <w:rsid w:val="00C82F59"/>
    <w:rsid w:val="00C85349"/>
    <w:rsid w:val="00C906F1"/>
    <w:rsid w:val="00C91A4F"/>
    <w:rsid w:val="00C93711"/>
    <w:rsid w:val="00C93D9B"/>
    <w:rsid w:val="00CB1248"/>
    <w:rsid w:val="00CC237D"/>
    <w:rsid w:val="00CE4BBF"/>
    <w:rsid w:val="00D11DB8"/>
    <w:rsid w:val="00D13E68"/>
    <w:rsid w:val="00D2293A"/>
    <w:rsid w:val="00D308AB"/>
    <w:rsid w:val="00D33F93"/>
    <w:rsid w:val="00D43C27"/>
    <w:rsid w:val="00D55B17"/>
    <w:rsid w:val="00D56B00"/>
    <w:rsid w:val="00D60D1A"/>
    <w:rsid w:val="00D62281"/>
    <w:rsid w:val="00D63F83"/>
    <w:rsid w:val="00D67A9F"/>
    <w:rsid w:val="00D76BAE"/>
    <w:rsid w:val="00D76EC5"/>
    <w:rsid w:val="00D824A1"/>
    <w:rsid w:val="00D85A65"/>
    <w:rsid w:val="00DB565E"/>
    <w:rsid w:val="00DB6150"/>
    <w:rsid w:val="00DB6B58"/>
    <w:rsid w:val="00DB7207"/>
    <w:rsid w:val="00DC08B1"/>
    <w:rsid w:val="00DD0DB1"/>
    <w:rsid w:val="00DD542A"/>
    <w:rsid w:val="00DD7645"/>
    <w:rsid w:val="00DE25ED"/>
    <w:rsid w:val="00DF4C52"/>
    <w:rsid w:val="00E43500"/>
    <w:rsid w:val="00E442CC"/>
    <w:rsid w:val="00E63525"/>
    <w:rsid w:val="00E6368F"/>
    <w:rsid w:val="00E63D5C"/>
    <w:rsid w:val="00EC3C79"/>
    <w:rsid w:val="00ED7E34"/>
    <w:rsid w:val="00F25668"/>
    <w:rsid w:val="00F30C5A"/>
    <w:rsid w:val="00F37F5D"/>
    <w:rsid w:val="00F425CE"/>
    <w:rsid w:val="00F44E93"/>
    <w:rsid w:val="00F65174"/>
    <w:rsid w:val="00F800FF"/>
    <w:rsid w:val="00F90527"/>
    <w:rsid w:val="00FB5D78"/>
    <w:rsid w:val="00FC093C"/>
    <w:rsid w:val="00FD2597"/>
    <w:rsid w:val="00FD6902"/>
    <w:rsid w:val="00FF385D"/>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D51"/>
    <w:rPr>
      <w:rFonts w:cs="Times New Roman"/>
      <w:sz w:val="3276"/>
      <w:szCs w:val="3276"/>
    </w:rPr>
  </w:style>
  <w:style w:type="paragraph" w:styleId="Heading1">
    <w:name w:val="heading 1"/>
    <w:basedOn w:val="Normal"/>
    <w:next w:val="Normal"/>
    <w:link w:val="Heading1Char"/>
    <w:uiPriority w:val="9"/>
    <w:qFormat/>
    <w:rsid w:val="000A5C0F"/>
    <w:pPr>
      <w:keepNext/>
      <w:keepLines/>
      <w:spacing w:after="360" w:line="260" w:lineRule="atLeast"/>
      <w:contextualSpacing/>
      <w:outlineLvl w:val="0"/>
    </w:pPr>
    <w:rPr>
      <w:rFonts w:asciiTheme="majorHAnsi" w:eastAsiaTheme="minorHAnsi" w:hAnsiTheme="majorHAnsi"/>
      <w:color w:val="000000" w:themeColor="text1"/>
      <w:kern w:val="0"/>
      <w:sz w:val="52"/>
      <w:szCs w:val="44"/>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B2815"/>
    <w:rPr>
      <w:color w:val="666666"/>
    </w:rPr>
  </w:style>
  <w:style w:type="paragraph" w:styleId="Caption">
    <w:name w:val="caption"/>
    <w:basedOn w:val="Normal"/>
    <w:next w:val="Normal"/>
    <w:uiPriority w:val="11"/>
    <w:qFormat/>
    <w:rsid w:val="009026D3"/>
    <w:pPr>
      <w:keepNext/>
      <w:keepLines/>
      <w:numPr>
        <w:numId w:val="1"/>
      </w:numPr>
      <w:spacing w:before="360" w:after="120" w:line="240" w:lineRule="auto"/>
      <w:contextualSpacing/>
    </w:pPr>
    <w:rPr>
      <w:rFonts w:eastAsiaTheme="minorHAnsi"/>
      <w:iCs/>
      <w:color w:val="000000" w:themeColor="text1"/>
      <w:kern w:val="0"/>
      <w:sz w:val="16"/>
      <w:szCs w:val="20"/>
      <w:lang w:eastAsia="en-US"/>
      <w14:ligatures w14:val="none"/>
    </w:rPr>
  </w:style>
  <w:style w:type="paragraph" w:styleId="Subtitle">
    <w:name w:val="Subtitle"/>
    <w:basedOn w:val="Title"/>
    <w:link w:val="SubtitleChar"/>
    <w:uiPriority w:val="18"/>
    <w:qFormat/>
    <w:rsid w:val="00371ACF"/>
    <w:pPr>
      <w:framePr w:wrap="around"/>
      <w:spacing w:after="0"/>
    </w:pPr>
    <w:rPr>
      <w:sz w:val="32"/>
      <w:szCs w:val="24"/>
    </w:rPr>
  </w:style>
  <w:style w:type="character" w:customStyle="1" w:styleId="SubtitleChar">
    <w:name w:val="Subtitle Char"/>
    <w:basedOn w:val="DefaultParagraphFont"/>
    <w:link w:val="Subtitle"/>
    <w:uiPriority w:val="18"/>
    <w:rsid w:val="00371ACF"/>
    <w:rPr>
      <w:rFonts w:eastAsiaTheme="minorHAnsi" w:cs="Times New Roman"/>
      <w:color w:val="000000" w:themeColor="text1"/>
      <w:kern w:val="0"/>
      <w:sz w:val="32"/>
      <w:lang w:eastAsia="en-US"/>
      <w14:ligatures w14:val="none"/>
    </w:rPr>
  </w:style>
  <w:style w:type="paragraph" w:styleId="Title">
    <w:name w:val="Title"/>
    <w:basedOn w:val="Normal"/>
    <w:link w:val="TitleChar"/>
    <w:uiPriority w:val="17"/>
    <w:qFormat/>
    <w:rsid w:val="00371ACF"/>
    <w:pPr>
      <w:framePr w:w="6917" w:h="5670" w:hRule="exact" w:wrap="around" w:vAnchor="page" w:hAnchor="page" w:x="1022" w:y="4821"/>
      <w:spacing w:after="425" w:line="240" w:lineRule="auto"/>
    </w:pPr>
    <w:rPr>
      <w:rFonts w:eastAsiaTheme="minorHAnsi"/>
      <w:color w:val="000000" w:themeColor="text1"/>
      <w:kern w:val="0"/>
      <w:sz w:val="72"/>
      <w:szCs w:val="82"/>
      <w:lang w:eastAsia="en-US"/>
      <w14:ligatures w14:val="none"/>
    </w:rPr>
  </w:style>
  <w:style w:type="character" w:customStyle="1" w:styleId="TitleChar">
    <w:name w:val="Title Char"/>
    <w:basedOn w:val="DefaultParagraphFont"/>
    <w:link w:val="Title"/>
    <w:uiPriority w:val="17"/>
    <w:rsid w:val="00371ACF"/>
    <w:rPr>
      <w:rFonts w:eastAsiaTheme="minorHAnsi" w:cs="Times New Roman"/>
      <w:color w:val="000000" w:themeColor="text1"/>
      <w:kern w:val="0"/>
      <w:sz w:val="72"/>
      <w:szCs w:val="82"/>
      <w:lang w:eastAsia="en-US"/>
      <w14:ligatures w14:val="none"/>
    </w:rPr>
  </w:style>
  <w:style w:type="paragraph" w:styleId="Date">
    <w:name w:val="Date"/>
    <w:basedOn w:val="Normal"/>
    <w:next w:val="Normal"/>
    <w:link w:val="DateChar"/>
    <w:uiPriority w:val="99"/>
    <w:rsid w:val="00F65174"/>
    <w:pPr>
      <w:framePr w:w="9866" w:h="1191" w:hRule="exact" w:wrap="around" w:vAnchor="page" w:hAnchor="page" w:x="1022" w:yAlign="bottom"/>
      <w:tabs>
        <w:tab w:val="right" w:pos="9866"/>
      </w:tabs>
      <w:spacing w:after="0" w:line="240" w:lineRule="auto"/>
    </w:pPr>
    <w:rPr>
      <w:rFonts w:eastAsiaTheme="minorHAnsi"/>
      <w:b/>
      <w:color w:val="000000" w:themeColor="text1"/>
      <w:kern w:val="0"/>
      <w:sz w:val="22"/>
      <w:szCs w:val="22"/>
      <w:lang w:eastAsia="en-US"/>
      <w14:ligatures w14:val="none"/>
    </w:rPr>
  </w:style>
  <w:style w:type="character" w:customStyle="1" w:styleId="DateChar">
    <w:name w:val="Date Char"/>
    <w:basedOn w:val="DefaultParagraphFont"/>
    <w:link w:val="Date"/>
    <w:uiPriority w:val="99"/>
    <w:rsid w:val="00F65174"/>
    <w:rPr>
      <w:rFonts w:eastAsiaTheme="minorHAnsi" w:cs="Times New Roman"/>
      <w:b/>
      <w:color w:val="000000" w:themeColor="text1"/>
      <w:kern w:val="0"/>
      <w:sz w:val="22"/>
      <w:szCs w:val="22"/>
      <w:lang w:eastAsia="en-US"/>
      <w14:ligatures w14:val="none"/>
    </w:rPr>
  </w:style>
  <w:style w:type="character" w:styleId="Hyperlink">
    <w:name w:val="Hyperlink"/>
    <w:basedOn w:val="DefaultParagraphFont"/>
    <w:uiPriority w:val="99"/>
    <w:unhideWhenUsed/>
    <w:rsid w:val="0054568A"/>
    <w:rPr>
      <w:b/>
      <w:color w:val="000000" w:themeColor="text1"/>
      <w:u w:val="single"/>
    </w:rPr>
  </w:style>
  <w:style w:type="paragraph" w:styleId="Header">
    <w:name w:val="header"/>
    <w:basedOn w:val="Normal"/>
    <w:link w:val="HeaderChar"/>
    <w:uiPriority w:val="99"/>
    <w:unhideWhenUsed/>
    <w:rsid w:val="001C2493"/>
    <w:pPr>
      <w:tabs>
        <w:tab w:val="center" w:pos="4513"/>
        <w:tab w:val="right" w:pos="9026"/>
      </w:tabs>
      <w:spacing w:after="0" w:line="240" w:lineRule="auto"/>
      <w:ind w:right="-1701"/>
    </w:pPr>
    <w:rPr>
      <w:rFonts w:eastAsiaTheme="minorHAnsi"/>
      <w:color w:val="000000" w:themeColor="text1"/>
      <w:kern w:val="0"/>
      <w:sz w:val="14"/>
      <w:szCs w:val="20"/>
      <w:lang w:eastAsia="en-US"/>
      <w14:ligatures w14:val="none"/>
    </w:rPr>
  </w:style>
  <w:style w:type="character" w:customStyle="1" w:styleId="HeaderChar">
    <w:name w:val="Header Char"/>
    <w:basedOn w:val="DefaultParagraphFont"/>
    <w:link w:val="Header"/>
    <w:uiPriority w:val="99"/>
    <w:rsid w:val="001C2493"/>
    <w:rPr>
      <w:rFonts w:eastAsiaTheme="minorHAnsi" w:cs="Times New Roman"/>
      <w:color w:val="000000" w:themeColor="text1"/>
      <w:kern w:val="0"/>
      <w:sz w:val="14"/>
      <w:szCs w:val="20"/>
      <w:lang w:eastAsia="en-US"/>
      <w14:ligatures w14:val="none"/>
    </w:rPr>
  </w:style>
  <w:style w:type="paragraph" w:styleId="NoSpacing">
    <w:name w:val="No Spacing"/>
    <w:uiPriority w:val="1"/>
    <w:rsid w:val="00EC3C79"/>
    <w:pPr>
      <w:spacing w:after="0" w:line="260" w:lineRule="atLeast"/>
    </w:pPr>
    <w:rPr>
      <w:rFonts w:eastAsiaTheme="minorHAnsi" w:cs="Times New Roman"/>
      <w:color w:val="000000" w:themeColor="text1"/>
      <w:kern w:val="0"/>
      <w:sz w:val="22"/>
      <w:szCs w:val="22"/>
      <w:lang w:eastAsia="en-US"/>
      <w14:ligatures w14:val="none"/>
    </w:rPr>
  </w:style>
  <w:style w:type="paragraph" w:styleId="Footer">
    <w:name w:val="footer"/>
    <w:basedOn w:val="Normal"/>
    <w:link w:val="FooterChar"/>
    <w:uiPriority w:val="99"/>
    <w:unhideWhenUsed/>
    <w:rsid w:val="001C2493"/>
    <w:pPr>
      <w:tabs>
        <w:tab w:val="right" w:pos="10206"/>
      </w:tabs>
      <w:spacing w:after="0" w:line="240" w:lineRule="auto"/>
      <w:ind w:right="-1701"/>
    </w:pPr>
    <w:rPr>
      <w:rFonts w:eastAsiaTheme="minorHAnsi"/>
      <w:color w:val="000000" w:themeColor="text1"/>
      <w:kern w:val="0"/>
      <w:sz w:val="14"/>
      <w:szCs w:val="20"/>
      <w:lang w:eastAsia="en-US"/>
      <w14:ligatures w14:val="none"/>
    </w:rPr>
  </w:style>
  <w:style w:type="character" w:customStyle="1" w:styleId="FooterChar">
    <w:name w:val="Footer Char"/>
    <w:basedOn w:val="DefaultParagraphFont"/>
    <w:link w:val="Footer"/>
    <w:uiPriority w:val="99"/>
    <w:rsid w:val="001C2493"/>
    <w:rPr>
      <w:rFonts w:eastAsiaTheme="minorHAnsi" w:cs="Times New Roman"/>
      <w:color w:val="000000" w:themeColor="text1"/>
      <w:kern w:val="0"/>
      <w:sz w:val="14"/>
      <w:szCs w:val="20"/>
      <w:lang w:eastAsia="en-US"/>
      <w14:ligatures w14:val="none"/>
    </w:rPr>
  </w:style>
  <w:style w:type="character" w:customStyle="1" w:styleId="Heading1Char">
    <w:name w:val="Heading 1 Char"/>
    <w:basedOn w:val="DefaultParagraphFont"/>
    <w:link w:val="Heading1"/>
    <w:uiPriority w:val="9"/>
    <w:rsid w:val="000A5C0F"/>
    <w:rPr>
      <w:rFonts w:asciiTheme="majorHAnsi" w:eastAsiaTheme="minorHAnsi" w:hAnsiTheme="majorHAnsi" w:cs="Times New Roman"/>
      <w:color w:val="000000" w:themeColor="text1"/>
      <w:kern w:val="0"/>
      <w:sz w:val="52"/>
      <w:szCs w:val="44"/>
      <w:lang w:eastAsia="en-US"/>
      <w14:ligatures w14:val="none"/>
    </w:rPr>
  </w:style>
  <w:style w:type="paragraph" w:customStyle="1" w:styleId="347354C263054CD7AF4A85525CF9177A">
    <w:name w:val="347354C263054CD7AF4A85525CF9177A"/>
    <w:rsid w:val="00371ACF"/>
    <w:rPr>
      <w:szCs w:val="30"/>
      <w:lang w:bidi="th-T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QH">
      <a:dk1>
        <a:srgbClr val="000000"/>
      </a:dk1>
      <a:lt1>
        <a:srgbClr val="FFFFFF"/>
      </a:lt1>
      <a:dk2>
        <a:srgbClr val="D3BBFD"/>
      </a:dk2>
      <a:lt2>
        <a:srgbClr val="F0E8FE"/>
      </a:lt2>
      <a:accent1>
        <a:srgbClr val="421A75"/>
      </a:accent1>
      <a:accent2>
        <a:srgbClr val="890014"/>
      </a:accent2>
      <a:accent3>
        <a:srgbClr val="004C6E"/>
      </a:accent3>
      <a:accent4>
        <a:srgbClr val="B58EFB"/>
      </a:accent4>
      <a:accent5>
        <a:srgbClr val="FF959A"/>
      </a:accent5>
      <a:accent6>
        <a:srgbClr val="6ECCD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9" ma:contentTypeDescription="Create a new document." ma:contentTypeScope="" ma:versionID="41766abdcb5c2a760298207a2a89c79f">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18ffefc133988b21c37714a1633b3c26"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B084CDB-9D6A-44E0-AFE3-C624C815ADE8}">
  <ds:schemaRefs>
    <ds:schemaRef ds:uri="http://schemas.microsoft.com/sharepoint/v3/contenttype/forms"/>
  </ds:schemaRefs>
</ds:datastoreItem>
</file>

<file path=customXml/itemProps2.xml><?xml version="1.0" encoding="utf-8"?>
<ds:datastoreItem xmlns:ds="http://schemas.openxmlformats.org/officeDocument/2006/customXml" ds:itemID="{76F8C92D-10A9-4FC9-9058-DE83686AD5ED}">
  <ds:schemaRefs>
    <ds:schemaRef ds:uri="http://schemas.openxmlformats.org/officeDocument/2006/bibliography"/>
  </ds:schemaRefs>
</ds:datastoreItem>
</file>

<file path=customXml/itemProps3.xml><?xml version="1.0" encoding="utf-8"?>
<ds:datastoreItem xmlns:ds="http://schemas.openxmlformats.org/officeDocument/2006/customXml" ds:itemID="{C601DBBB-ADCE-45A7-B601-FAB2F566B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BBB909-19C7-4924-93EB-338337285B8D}">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1375</Words>
  <Characters>54333</Characters>
  <Application>Microsoft Office Word</Application>
  <DocSecurity>0</DocSecurity>
  <Lines>2089</Lines>
  <Paragraphs>1392</Paragraphs>
  <ScaleCrop>false</ScaleCrop>
  <HeadingPairs>
    <vt:vector size="2" baseType="variant">
      <vt:variant>
        <vt:lpstr>Title</vt:lpstr>
      </vt:variant>
      <vt:variant>
        <vt:i4>1</vt:i4>
      </vt:variant>
    </vt:vector>
  </HeadingPairs>
  <TitlesOfParts>
    <vt:vector size="1" baseType="lpstr">
      <vt:lpstr>National guidelines for presentation of electronic discharge summaries</vt:lpstr>
    </vt:vector>
  </TitlesOfParts>
  <Manager/>
  <Company/>
  <LinksUpToDate>false</LinksUpToDate>
  <CharactersWithSpaces>54316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guidelines for presentation of electronic discharge summaries</dc:title>
  <dc:subject/>
  <dc:creator>Australian Commission on Safety and Quality in Health Care</dc:creator>
  <cp:keywords/>
  <dc:description/>
  <cp:lastModifiedBy>JESSOP, Tommy</cp:lastModifiedBy>
  <cp:revision>2</cp:revision>
  <cp:lastPrinted>2025-10-29T04:37:00Z</cp:lastPrinted>
  <dcterms:created xsi:type="dcterms:W3CDTF">2025-11-26T22:47:00Z</dcterms:created>
  <dcterms:modified xsi:type="dcterms:W3CDTF">2025-11-26T22:47:00Z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Order">
    <vt:i4>3589400</vt:i4>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MSIP_Label_7cd3e8b9-ffed-43a8-b7f4-cc2fa0382d36_Enabled">
    <vt:lpwstr>true</vt:lpwstr>
  </property>
  <property fmtid="{D5CDD505-2E9C-101B-9397-08002B2CF9AE}" pid="10" name="MSIP_Label_7cd3e8b9-ffed-43a8-b7f4-cc2fa0382d36_SetDate">
    <vt:lpwstr>2025-11-26T22:47:39Z</vt:lpwstr>
  </property>
  <property fmtid="{D5CDD505-2E9C-101B-9397-08002B2CF9AE}" pid="11" name="MSIP_Label_7cd3e8b9-ffed-43a8-b7f4-cc2fa0382d36_Method">
    <vt:lpwstr>Privileged</vt:lpwstr>
  </property>
  <property fmtid="{D5CDD505-2E9C-101B-9397-08002B2CF9AE}" pid="12" name="MSIP_Label_7cd3e8b9-ffed-43a8-b7f4-cc2fa0382d36_Name">
    <vt:lpwstr>O</vt:lpwstr>
  </property>
  <property fmtid="{D5CDD505-2E9C-101B-9397-08002B2CF9AE}" pid="13" name="MSIP_Label_7cd3e8b9-ffed-43a8-b7f4-cc2fa0382d36_SiteId">
    <vt:lpwstr>34a3929c-73cf-4954-abfe-147dc3517892</vt:lpwstr>
  </property>
  <property fmtid="{D5CDD505-2E9C-101B-9397-08002B2CF9AE}" pid="14" name="MSIP_Label_7cd3e8b9-ffed-43a8-b7f4-cc2fa0382d36_ActionId">
    <vt:lpwstr>978a846b-d308-4a4d-87ba-8402845568a2</vt:lpwstr>
  </property>
  <property fmtid="{D5CDD505-2E9C-101B-9397-08002B2CF9AE}" pid="15" name="MSIP_Label_7cd3e8b9-ffed-43a8-b7f4-cc2fa0382d36_ContentBits">
    <vt:lpwstr>3</vt:lpwstr>
  </property>
  <property fmtid="{D5CDD505-2E9C-101B-9397-08002B2CF9AE}" pid="16" name="MSIP_Label_7cd3e8b9-ffed-43a8-b7f4-cc2fa0382d36_Tag">
    <vt:lpwstr>10, 0, 1, 1</vt:lpwstr>
  </property>
</Properties>
</file>