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98B6" w14:textId="51C07545" w:rsidR="00466C72" w:rsidRPr="00466C72" w:rsidRDefault="006F4572" w:rsidP="00466C72">
      <w:pPr>
        <w:pStyle w:val="Category"/>
        <w:rPr>
          <w:smallCaps/>
        </w:rPr>
      </w:pPr>
      <w:bookmarkStart w:id="0" w:name="_Toc476822632"/>
      <w:bookmarkStart w:id="1" w:name="_Toc476822653"/>
      <w:r>
        <w:rPr>
          <w:smallCaps/>
        </w:rPr>
        <w:t>FACT SHEET</w:t>
      </w:r>
      <w:r w:rsidR="00466C72" w:rsidRPr="00466C72">
        <w:rPr>
          <w:smallCaps/>
        </w:rPr>
        <w:t xml:space="preserve"> </w:t>
      </w:r>
    </w:p>
    <w:p w14:paraId="1E30EC98" w14:textId="77777777" w:rsidR="003C09C8" w:rsidRDefault="00466C72" w:rsidP="00466C72">
      <w:pPr>
        <w:pStyle w:val="Category"/>
        <w:rPr>
          <w:b w:val="0"/>
          <w:bCs/>
        </w:rPr>
      </w:pPr>
      <w:r w:rsidRPr="00466C72">
        <w:rPr>
          <w:b w:val="0"/>
          <w:bCs/>
        </w:rPr>
        <w:t xml:space="preserve">for </w:t>
      </w:r>
      <w:r w:rsidR="00FD60D4">
        <w:rPr>
          <w:b w:val="0"/>
          <w:bCs/>
        </w:rPr>
        <w:t>CMO</w:t>
      </w:r>
      <w:r w:rsidR="003C09C8">
        <w:rPr>
          <w:b w:val="0"/>
          <w:bCs/>
        </w:rPr>
        <w:t xml:space="preserve"> mental health</w:t>
      </w:r>
    </w:p>
    <w:p w14:paraId="640B4842" w14:textId="69DB53F6" w:rsidR="00466C72" w:rsidRDefault="00FD60D4" w:rsidP="00466C72">
      <w:pPr>
        <w:pStyle w:val="Category"/>
        <w:rPr>
          <w:b w:val="0"/>
          <w:bCs/>
        </w:rPr>
      </w:pPr>
      <w:r>
        <w:rPr>
          <w:b w:val="0"/>
          <w:bCs/>
        </w:rPr>
        <w:t xml:space="preserve"> </w:t>
      </w:r>
      <w:r w:rsidR="006F4572">
        <w:rPr>
          <w:b w:val="0"/>
          <w:bCs/>
        </w:rPr>
        <w:t>service providers</w:t>
      </w:r>
      <w:r w:rsidR="00466C72" w:rsidRPr="00466C72">
        <w:rPr>
          <w:b w:val="0"/>
          <w:bCs/>
        </w:rPr>
        <w:t xml:space="preserve"> </w:t>
      </w:r>
    </w:p>
    <w:bookmarkEnd w:id="0"/>
    <w:bookmarkEnd w:id="1"/>
    <w:p w14:paraId="563DC469" w14:textId="4D4272E2" w:rsidR="006A0017" w:rsidRPr="00BA5233" w:rsidRDefault="00BA5233" w:rsidP="006A0017">
      <w:pPr>
        <w:pStyle w:val="Title"/>
        <w:rPr>
          <w:rFonts w:hint="eastAsia"/>
          <w:bCs/>
          <w:lang w:val="en-GB"/>
        </w:rPr>
      </w:pPr>
      <w:r w:rsidRPr="00BA5233">
        <w:rPr>
          <w:bCs/>
          <w:lang w:val="en-GB"/>
        </w:rPr>
        <w:t xml:space="preserve">National Safety and Quality </w:t>
      </w:r>
      <w:r w:rsidR="005A701E">
        <w:rPr>
          <w:bCs/>
          <w:lang w:val="en-GB"/>
        </w:rPr>
        <w:br/>
      </w:r>
      <w:r w:rsidRPr="00BA5233">
        <w:rPr>
          <w:bCs/>
          <w:lang w:val="en-GB"/>
        </w:rPr>
        <w:t xml:space="preserve">Mental Health Standards </w:t>
      </w:r>
      <w:r w:rsidR="002C29F4">
        <w:rPr>
          <w:bCs/>
          <w:lang w:val="en-GB"/>
        </w:rPr>
        <w:t xml:space="preserve">for Community Managed Organisations </w:t>
      </w:r>
      <w:r w:rsidRPr="00BA5233">
        <w:rPr>
          <w:bCs/>
          <w:lang w:val="en-GB"/>
        </w:rPr>
        <w:t xml:space="preserve">assessment </w:t>
      </w:r>
      <w:r w:rsidR="00734977">
        <w:rPr>
          <w:bCs/>
          <w:lang w:val="en-GB"/>
        </w:rPr>
        <w:t>process</w:t>
      </w:r>
    </w:p>
    <w:p w14:paraId="31C4274E" w14:textId="646652E3" w:rsidR="00C471AE" w:rsidRDefault="00A93A51" w:rsidP="00C471AE">
      <w:r>
        <w:t>The National Safety and Quality Mental Health Standards for Community Managed Organisations (NSQMHCMO Standards)</w:t>
      </w:r>
      <w:r w:rsidR="00C471AE">
        <w:t xml:space="preserve"> aim to improve the quality of mental health service </w:t>
      </w:r>
      <w:r w:rsidR="00C471AE" w:rsidRPr="00C471AE">
        <w:t>provision</w:t>
      </w:r>
      <w:r w:rsidR="00C471AE">
        <w:t xml:space="preserve">, and to protect </w:t>
      </w:r>
      <w:r w:rsidR="007C5368">
        <w:t>consumers, families and carers</w:t>
      </w:r>
      <w:r w:rsidR="00C471AE">
        <w:t xml:space="preserve"> from harm. The three NSQMH</w:t>
      </w:r>
      <w:r w:rsidR="004B45F6">
        <w:t>CMO</w:t>
      </w:r>
      <w:r w:rsidR="00C471AE">
        <w:t xml:space="preserve"> Standards include </w:t>
      </w:r>
      <w:r>
        <w:t>82</w:t>
      </w:r>
      <w:r w:rsidR="00C471AE">
        <w:t xml:space="preserve"> actions</w:t>
      </w:r>
      <w:r w:rsidR="004B45F6">
        <w:t xml:space="preserve">. </w:t>
      </w:r>
      <w:r w:rsidR="00C471AE">
        <w:t>They describe the level of care and the safeguards that a mental health service should provide.</w:t>
      </w:r>
    </w:p>
    <w:p w14:paraId="4D24B4A6" w14:textId="77777777" w:rsidR="00C471AE" w:rsidRDefault="00C471AE" w:rsidP="00C471AE">
      <w:r>
        <w:t xml:space="preserve">This fact sheet outlines the process for service </w:t>
      </w:r>
      <w:r w:rsidRPr="00C471AE">
        <w:t>providers</w:t>
      </w:r>
      <w:r>
        <w:t xml:space="preserve"> seeking accreditation.</w:t>
      </w:r>
    </w:p>
    <w:p w14:paraId="143331EE" w14:textId="77777777" w:rsidR="00C471AE" w:rsidRDefault="00C471AE" w:rsidP="00C471AE">
      <w:r>
        <w:t xml:space="preserve">The Australian Commission on Safety and Quality in Health Care (the Commission) is responsible for writing and coordinating the accreditation scheme. This is </w:t>
      </w:r>
      <w:r w:rsidRPr="00C471AE">
        <w:t>known</w:t>
      </w:r>
      <w:r>
        <w:t xml:space="preserve"> as the </w:t>
      </w:r>
      <w:hyperlink r:id="rId11" w:history="1">
        <w:r>
          <w:rPr>
            <w:rStyle w:val="Hyperlink"/>
          </w:rPr>
          <w:t>Australian Health Service Safety and Quality Accreditation (AHSSQA) Scheme</w:t>
        </w:r>
      </w:hyperlink>
      <w:r>
        <w:t xml:space="preserve">. </w:t>
      </w:r>
    </w:p>
    <w:p w14:paraId="0B0F20FA" w14:textId="08EEA3D2" w:rsidR="00C471AE" w:rsidRDefault="00C471AE" w:rsidP="00C471AE">
      <w:r>
        <w:t xml:space="preserve">The Commission has developed an accreditation process for the </w:t>
      </w:r>
      <w:r w:rsidR="00A93A51">
        <w:t>NSQMHCMO</w:t>
      </w:r>
      <w:r>
        <w:t xml:space="preserve"> Standards, which will operate under the AHSSQA Scheme.</w:t>
      </w:r>
    </w:p>
    <w:p w14:paraId="5E70BC0F" w14:textId="7E145E8E" w:rsidR="00C471AE" w:rsidRDefault="00C471AE" w:rsidP="00C471AE">
      <w:r>
        <w:t xml:space="preserve">To become </w:t>
      </w:r>
      <w:r w:rsidR="007C5368">
        <w:t>accredited, community</w:t>
      </w:r>
      <w:r w:rsidR="004B45F6">
        <w:t xml:space="preserve"> managed </w:t>
      </w:r>
      <w:r>
        <w:t xml:space="preserve">service providers must pass an assessment to show they have met the </w:t>
      </w:r>
      <w:r w:rsidR="00A93A51">
        <w:t>NSQMHCMO</w:t>
      </w:r>
      <w:r>
        <w:t xml:space="preserve"> Standards. Accreditation assessments are conducted by independent accrediting agencies, approved by the Commission. </w:t>
      </w:r>
    </w:p>
    <w:p w14:paraId="25EB6FDB" w14:textId="0401E95C" w:rsidR="00C471AE" w:rsidRDefault="00C471AE" w:rsidP="00C471AE">
      <w:r>
        <w:t xml:space="preserve">Approved accrediting agencies are listed in </w:t>
      </w:r>
      <w:r w:rsidRPr="00094418">
        <w:t xml:space="preserve">a </w:t>
      </w:r>
      <w:hyperlink r:id="rId12" w:anchor="approved-accrediting-agencies" w:history="1">
        <w:r w:rsidRPr="00FF3DE7">
          <w:rPr>
            <w:rStyle w:val="Hyperlink"/>
          </w:rPr>
          <w:t>register</w:t>
        </w:r>
      </w:hyperlink>
      <w:r>
        <w:t xml:space="preserve"> on the Commission’s website.  </w:t>
      </w:r>
    </w:p>
    <w:p w14:paraId="496D834C" w14:textId="384A39AA" w:rsidR="005A701E" w:rsidRDefault="005A701E" w:rsidP="000556A9">
      <w:pPr>
        <w:pStyle w:val="Heading2"/>
      </w:pPr>
      <w:r>
        <w:t>Self-</w:t>
      </w:r>
      <w:r w:rsidRPr="000556A9">
        <w:t>assessment</w:t>
      </w:r>
      <w:r>
        <w:t xml:space="preserve"> </w:t>
      </w:r>
    </w:p>
    <w:p w14:paraId="347BCB1A" w14:textId="73ABBCD4" w:rsidR="00C471AE" w:rsidRDefault="00C471AE" w:rsidP="00C471AE">
      <w:r>
        <w:t xml:space="preserve">Prior to an assessment taking place, </w:t>
      </w:r>
      <w:r w:rsidR="007C5368">
        <w:t>service</w:t>
      </w:r>
      <w:r>
        <w:t xml:space="preserve"> providers are encouraged to undertake a self-assessment of their safety and quality systems, using the Commission’s </w:t>
      </w:r>
      <w:hyperlink r:id="rId13" w:history="1">
        <w:r>
          <w:rPr>
            <w:rStyle w:val="Hyperlink"/>
          </w:rPr>
          <w:t>self-assessment tool</w:t>
        </w:r>
      </w:hyperlink>
      <w:r>
        <w:t>. By conducting a self-assessment, providers can identify both areas where their organisation meets the standards and areas where improvement is required.</w:t>
      </w:r>
    </w:p>
    <w:p w14:paraId="53E72501" w14:textId="77777777" w:rsidR="005A701E" w:rsidRDefault="005A701E" w:rsidP="000556A9">
      <w:pPr>
        <w:pStyle w:val="Heading2"/>
      </w:pPr>
      <w:r>
        <w:t>Formal assessment</w:t>
      </w:r>
    </w:p>
    <w:p w14:paraId="658383A2" w14:textId="6F1DF4D9" w:rsidR="005A701E" w:rsidRDefault="005A701E" w:rsidP="00FB694C">
      <w:r>
        <w:t>The form</w:t>
      </w:r>
      <w:r w:rsidRPr="00FB694C">
        <w:t>al assessment process follows 1</w:t>
      </w:r>
      <w:r w:rsidR="00C471AE">
        <w:t>1</w:t>
      </w:r>
      <w:r w:rsidRPr="00FB694C">
        <w:t xml:space="preserve"> steps:</w:t>
      </w:r>
    </w:p>
    <w:p w14:paraId="2DBCF5D3" w14:textId="21B515E1" w:rsidR="00C471AE" w:rsidRPr="00C471AE" w:rsidRDefault="00C471AE" w:rsidP="00C471AE">
      <w:pPr>
        <w:pStyle w:val="ListParagraph"/>
        <w:numPr>
          <w:ilvl w:val="0"/>
          <w:numId w:val="33"/>
        </w:numPr>
      </w:pPr>
      <w:r w:rsidRPr="00C471AE">
        <w:rPr>
          <w:rStyle w:val="Strong"/>
        </w:rPr>
        <w:t>Application</w:t>
      </w:r>
      <w:r w:rsidRPr="00C471AE">
        <w:t xml:space="preserve"> – Service providers complete an application for an assessment with an approved accrediting agency</w:t>
      </w:r>
      <w:r w:rsidR="00785279">
        <w:t>.</w:t>
      </w:r>
    </w:p>
    <w:p w14:paraId="452F5A19" w14:textId="3B151249" w:rsidR="00C471AE" w:rsidRPr="00C471AE" w:rsidRDefault="00C471AE" w:rsidP="00C471AE">
      <w:pPr>
        <w:pStyle w:val="ListParagraph"/>
        <w:numPr>
          <w:ilvl w:val="0"/>
          <w:numId w:val="33"/>
        </w:numPr>
      </w:pPr>
      <w:r w:rsidRPr="00C471AE">
        <w:rPr>
          <w:rStyle w:val="Strong"/>
        </w:rPr>
        <w:t>Schedule</w:t>
      </w:r>
      <w:r w:rsidRPr="00C471AE">
        <w:t xml:space="preserve"> – Service providers work with their accrediting agency to clarify dates, requirements and arrangements for an assessment</w:t>
      </w:r>
      <w:r w:rsidR="00616BBC">
        <w:t>. The accrediting agency must provide at least four weeks’ notice of the date for commencement of the initial assessment</w:t>
      </w:r>
      <w:r w:rsidR="00785279">
        <w:t>.</w:t>
      </w:r>
    </w:p>
    <w:p w14:paraId="44A03EA2" w14:textId="326B412E" w:rsidR="00C471AE" w:rsidRPr="00C471AE" w:rsidRDefault="00C471AE" w:rsidP="00C471AE">
      <w:pPr>
        <w:pStyle w:val="ListParagraph"/>
        <w:numPr>
          <w:ilvl w:val="0"/>
          <w:numId w:val="33"/>
        </w:numPr>
      </w:pPr>
      <w:r w:rsidRPr="00C471AE">
        <w:rPr>
          <w:rStyle w:val="Strong"/>
        </w:rPr>
        <w:lastRenderedPageBreak/>
        <w:t>Application for not applicable actions</w:t>
      </w:r>
      <w:r w:rsidRPr="00C471AE">
        <w:t xml:space="preserve"> – Where relevant, a service provider may apply to their accrediting agency for relevant actions to be rated ‘not applicable’ at assessment</w:t>
      </w:r>
      <w:r w:rsidR="00785279">
        <w:t>.</w:t>
      </w:r>
    </w:p>
    <w:p w14:paraId="5C5208C1" w14:textId="57B04033" w:rsidR="00783E96" w:rsidRDefault="00C471AE" w:rsidP="00783E96">
      <w:pPr>
        <w:pStyle w:val="ListParagraph"/>
        <w:numPr>
          <w:ilvl w:val="0"/>
          <w:numId w:val="33"/>
        </w:numPr>
      </w:pPr>
      <w:r w:rsidRPr="00C471AE">
        <w:rPr>
          <w:rStyle w:val="Strong"/>
        </w:rPr>
        <w:t>Initial assessment</w:t>
      </w:r>
      <w:r w:rsidRPr="00C471AE">
        <w:t xml:space="preserve"> –</w:t>
      </w:r>
      <w:r w:rsidR="00D44DF0">
        <w:t xml:space="preserve"> T</w:t>
      </w:r>
      <w:r w:rsidR="00616BBC">
        <w:t xml:space="preserve">he </w:t>
      </w:r>
      <w:r w:rsidRPr="00C471AE">
        <w:t xml:space="preserve">accrediting agency conducts an initial </w:t>
      </w:r>
      <w:r w:rsidR="00783E96">
        <w:t xml:space="preserve">on-site </w:t>
      </w:r>
      <w:r w:rsidRPr="00C471AE">
        <w:t>assessment</w:t>
      </w:r>
      <w:r w:rsidR="00D44DF0">
        <w:t>. A qualified lead assessor from the agency</w:t>
      </w:r>
      <w:r w:rsidRPr="00C471AE">
        <w:t xml:space="preserve"> </w:t>
      </w:r>
      <w:r w:rsidR="00D44DF0">
        <w:t>will lead the assessment team, manage and coordinate the accreditation assessment process. The lead assessor will have a sound understanding of community based mental health service</w:t>
      </w:r>
      <w:r w:rsidR="00C04AAC">
        <w:t>s</w:t>
      </w:r>
      <w:r w:rsidR="00D44DF0">
        <w:t xml:space="preserve"> within Australia</w:t>
      </w:r>
      <w:r w:rsidR="00785279">
        <w:t>.</w:t>
      </w:r>
    </w:p>
    <w:p w14:paraId="59CC74DA" w14:textId="1F9BD11A" w:rsidR="00C471AE" w:rsidRPr="00C471AE" w:rsidRDefault="00C471AE" w:rsidP="00D5714E">
      <w:pPr>
        <w:pStyle w:val="ListParagraph"/>
        <w:numPr>
          <w:ilvl w:val="0"/>
          <w:numId w:val="33"/>
        </w:numPr>
      </w:pPr>
      <w:r w:rsidRPr="00C471AE">
        <w:rPr>
          <w:rStyle w:val="Strong"/>
        </w:rPr>
        <w:t>Exceptions report</w:t>
      </w:r>
      <w:r w:rsidRPr="00C471AE">
        <w:t xml:space="preserve"> – </w:t>
      </w:r>
      <w:r w:rsidR="00522139">
        <w:t>W</w:t>
      </w:r>
      <w:r w:rsidR="00522139" w:rsidRPr="00522139">
        <w:t>ithin five business days of the initial assessment</w:t>
      </w:r>
      <w:r w:rsidR="00522139">
        <w:t>, t</w:t>
      </w:r>
      <w:r w:rsidRPr="00C471AE">
        <w:t xml:space="preserve">he accrediting agency provides an exceptions report to the service provider outlining the outcome of the initial assessment including specifying </w:t>
      </w:r>
      <w:r w:rsidRPr="00173C21">
        <w:t>actions that are rated ‘not met’ or ‘met with recommendations’, and the reasons for these ratings</w:t>
      </w:r>
      <w:r w:rsidR="00785279">
        <w:t>.</w:t>
      </w:r>
    </w:p>
    <w:p w14:paraId="13ABC4D6" w14:textId="1266ABAF" w:rsidR="00C471AE" w:rsidRPr="00C471AE" w:rsidRDefault="00C471AE" w:rsidP="00C471AE">
      <w:pPr>
        <w:pStyle w:val="ListParagraph"/>
        <w:numPr>
          <w:ilvl w:val="0"/>
          <w:numId w:val="33"/>
        </w:numPr>
      </w:pPr>
      <w:r w:rsidRPr="00C471AE">
        <w:rPr>
          <w:rStyle w:val="Strong"/>
        </w:rPr>
        <w:t>Remediation period</w:t>
      </w:r>
      <w:r w:rsidRPr="00C471AE">
        <w:t xml:space="preserve"> – Where required, a period of 60 business days is allowed for a service provider to address any areas where the service provider does not </w:t>
      </w:r>
      <w:r w:rsidR="0077780F">
        <w:t>meet</w:t>
      </w:r>
      <w:r w:rsidRPr="00C471AE">
        <w:t xml:space="preserve"> the requirements in the </w:t>
      </w:r>
      <w:r w:rsidR="00A93A51">
        <w:t>NSQMHCMO</w:t>
      </w:r>
      <w:r w:rsidRPr="00C471AE">
        <w:t> Standards</w:t>
      </w:r>
      <w:r w:rsidR="00785279">
        <w:t>.</w:t>
      </w:r>
    </w:p>
    <w:p w14:paraId="3FAAFFF6" w14:textId="761990A3" w:rsidR="00C471AE" w:rsidRPr="00173C21" w:rsidRDefault="00C471AE" w:rsidP="00C471AE">
      <w:pPr>
        <w:pStyle w:val="ListParagraph"/>
        <w:numPr>
          <w:ilvl w:val="0"/>
          <w:numId w:val="33"/>
        </w:numPr>
      </w:pPr>
      <w:r w:rsidRPr="00C471AE">
        <w:rPr>
          <w:rStyle w:val="Strong"/>
        </w:rPr>
        <w:t>Final assessment</w:t>
      </w:r>
      <w:r w:rsidRPr="00C471AE">
        <w:t xml:space="preserve"> –</w:t>
      </w:r>
      <w:r w:rsidR="00093865">
        <w:t xml:space="preserve"> Accrediting agencies schedule and </w:t>
      </w:r>
      <w:r w:rsidR="006C12C5">
        <w:t xml:space="preserve">conduct </w:t>
      </w:r>
      <w:r w:rsidR="00093865">
        <w:t>a final accreditation assessment f</w:t>
      </w:r>
      <w:r w:rsidRPr="00C471AE">
        <w:t xml:space="preserve">or actions that were ‘not met’ </w:t>
      </w:r>
      <w:r w:rsidR="00106333">
        <w:t xml:space="preserve">and ‘met with recommendations’ </w:t>
      </w:r>
      <w:r w:rsidRPr="00173C21">
        <w:t xml:space="preserve">at </w:t>
      </w:r>
      <w:r w:rsidR="00093865" w:rsidRPr="00173C21">
        <w:t>initial assessment stage</w:t>
      </w:r>
      <w:r w:rsidR="00785279">
        <w:t>.</w:t>
      </w:r>
    </w:p>
    <w:p w14:paraId="1E2A5F61" w14:textId="07D500F7" w:rsidR="00C471AE" w:rsidRPr="00173C21" w:rsidRDefault="00C471AE" w:rsidP="00C471AE">
      <w:pPr>
        <w:pStyle w:val="ListParagraph"/>
        <w:numPr>
          <w:ilvl w:val="0"/>
          <w:numId w:val="33"/>
        </w:numPr>
      </w:pPr>
      <w:r w:rsidRPr="00173C21">
        <w:rPr>
          <w:rStyle w:val="Strong"/>
        </w:rPr>
        <w:t>Outcome and final report</w:t>
      </w:r>
      <w:r w:rsidRPr="00173C21">
        <w:t xml:space="preserve"> – The accrediting agency determines the accreditation outcome based on the final assessment. The agency will deliver a final assessment report within 30 days of completion of the final </w:t>
      </w:r>
      <w:r w:rsidR="00AC0358" w:rsidRPr="00173C21">
        <w:t xml:space="preserve">accreditation </w:t>
      </w:r>
      <w:r w:rsidRPr="00173C21">
        <w:t xml:space="preserve">assessment detailing findings for each action assessed, including suggestions for improvement, and requirements to achieve </w:t>
      </w:r>
      <w:r w:rsidR="0077780F">
        <w:t>the</w:t>
      </w:r>
      <w:r w:rsidRPr="00173C21">
        <w:t xml:space="preserve"> actions that are rated ‘met with recommendations’</w:t>
      </w:r>
      <w:r w:rsidR="00785279">
        <w:t>.</w:t>
      </w:r>
    </w:p>
    <w:p w14:paraId="5A99CC00" w14:textId="0BC4ABF9" w:rsidR="00C471AE" w:rsidRPr="00C471AE" w:rsidRDefault="00C471AE" w:rsidP="00C471AE">
      <w:pPr>
        <w:pStyle w:val="ListParagraph"/>
        <w:numPr>
          <w:ilvl w:val="0"/>
          <w:numId w:val="33"/>
        </w:numPr>
      </w:pPr>
      <w:r w:rsidRPr="00C471AE">
        <w:rPr>
          <w:rStyle w:val="Strong"/>
        </w:rPr>
        <w:t>Submission of data</w:t>
      </w:r>
      <w:r w:rsidRPr="00C471AE">
        <w:t xml:space="preserve"> – The Commission receives data on assessment outcomes from accrediting agency by the tenth day of the month</w:t>
      </w:r>
      <w:r w:rsidR="00785279">
        <w:t>.</w:t>
      </w:r>
    </w:p>
    <w:p w14:paraId="59340BF1" w14:textId="130616DF" w:rsidR="00C471AE" w:rsidRPr="00C471AE" w:rsidRDefault="00C471AE" w:rsidP="00C471AE">
      <w:pPr>
        <w:pStyle w:val="ListParagraph"/>
        <w:numPr>
          <w:ilvl w:val="0"/>
          <w:numId w:val="33"/>
        </w:numPr>
      </w:pPr>
      <w:r w:rsidRPr="00C471AE">
        <w:rPr>
          <w:rStyle w:val="Strong"/>
        </w:rPr>
        <w:t>Registration</w:t>
      </w:r>
      <w:r w:rsidRPr="00C471AE">
        <w:t xml:space="preserve"> –</w:t>
      </w:r>
      <w:r w:rsidR="0050326E">
        <w:t xml:space="preserve"> S</w:t>
      </w:r>
      <w:r w:rsidRPr="00C471AE">
        <w:t xml:space="preserve">ervice providers who </w:t>
      </w:r>
      <w:r w:rsidRPr="00173C21">
        <w:t xml:space="preserve">are ‘Accredited’ </w:t>
      </w:r>
      <w:r w:rsidR="0050326E">
        <w:t xml:space="preserve">will be published on the Commission’s website as </w:t>
      </w:r>
      <w:r w:rsidRPr="0050326E">
        <w:t xml:space="preserve">a register of assessed </w:t>
      </w:r>
      <w:r w:rsidR="00173C21">
        <w:t>community</w:t>
      </w:r>
      <w:r w:rsidR="001748CA">
        <w:t>-</w:t>
      </w:r>
      <w:r w:rsidR="00173C21">
        <w:t xml:space="preserve">managed </w:t>
      </w:r>
      <w:r w:rsidRPr="0050326E">
        <w:t>mental health service</w:t>
      </w:r>
      <w:r w:rsidR="00173C21">
        <w:t xml:space="preserve"> </w:t>
      </w:r>
      <w:r w:rsidR="001748CA">
        <w:t>organisations and/or mental health service provider</w:t>
      </w:r>
      <w:r w:rsidR="00785279">
        <w:t>.</w:t>
      </w:r>
    </w:p>
    <w:p w14:paraId="3CBB04A0" w14:textId="1192B38A" w:rsidR="00C471AE" w:rsidRPr="00C471AE" w:rsidRDefault="00C471AE" w:rsidP="00C471AE">
      <w:pPr>
        <w:pStyle w:val="ListParagraph"/>
        <w:numPr>
          <w:ilvl w:val="0"/>
          <w:numId w:val="33"/>
        </w:numPr>
      </w:pPr>
      <w:r w:rsidRPr="00C471AE">
        <w:rPr>
          <w:rStyle w:val="Strong"/>
        </w:rPr>
        <w:t>Ongoing monitoring</w:t>
      </w:r>
      <w:r w:rsidRPr="00C471AE">
        <w:t xml:space="preserve"> – Service providers continue their monitoring and quality improvement process to continue to </w:t>
      </w:r>
      <w:r w:rsidR="0077780F">
        <w:t>achieve</w:t>
      </w:r>
      <w:r w:rsidRPr="00C471AE">
        <w:t xml:space="preserve"> the </w:t>
      </w:r>
      <w:r w:rsidR="00A93A51">
        <w:t>NSQMHCMO</w:t>
      </w:r>
      <w:r w:rsidRPr="00C471AE">
        <w:t xml:space="preserve"> Standards throughout the three</w:t>
      </w:r>
      <w:r w:rsidRPr="00C471AE">
        <w:rPr>
          <w:rFonts w:ascii="Cambria Math" w:hAnsi="Cambria Math" w:cs="Cambria Math"/>
        </w:rPr>
        <w:t>‑</w:t>
      </w:r>
      <w:r w:rsidRPr="00C471AE">
        <w:t>year accreditation cycle.</w:t>
      </w:r>
    </w:p>
    <w:p w14:paraId="46367A98" w14:textId="77777777" w:rsidR="005A701E" w:rsidRDefault="005A701E" w:rsidP="005A701E">
      <w:pPr>
        <w:pStyle w:val="Heading2"/>
      </w:pPr>
      <w:r>
        <w:t>What happens at an assessment?</w:t>
      </w:r>
    </w:p>
    <w:p w14:paraId="2644A0ED" w14:textId="6D40E60C" w:rsidR="00C471AE" w:rsidRDefault="00C471AE" w:rsidP="00C471AE">
      <w:r>
        <w:t xml:space="preserve">Assessors from an approved </w:t>
      </w:r>
      <w:r w:rsidRPr="00C471AE">
        <w:t>accrediting</w:t>
      </w:r>
      <w:r>
        <w:t xml:space="preserve"> agency will conduct assessments of the systems and processes in place to assure the safety and quality of </w:t>
      </w:r>
      <w:r w:rsidR="004B45F6">
        <w:t>community</w:t>
      </w:r>
      <w:r w:rsidR="00173C21">
        <w:t>-</w:t>
      </w:r>
      <w:r w:rsidR="004B45F6">
        <w:t xml:space="preserve">managed </w:t>
      </w:r>
      <w:r>
        <w:t xml:space="preserve">mental health service providers. </w:t>
      </w:r>
      <w:r w:rsidR="00737DDB">
        <w:t xml:space="preserve">It is recommended that assessors use </w:t>
      </w:r>
      <w:hyperlink r:id="rId14" w:history="1">
        <w:r w:rsidR="00737DDB" w:rsidRPr="00737DDB">
          <w:rPr>
            <w:rStyle w:val="Hyperlink"/>
          </w:rPr>
          <w:t>PICMoRS</w:t>
        </w:r>
      </w:hyperlink>
      <w:r w:rsidR="00737DDB">
        <w:t xml:space="preserve"> (Process, Improvement, Consumer participation, Monitoring, Reporting, Systems) to systematically undertake the assessment.</w:t>
      </w:r>
    </w:p>
    <w:p w14:paraId="50AE59D6" w14:textId="6E1AE438" w:rsidR="00C471AE" w:rsidRDefault="000556A9" w:rsidP="00C471AE">
      <w:pPr>
        <w:pStyle w:val="Heading3"/>
      </w:pPr>
      <w:r>
        <w:t>On-site assessment</w:t>
      </w:r>
      <w:r w:rsidR="00C471AE">
        <w:t xml:space="preserve"> </w:t>
      </w:r>
    </w:p>
    <w:p w14:paraId="4BB93664" w14:textId="75A368D0" w:rsidR="00C471AE" w:rsidRPr="00C471AE" w:rsidRDefault="00C471AE" w:rsidP="00C471AE">
      <w:r>
        <w:t xml:space="preserve">This </w:t>
      </w:r>
      <w:r w:rsidRPr="00C471AE">
        <w:t>stage will test safety and quality systems and processes are working in practice. It will include interviews with the service provider</w:t>
      </w:r>
      <w:r w:rsidR="000556A9">
        <w:t>, members of the workforce, consumers and carers</w:t>
      </w:r>
      <w:r w:rsidRPr="00C471AE">
        <w:t xml:space="preserve">. </w:t>
      </w:r>
    </w:p>
    <w:p w14:paraId="1B687764" w14:textId="734E2C20" w:rsidR="00C471AE" w:rsidRPr="00C471AE" w:rsidRDefault="00C471AE" w:rsidP="00C471AE">
      <w:r w:rsidRPr="00C471AE">
        <w:t>Assessors will provide feedback following the review. Assessors will also list the areas that they want to review during the assessment</w:t>
      </w:r>
      <w:r w:rsidR="000556A9">
        <w:t xml:space="preserve">, including </w:t>
      </w:r>
      <w:hyperlink r:id="rId15" w:history="1">
        <w:r w:rsidR="000556A9" w:rsidRPr="000556A9">
          <w:rPr>
            <w:rStyle w:val="Hyperlink"/>
          </w:rPr>
          <w:t>not-applicable actions</w:t>
        </w:r>
      </w:hyperlink>
      <w:r w:rsidR="007B7376">
        <w:t xml:space="preserve"> that have been nominated by the service provider</w:t>
      </w:r>
      <w:r w:rsidRPr="00C471AE">
        <w:t xml:space="preserve">. Detailed pre-planning will help to ensure a positive assessment experience. </w:t>
      </w:r>
    </w:p>
    <w:p w14:paraId="11B901BC" w14:textId="40DE8DB2" w:rsidR="00C471AE" w:rsidRPr="00C471AE" w:rsidRDefault="00C471AE" w:rsidP="00C471AE">
      <w:r w:rsidRPr="00C471AE">
        <w:t xml:space="preserve">During the </w:t>
      </w:r>
      <w:r w:rsidR="007B7376">
        <w:t>on-site</w:t>
      </w:r>
      <w:r w:rsidRPr="00C471AE">
        <w:t xml:space="preserve"> assessment, assessors will familiarise themselves with the service provider’s mental health services. They will interview a range of people, including the service provider’s governing body and members of the workforce. Where possible, they will also seek to engage with service users and their support people. </w:t>
      </w:r>
    </w:p>
    <w:p w14:paraId="01844AF0" w14:textId="443E802B" w:rsidR="00C471AE" w:rsidRDefault="00C471AE" w:rsidP="00C471AE">
      <w:r w:rsidRPr="00C471AE">
        <w:lastRenderedPageBreak/>
        <w:t>Where the service provider is given one or more ratings of ‘</w:t>
      </w:r>
      <w:r w:rsidRPr="00173C21">
        <w:t>Not met’ or ‘Met with recommendations’</w:t>
      </w:r>
      <w:r w:rsidRPr="00C471AE">
        <w:t xml:space="preserve"> from the </w:t>
      </w:r>
      <w:r w:rsidR="007B7376">
        <w:t>on-site</w:t>
      </w:r>
      <w:r w:rsidRPr="00C471AE">
        <w:t xml:space="preserve"> assessment</w:t>
      </w:r>
      <w:r>
        <w:t xml:space="preserve">, a period of up to 60 business days is allowed for remediation activity to occur before a final assessment is conducted. </w:t>
      </w:r>
    </w:p>
    <w:p w14:paraId="4B3B9129" w14:textId="23EE13F6" w:rsidR="00C471AE" w:rsidRDefault="00743657" w:rsidP="00C471AE">
      <w:pPr>
        <w:pStyle w:val="Heading2"/>
      </w:pPr>
      <w:r>
        <w:t>Assessment o</w:t>
      </w:r>
      <w:r w:rsidR="00C471AE">
        <w:t>utcome</w:t>
      </w:r>
    </w:p>
    <w:p w14:paraId="51924EF9" w14:textId="3C7E4506" w:rsidR="00C471AE" w:rsidRDefault="00106333" w:rsidP="00106333">
      <w:bookmarkStart w:id="2" w:name="_Hlk180507866"/>
      <w:r>
        <w:t>To be awarded accreditation, a service provider needs to have achieved a rating of ‘met’ or ‘met with recommendations’ for all applicable actions.</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340" w:type="dxa"/>
        </w:tblCellMar>
        <w:tblLook w:val="0620" w:firstRow="1" w:lastRow="0" w:firstColumn="0" w:lastColumn="0" w:noHBand="1" w:noVBand="1"/>
        <w:tblDescription w:val="Rating scale for assessment"/>
      </w:tblPr>
      <w:tblGrid>
        <w:gridCol w:w="9638"/>
      </w:tblGrid>
      <w:tr w:rsidR="00B769EC" w:rsidRPr="00B769EC" w14:paraId="08BA8B77" w14:textId="77777777" w:rsidTr="009C0380">
        <w:trPr>
          <w:cnfStyle w:val="100000000000" w:firstRow="1" w:lastRow="0" w:firstColumn="0" w:lastColumn="0" w:oddVBand="0" w:evenVBand="0" w:oddHBand="0" w:evenHBand="0" w:firstRowFirstColumn="0" w:firstRowLastColumn="0" w:lastRowFirstColumn="0" w:lastRowLastColumn="0"/>
          <w:trHeight w:val="202"/>
        </w:trPr>
        <w:tc>
          <w:tcPr>
            <w:tcW w:w="5000" w:type="pct"/>
            <w:tcBorders>
              <w:top w:val="nil"/>
              <w:left w:val="nil"/>
              <w:bottom w:val="nil"/>
              <w:right w:val="nil"/>
            </w:tcBorders>
          </w:tcPr>
          <w:bookmarkEnd w:id="2"/>
          <w:p w14:paraId="6B3E30F9" w14:textId="6DDEBEC0" w:rsidR="00E223CA" w:rsidRPr="009C0380" w:rsidRDefault="00E223CA" w:rsidP="004A1FC9">
            <w:pPr>
              <w:spacing w:before="0"/>
              <w:rPr>
                <w:rStyle w:val="Strong"/>
                <w:b/>
                <w:bCs/>
                <w:sz w:val="28"/>
                <w:szCs w:val="28"/>
              </w:rPr>
            </w:pPr>
            <w:r w:rsidRPr="009C0380">
              <w:rPr>
                <w:rStyle w:val="Strong"/>
                <w:b/>
                <w:bCs/>
                <w:sz w:val="28"/>
                <w:szCs w:val="28"/>
              </w:rPr>
              <w:t>Rating scale for assessment</w:t>
            </w:r>
          </w:p>
          <w:p w14:paraId="2D983E0D" w14:textId="247D0539" w:rsidR="00B769EC" w:rsidRPr="009C0380" w:rsidRDefault="00B769EC" w:rsidP="004A1FC9">
            <w:pPr>
              <w:spacing w:before="0"/>
              <w:rPr>
                <w:rStyle w:val="Strong"/>
                <w:b/>
                <w:bCs/>
                <w:sz w:val="22"/>
              </w:rPr>
            </w:pPr>
            <w:r w:rsidRPr="009C0380">
              <w:rPr>
                <w:rStyle w:val="Strong"/>
                <w:b/>
                <w:bCs/>
                <w:sz w:val="22"/>
              </w:rPr>
              <w:t>Met</w:t>
            </w:r>
          </w:p>
          <w:p w14:paraId="44914753" w14:textId="77777777" w:rsidR="00B769EC" w:rsidRPr="009C0380" w:rsidRDefault="00B769EC" w:rsidP="00B769EC">
            <w:pPr>
              <w:rPr>
                <w:b w:val="0"/>
                <w:bCs w:val="0"/>
                <w:sz w:val="22"/>
              </w:rPr>
            </w:pPr>
            <w:r w:rsidRPr="009C0380">
              <w:rPr>
                <w:b w:val="0"/>
                <w:bCs w:val="0"/>
                <w:sz w:val="22"/>
              </w:rPr>
              <w:t>All requirements are satisfied.</w:t>
            </w:r>
          </w:p>
          <w:p w14:paraId="146A0363" w14:textId="77777777" w:rsidR="00B769EC" w:rsidRPr="009C0380" w:rsidRDefault="00B769EC" w:rsidP="00CD7171">
            <w:pPr>
              <w:rPr>
                <w:rStyle w:val="Strong"/>
                <w:b/>
                <w:bCs/>
                <w:sz w:val="22"/>
              </w:rPr>
            </w:pPr>
            <w:r w:rsidRPr="009C0380">
              <w:rPr>
                <w:rStyle w:val="Strong"/>
                <w:b/>
                <w:bCs/>
                <w:sz w:val="22"/>
              </w:rPr>
              <w:t>Met with recommendations</w:t>
            </w:r>
            <w:r w:rsidRPr="009C0380">
              <w:rPr>
                <w:rStyle w:val="Strong"/>
                <w:b/>
                <w:bCs/>
                <w:sz w:val="22"/>
              </w:rPr>
              <w:tab/>
            </w:r>
          </w:p>
          <w:p w14:paraId="4210A456" w14:textId="77777777" w:rsidR="00B769EC" w:rsidRPr="009C0380" w:rsidRDefault="00B769EC" w:rsidP="00CD7171">
            <w:pPr>
              <w:rPr>
                <w:b w:val="0"/>
                <w:bCs w:val="0"/>
                <w:sz w:val="22"/>
              </w:rPr>
            </w:pPr>
            <w:r w:rsidRPr="009C0380">
              <w:rPr>
                <w:b w:val="0"/>
                <w:bCs w:val="0"/>
                <w:sz w:val="22"/>
              </w:rPr>
              <w:t>The requirements of an action are largely being implemented by the service provider, with the exception of a minor part of the action, where additional implementation is required.</w:t>
            </w:r>
          </w:p>
          <w:p w14:paraId="137D5A00" w14:textId="77777777" w:rsidR="00B769EC" w:rsidRPr="009C0380" w:rsidRDefault="00B769EC" w:rsidP="00CD7171">
            <w:pPr>
              <w:rPr>
                <w:b w:val="0"/>
                <w:bCs w:val="0"/>
                <w:sz w:val="22"/>
              </w:rPr>
            </w:pPr>
            <w:r w:rsidRPr="009C0380">
              <w:rPr>
                <w:b w:val="0"/>
                <w:bCs w:val="0"/>
                <w:sz w:val="22"/>
              </w:rPr>
              <w:t>‘Met with recommendations’ may not be awarded at two consecutive assessments where the recommendation is made about the same service provider and the same action. In this case an action should be rated as ‘not met’.</w:t>
            </w:r>
          </w:p>
          <w:p w14:paraId="4AF274E9" w14:textId="77777777" w:rsidR="00B769EC" w:rsidRPr="009C0380" w:rsidRDefault="00B769EC" w:rsidP="00CD7171">
            <w:pPr>
              <w:rPr>
                <w:rStyle w:val="Strong"/>
                <w:b/>
                <w:bCs/>
                <w:sz w:val="22"/>
              </w:rPr>
            </w:pPr>
            <w:r w:rsidRPr="009C0380">
              <w:rPr>
                <w:rStyle w:val="Strong"/>
                <w:b/>
                <w:bCs/>
                <w:sz w:val="22"/>
              </w:rPr>
              <w:t>Not met</w:t>
            </w:r>
            <w:r w:rsidRPr="009C0380">
              <w:rPr>
                <w:rStyle w:val="Strong"/>
                <w:b/>
                <w:bCs/>
                <w:sz w:val="22"/>
              </w:rPr>
              <w:tab/>
            </w:r>
          </w:p>
          <w:p w14:paraId="527BF05A" w14:textId="77777777" w:rsidR="00B769EC" w:rsidRPr="009C0380" w:rsidRDefault="00B769EC" w:rsidP="00CD7171">
            <w:pPr>
              <w:rPr>
                <w:b w:val="0"/>
                <w:bCs w:val="0"/>
                <w:sz w:val="22"/>
              </w:rPr>
            </w:pPr>
            <w:r w:rsidRPr="009C0380">
              <w:rPr>
                <w:b w:val="0"/>
                <w:bCs w:val="0"/>
                <w:sz w:val="22"/>
              </w:rPr>
              <w:t>Part or all of the requirements of the action have not been implemented.</w:t>
            </w:r>
          </w:p>
          <w:p w14:paraId="77C08123" w14:textId="77777777" w:rsidR="00B769EC" w:rsidRPr="009C0380" w:rsidRDefault="00B769EC" w:rsidP="00CD7171">
            <w:pPr>
              <w:rPr>
                <w:rStyle w:val="Strong"/>
                <w:b/>
                <w:bCs/>
                <w:sz w:val="22"/>
              </w:rPr>
            </w:pPr>
            <w:r w:rsidRPr="009C0380">
              <w:rPr>
                <w:rStyle w:val="Strong"/>
                <w:b/>
                <w:bCs/>
                <w:sz w:val="22"/>
              </w:rPr>
              <w:t>Not applicable</w:t>
            </w:r>
            <w:r w:rsidRPr="009C0380">
              <w:rPr>
                <w:rStyle w:val="Strong"/>
                <w:b/>
                <w:bCs/>
                <w:sz w:val="22"/>
              </w:rPr>
              <w:tab/>
            </w:r>
          </w:p>
          <w:p w14:paraId="2F2710C1" w14:textId="1346531D" w:rsidR="00B769EC" w:rsidRPr="009C0380" w:rsidRDefault="00B769EC" w:rsidP="00CD7171">
            <w:pPr>
              <w:spacing w:after="0"/>
              <w:rPr>
                <w:b w:val="0"/>
                <w:bCs w:val="0"/>
              </w:rPr>
            </w:pPr>
            <w:r w:rsidRPr="009C0380">
              <w:rPr>
                <w:b w:val="0"/>
                <w:bCs w:val="0"/>
                <w:sz w:val="22"/>
              </w:rPr>
              <w:t xml:space="preserve">The action is not relevant in the service context being assessed. The Commission’s </w:t>
            </w:r>
            <w:r w:rsidR="007C5368" w:rsidRPr="009C0380">
              <w:rPr>
                <w:b w:val="0"/>
                <w:bCs w:val="0"/>
                <w:sz w:val="22"/>
              </w:rPr>
              <w:t>guidance</w:t>
            </w:r>
            <w:r w:rsidRPr="009C0380">
              <w:rPr>
                <w:b w:val="0"/>
                <w:bCs w:val="0"/>
                <w:sz w:val="22"/>
              </w:rPr>
              <w:t xml:space="preserve"> relating to </w:t>
            </w:r>
            <w:hyperlink r:id="rId16" w:history="1">
              <w:r w:rsidR="000556A9" w:rsidRPr="009C0380">
                <w:rPr>
                  <w:rStyle w:val="Hyperlink"/>
                  <w:b w:val="0"/>
                  <w:bCs w:val="0"/>
                  <w:sz w:val="22"/>
                </w:rPr>
                <w:t>not-applicable actions</w:t>
              </w:r>
            </w:hyperlink>
            <w:r w:rsidR="000556A9" w:rsidRPr="009C0380">
              <w:rPr>
                <w:b w:val="0"/>
                <w:bCs w:val="0"/>
                <w:sz w:val="22"/>
              </w:rPr>
              <w:t xml:space="preserve"> </w:t>
            </w:r>
            <w:r w:rsidRPr="009C0380">
              <w:rPr>
                <w:b w:val="0"/>
                <w:bCs w:val="0"/>
                <w:sz w:val="22"/>
              </w:rPr>
              <w:t>need to be taken into consideration when awarding a not applicable rating and assessors must confirm the action is not relevant in the service context during the assessment visit.</w:t>
            </w:r>
            <w:r w:rsidRPr="009C0380">
              <w:rPr>
                <w:b w:val="0"/>
                <w:bCs w:val="0"/>
              </w:rPr>
              <w:t xml:space="preserve"> </w:t>
            </w:r>
          </w:p>
        </w:tc>
      </w:tr>
    </w:tbl>
    <w:p w14:paraId="3067BB74" w14:textId="77777777" w:rsidR="000556A9" w:rsidRDefault="000556A9" w:rsidP="005D160D">
      <w:pPr>
        <w:pStyle w:val="Heading2"/>
        <w:spacing w:before="120"/>
      </w:pPr>
      <w:r>
        <w:t>Accreditation cycle</w:t>
      </w:r>
    </w:p>
    <w:p w14:paraId="168F2AAF" w14:textId="77777777" w:rsidR="000556A9" w:rsidRPr="00C471AE" w:rsidRDefault="000556A9" w:rsidP="005D160D">
      <w:pPr>
        <w:rPr>
          <w:lang w:val="en-GB"/>
        </w:rPr>
      </w:pPr>
      <w:r w:rsidRPr="00C471AE">
        <w:rPr>
          <w:lang w:val="en-GB"/>
        </w:rPr>
        <w:t>Service providers assessed as ‘Accredited’ will be awarded this outcome for a period of three years.</w:t>
      </w:r>
    </w:p>
    <w:p w14:paraId="0D654861" w14:textId="77777777" w:rsidR="000556A9" w:rsidRPr="00C471AE" w:rsidRDefault="000556A9" w:rsidP="000556A9">
      <w:pPr>
        <w:rPr>
          <w:lang w:val="en-GB"/>
        </w:rPr>
      </w:pPr>
      <w:r w:rsidRPr="00C471AE">
        <w:rPr>
          <w:lang w:val="en-GB"/>
        </w:rPr>
        <w:t>Early reassessment may be triggered when one or more of the following criteria are met:</w:t>
      </w:r>
    </w:p>
    <w:p w14:paraId="01966BB0" w14:textId="77777777" w:rsidR="000556A9" w:rsidRPr="00C471AE" w:rsidRDefault="000556A9" w:rsidP="000556A9">
      <w:pPr>
        <w:pStyle w:val="ListParagraph"/>
        <w:numPr>
          <w:ilvl w:val="0"/>
          <w:numId w:val="35"/>
        </w:numPr>
        <w:rPr>
          <w:lang w:val="en-GB"/>
        </w:rPr>
      </w:pPr>
      <w:r w:rsidRPr="00C471AE">
        <w:rPr>
          <w:lang w:val="en-GB"/>
        </w:rPr>
        <w:t>Significant change to the governance of the service provider</w:t>
      </w:r>
    </w:p>
    <w:p w14:paraId="02EF4647" w14:textId="02ADE621" w:rsidR="000556A9" w:rsidRDefault="000556A9" w:rsidP="000556A9">
      <w:pPr>
        <w:pStyle w:val="ListParagraph"/>
        <w:numPr>
          <w:ilvl w:val="0"/>
          <w:numId w:val="35"/>
        </w:numPr>
        <w:rPr>
          <w:lang w:val="en-GB"/>
        </w:rPr>
      </w:pPr>
      <w:r w:rsidRPr="00C471AE">
        <w:rPr>
          <w:lang w:val="en-GB"/>
        </w:rPr>
        <w:t>Significant change to the mental health services provided.</w:t>
      </w:r>
    </w:p>
    <w:p w14:paraId="1C965498" w14:textId="77777777" w:rsidR="005D160D" w:rsidRPr="000556A9" w:rsidRDefault="005D160D" w:rsidP="005D160D">
      <w:pPr>
        <w:pStyle w:val="ListParagraph"/>
        <w:rPr>
          <w:lang w:val="en-GB"/>
        </w:rPr>
      </w:pPr>
    </w:p>
    <w:p w14:paraId="01C2D583" w14:textId="39D6DD29" w:rsidR="005A701E" w:rsidRDefault="005A701E" w:rsidP="005D160D">
      <w:pPr>
        <w:pStyle w:val="Heading2"/>
        <w:spacing w:before="40" w:after="0"/>
      </w:pPr>
      <w:r>
        <w:t>Further information</w:t>
      </w:r>
    </w:p>
    <w:p w14:paraId="2A85A954" w14:textId="549AD10C" w:rsidR="005A701E" w:rsidRPr="00FB6E00" w:rsidRDefault="005A701E" w:rsidP="005D160D">
      <w:pPr>
        <w:spacing w:before="40" w:after="40"/>
      </w:pPr>
      <w:r w:rsidRPr="00FB6E00">
        <w:t xml:space="preserve">Further information on the </w:t>
      </w:r>
      <w:r w:rsidR="00A93A51" w:rsidRPr="00FB6E00">
        <w:t>NSQMHCMO</w:t>
      </w:r>
      <w:r w:rsidRPr="00FB6E00">
        <w:t xml:space="preserve"> Standards and accreditation can be found at: </w:t>
      </w:r>
      <w:r w:rsidRPr="00FB6E00">
        <w:br/>
      </w:r>
      <w:hyperlink r:id="rId17" w:history="1">
        <w:r w:rsidR="003C09C8" w:rsidRPr="00F62F7A">
          <w:rPr>
            <w:rStyle w:val="Hyperlink"/>
          </w:rPr>
          <w:t>www.safetyandquality.gov.au/mh-cmos</w:t>
        </w:r>
      </w:hyperlink>
      <w:r w:rsidR="00D2028D">
        <w:t xml:space="preserve"> </w:t>
      </w:r>
    </w:p>
    <w:p w14:paraId="64BDD1D5" w14:textId="77777777" w:rsidR="005A701E" w:rsidRPr="00FB6E00" w:rsidRDefault="005A701E" w:rsidP="005D160D">
      <w:pPr>
        <w:spacing w:before="40" w:after="40"/>
        <w:rPr>
          <w:rStyle w:val="Hyperlink"/>
        </w:rPr>
      </w:pPr>
      <w:r w:rsidRPr="00403AA1">
        <w:t xml:space="preserve">Email: </w:t>
      </w:r>
      <w:hyperlink r:id="rId18" w:history="1">
        <w:r w:rsidRPr="00FB6E00">
          <w:rPr>
            <w:rStyle w:val="Hyperlink"/>
          </w:rPr>
          <w:t>Advice.Centre@safetyandquality.gov.au</w:t>
        </w:r>
      </w:hyperlink>
    </w:p>
    <w:p w14:paraId="6127D2CF" w14:textId="77777777" w:rsidR="005A701E" w:rsidRDefault="005A701E" w:rsidP="005D160D">
      <w:pPr>
        <w:spacing w:before="40" w:after="40"/>
        <w:rPr>
          <w:strike/>
        </w:rPr>
      </w:pPr>
      <w:r w:rsidRPr="00FB6E00">
        <w:t>Phone: 1800 304 056.</w:t>
      </w:r>
    </w:p>
    <w:p w14:paraId="40FB07BF" w14:textId="4CC5F4AD" w:rsidR="00423FC4" w:rsidRPr="00423FC4" w:rsidRDefault="00423FC4" w:rsidP="005D160D">
      <w:pPr>
        <w:spacing w:before="40" w:after="40"/>
        <w:sectPr w:rsidR="00423FC4" w:rsidRPr="00423FC4" w:rsidSect="00C82FD9">
          <w:headerReference w:type="even" r:id="rId19"/>
          <w:headerReference w:type="default" r:id="rId20"/>
          <w:footerReference w:type="even" r:id="rId21"/>
          <w:footerReference w:type="default" r:id="rId22"/>
          <w:pgSz w:w="11906" w:h="16838"/>
          <w:pgMar w:top="2126" w:right="1134" w:bottom="1440" w:left="1134" w:header="709" w:footer="709" w:gutter="0"/>
          <w:cols w:space="708"/>
          <w:docGrid w:linePitch="360"/>
        </w:sectPr>
      </w:pPr>
    </w:p>
    <w:p w14:paraId="705755F2" w14:textId="5ECB67D8" w:rsidR="005D160D" w:rsidRPr="005D160D" w:rsidRDefault="00195458" w:rsidP="005D160D">
      <w:pPr>
        <w:spacing w:before="40" w:after="40"/>
        <w:rPr>
          <w:rStyle w:val="Hyperlink"/>
          <w:color w:val="auto"/>
          <w:u w:val="none"/>
        </w:rPr>
      </w:pPr>
      <w:hyperlink r:id="rId23" w:history="1">
        <w:r w:rsidRPr="0026569B">
          <w:rPr>
            <w:rStyle w:val="Hyperlink"/>
            <w:rFonts w:cstheme="minorHAnsi"/>
            <w:b/>
            <w:bCs/>
            <w:color w:val="007EA5" w:themeColor="accent2" w:themeShade="BF"/>
            <w:sz w:val="27"/>
            <w:szCs w:val="27"/>
            <w:u w:val="none"/>
          </w:rPr>
          <w:t>safetyandquality.gov.au</w:t>
        </w:r>
      </w:hyperlink>
    </w:p>
    <w:p w14:paraId="6D08FD41" w14:textId="1A199FAB" w:rsidR="00C477AC" w:rsidRPr="00146BFB" w:rsidRDefault="001918F7" w:rsidP="005D160D">
      <w:pPr>
        <w:pStyle w:val="FootnoteText"/>
        <w:tabs>
          <w:tab w:val="right" w:pos="8931"/>
        </w:tabs>
        <w:spacing w:beforeLines="80" w:before="192" w:after="80"/>
        <w:rPr>
          <w:rStyle w:val="Roman"/>
          <w:rFonts w:eastAsiaTheme="majorEastAsia"/>
          <w:sz w:val="16"/>
          <w:szCs w:val="16"/>
        </w:rPr>
      </w:pPr>
      <w:r w:rsidRPr="00146BFB">
        <w:rPr>
          <w:noProof/>
          <w:sz w:val="16"/>
          <w:szCs w:val="16"/>
          <w:lang w:val="en-US" w:eastAsia="en-US"/>
        </w:rPr>
        <w:drawing>
          <wp:inline distT="0" distB="0" distL="0" distR="0" wp14:anchorId="52E40C1F" wp14:editId="1E4E408E">
            <wp:extent cx="596265" cy="211455"/>
            <wp:effectExtent l="0" t="0" r="635" b="4445"/>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inline>
        </w:drawing>
      </w:r>
      <w:r w:rsidR="005D160D">
        <w:rPr>
          <w:rStyle w:val="Roman"/>
          <w:rFonts w:eastAsiaTheme="majorEastAsia"/>
          <w:sz w:val="16"/>
          <w:szCs w:val="16"/>
        </w:rPr>
        <w:t xml:space="preserve">  </w:t>
      </w:r>
      <w:r w:rsidRPr="00146BFB">
        <w:rPr>
          <w:rStyle w:val="Roman"/>
          <w:rFonts w:eastAsiaTheme="majorEastAsia"/>
          <w:sz w:val="16"/>
          <w:szCs w:val="16"/>
        </w:rPr>
        <w:t>© Australian Commission on 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3620E3">
        <w:rPr>
          <w:rStyle w:val="Roman"/>
          <w:rFonts w:eastAsiaTheme="majorEastAsia"/>
          <w:sz w:val="16"/>
          <w:szCs w:val="16"/>
        </w:rPr>
        <w:t>5</w:t>
      </w:r>
      <w:r w:rsidR="00820059" w:rsidRPr="00146BFB">
        <w:rPr>
          <w:rStyle w:val="Roman"/>
          <w:rFonts w:eastAsiaTheme="majorEastAsia"/>
          <w:sz w:val="16"/>
          <w:szCs w:val="16"/>
        </w:rPr>
        <w:br/>
      </w:r>
    </w:p>
    <w:sectPr w:rsidR="00C477AC" w:rsidRPr="00146BFB" w:rsidSect="000E0981">
      <w:type w:val="continuous"/>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1816" w14:textId="77777777" w:rsidR="00406944" w:rsidRDefault="00406944" w:rsidP="000B0274">
      <w:r>
        <w:separator/>
      </w:r>
    </w:p>
    <w:p w14:paraId="6675C241" w14:textId="77777777" w:rsidR="00406944" w:rsidRDefault="00406944"/>
    <w:p w14:paraId="4EAA35A4" w14:textId="77777777" w:rsidR="00406944" w:rsidRDefault="00406944"/>
  </w:endnote>
  <w:endnote w:type="continuationSeparator" w:id="0">
    <w:p w14:paraId="00A4AE25" w14:textId="77777777" w:rsidR="00406944" w:rsidRDefault="00406944" w:rsidP="000B0274">
      <w:r>
        <w:continuationSeparator/>
      </w:r>
    </w:p>
    <w:p w14:paraId="48B984CD" w14:textId="77777777" w:rsidR="00406944" w:rsidRDefault="00406944"/>
    <w:p w14:paraId="102891A1" w14:textId="77777777" w:rsidR="00406944" w:rsidRDefault="00406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00"/>
    <w:family w:val="auto"/>
    <w:notTrueType/>
    <w:pitch w:val="variable"/>
    <w:sig w:usb0="20000287" w:usb1="00000001" w:usb2="00000000" w:usb3="00000000" w:csb0="0000019F" w:csb1="00000000"/>
  </w:font>
  <w:font w:name="Proxima Nova">
    <w:altName w:val="Proxima Nov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Proxima Nova Extrabold">
    <w:panose1 w:val="00000000000000000000"/>
    <w:charset w:val="00"/>
    <w:family w:val="auto"/>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3ACF" w14:textId="07332321" w:rsidR="000D3447" w:rsidRPr="00830412" w:rsidRDefault="003C09C8" w:rsidP="00830412">
    <w:pPr>
      <w:pStyle w:val="Footer"/>
      <w:tabs>
        <w:tab w:val="clear" w:pos="9026"/>
        <w:tab w:val="right" w:pos="9638"/>
      </w:tabs>
      <w:rPr>
        <w:b/>
      </w:rPr>
    </w:pPr>
    <w:r>
      <w:rPr>
        <w:bCs/>
        <w:lang w:val="en-GB"/>
      </w:rPr>
      <w:t xml:space="preserve">Fact sheet: </w:t>
    </w:r>
    <w:r w:rsidR="008F4FAB" w:rsidRPr="008F4FAB">
      <w:rPr>
        <w:bCs/>
        <w:lang w:val="en-GB"/>
      </w:rPr>
      <w:t>NSQ</w:t>
    </w:r>
    <w:r>
      <w:rPr>
        <w:bCs/>
        <w:lang w:val="en-GB"/>
      </w:rPr>
      <w:t>MHCMO</w:t>
    </w:r>
    <w:r w:rsidR="008F4FAB" w:rsidRPr="008F4FAB">
      <w:rPr>
        <w:bCs/>
        <w:lang w:val="en-GB"/>
      </w:rPr>
      <w:t xml:space="preserve"> Standards assessment </w:t>
    </w:r>
    <w:r w:rsidR="00E223CA">
      <w:rPr>
        <w:bCs/>
        <w:lang w:val="en-GB"/>
      </w:rPr>
      <w:t>process</w:t>
    </w:r>
    <w:r w:rsidR="00830412">
      <w:tab/>
    </w:r>
    <w:r w:rsidR="0026569B" w:rsidRPr="0026569B">
      <w:fldChar w:fldCharType="begin"/>
    </w:r>
    <w:r w:rsidR="0026569B" w:rsidRPr="0026569B">
      <w:instrText xml:space="preserve"> PAGE </w:instrText>
    </w:r>
    <w:r w:rsidR="0026569B" w:rsidRPr="0026569B">
      <w:fldChar w:fldCharType="separate"/>
    </w:r>
    <w:r w:rsidR="0026569B" w:rsidRPr="0026569B">
      <w:t>1</w:t>
    </w:r>
    <w:r w:rsidR="0026569B" w:rsidRPr="002656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213C" w14:textId="77777777" w:rsidR="00406944" w:rsidRDefault="00406944" w:rsidP="000B0274">
      <w:r>
        <w:separator/>
      </w:r>
    </w:p>
    <w:p w14:paraId="1D43D071" w14:textId="77777777" w:rsidR="00406944" w:rsidRDefault="00406944"/>
    <w:p w14:paraId="4DA04A21" w14:textId="77777777" w:rsidR="00406944" w:rsidRDefault="00406944"/>
  </w:footnote>
  <w:footnote w:type="continuationSeparator" w:id="0">
    <w:p w14:paraId="14472F6F" w14:textId="77777777" w:rsidR="00406944" w:rsidRDefault="00406944" w:rsidP="000B0274">
      <w:r>
        <w:continuationSeparator/>
      </w:r>
    </w:p>
    <w:p w14:paraId="09F3601D" w14:textId="77777777" w:rsidR="00406944" w:rsidRDefault="00406944"/>
    <w:p w14:paraId="58BAE125" w14:textId="77777777" w:rsidR="00406944" w:rsidRDefault="00406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3B42" w14:textId="6B29CA5C" w:rsidR="000D3447" w:rsidRDefault="0036588B" w:rsidP="00403AA1">
    <w:pPr>
      <w:pStyle w:val="Header"/>
      <w:tabs>
        <w:tab w:val="clear" w:pos="4513"/>
        <w:tab w:val="clear" w:pos="9026"/>
        <w:tab w:val="right" w:pos="9638"/>
      </w:tabs>
      <w:ind w:left="-142"/>
      <w:jc w:val="right"/>
    </w:pPr>
    <w:r w:rsidRPr="00FB375B">
      <w:rPr>
        <w:rFonts w:eastAsiaTheme="majorEastAsia"/>
        <w:noProof/>
        <w:lang w:val="en-US" w:eastAsia="en-US"/>
      </w:rPr>
      <w:drawing>
        <wp:inline distT="0" distB="0" distL="0" distR="0" wp14:anchorId="752AEEBE" wp14:editId="315EE475">
          <wp:extent cx="3538651" cy="499473"/>
          <wp:effectExtent l="0" t="0" r="5080" b="0"/>
          <wp:docPr id="1974393711" name="Picture 197439371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8504" cy="520624"/>
                  </a:xfrm>
                  <a:prstGeom prst="rect">
                    <a:avLst/>
                  </a:prstGeom>
                </pic:spPr>
              </pic:pic>
            </a:graphicData>
          </a:graphic>
        </wp:inline>
      </w:drawing>
    </w:r>
    <w:r w:rsidR="00423FC4">
      <w:tab/>
    </w:r>
    <w:r w:rsidR="00403AA1">
      <w:rPr>
        <w:noProof/>
      </w:rPr>
      <w:drawing>
        <wp:inline distT="0" distB="0" distL="0" distR="0" wp14:anchorId="3D451346" wp14:editId="23F5C563">
          <wp:extent cx="2574388" cy="444081"/>
          <wp:effectExtent l="0" t="0" r="0" b="0"/>
          <wp:docPr id="1469161514" name="Picture 146916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2684308" cy="463042"/>
                  </a:xfrm>
                  <a:prstGeom prst="rect">
                    <a:avLst/>
                  </a:prstGeom>
                </pic:spPr>
              </pic:pic>
            </a:graphicData>
          </a:graphic>
        </wp:inline>
      </w:drawing>
    </w:r>
    <w:r w:rsidR="00A93A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A29"/>
    <w:multiLevelType w:val="hybridMultilevel"/>
    <w:tmpl w:val="EFD0B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0FE56EEA"/>
    <w:multiLevelType w:val="hybridMultilevel"/>
    <w:tmpl w:val="ACA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25123B0"/>
    <w:multiLevelType w:val="hybridMultilevel"/>
    <w:tmpl w:val="A0820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97C354E"/>
    <w:multiLevelType w:val="hybridMultilevel"/>
    <w:tmpl w:val="6F0A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E0927E4"/>
    <w:multiLevelType w:val="hybridMultilevel"/>
    <w:tmpl w:val="FEA6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23935D3"/>
    <w:multiLevelType w:val="hybridMultilevel"/>
    <w:tmpl w:val="1774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1D6B46"/>
    <w:multiLevelType w:val="hybridMultilevel"/>
    <w:tmpl w:val="395E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74D2069"/>
    <w:multiLevelType w:val="hybridMultilevel"/>
    <w:tmpl w:val="4996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8373784"/>
    <w:multiLevelType w:val="hybridMultilevel"/>
    <w:tmpl w:val="474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B40939"/>
    <w:multiLevelType w:val="hybridMultilevel"/>
    <w:tmpl w:val="25AE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5E00"/>
    <w:multiLevelType w:val="hybridMultilevel"/>
    <w:tmpl w:val="BC0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94782"/>
    <w:multiLevelType w:val="hybridMultilevel"/>
    <w:tmpl w:val="38EC0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4B020B"/>
    <w:multiLevelType w:val="hybridMultilevel"/>
    <w:tmpl w:val="1192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2230E"/>
    <w:multiLevelType w:val="hybridMultilevel"/>
    <w:tmpl w:val="0B54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35B45"/>
    <w:multiLevelType w:val="hybridMultilevel"/>
    <w:tmpl w:val="6BF8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49F7402"/>
    <w:multiLevelType w:val="hybridMultilevel"/>
    <w:tmpl w:val="A46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25FCF"/>
    <w:multiLevelType w:val="hybridMultilevel"/>
    <w:tmpl w:val="AFCEE5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8A3B46"/>
    <w:multiLevelType w:val="hybridMultilevel"/>
    <w:tmpl w:val="48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AE346B0"/>
    <w:multiLevelType w:val="hybridMultilevel"/>
    <w:tmpl w:val="2D5E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82BE3"/>
    <w:multiLevelType w:val="hybridMultilevel"/>
    <w:tmpl w:val="B3DEC6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68B077D"/>
    <w:multiLevelType w:val="hybridMultilevel"/>
    <w:tmpl w:val="D934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09339501">
    <w:abstractNumId w:val="1"/>
  </w:num>
  <w:num w:numId="2" w16cid:durableId="1900823783">
    <w:abstractNumId w:val="3"/>
  </w:num>
  <w:num w:numId="3" w16cid:durableId="1947614505">
    <w:abstractNumId w:val="11"/>
  </w:num>
  <w:num w:numId="4" w16cid:durableId="1504467923">
    <w:abstractNumId w:val="20"/>
  </w:num>
  <w:num w:numId="5" w16cid:durableId="1779448889">
    <w:abstractNumId w:val="16"/>
  </w:num>
  <w:num w:numId="6" w16cid:durableId="1822188186">
    <w:abstractNumId w:val="4"/>
  </w:num>
  <w:num w:numId="7" w16cid:durableId="1797261396">
    <w:abstractNumId w:val="6"/>
  </w:num>
  <w:num w:numId="8" w16cid:durableId="1604537375">
    <w:abstractNumId w:val="2"/>
  </w:num>
  <w:num w:numId="9" w16cid:durableId="1893419532">
    <w:abstractNumId w:val="32"/>
  </w:num>
  <w:num w:numId="10" w16cid:durableId="659771307">
    <w:abstractNumId w:val="9"/>
  </w:num>
  <w:num w:numId="11" w16cid:durableId="1537039206">
    <w:abstractNumId w:val="7"/>
  </w:num>
  <w:num w:numId="12" w16cid:durableId="1426612545">
    <w:abstractNumId w:val="30"/>
  </w:num>
  <w:num w:numId="13" w16cid:durableId="1627538857">
    <w:abstractNumId w:val="8"/>
  </w:num>
  <w:num w:numId="14" w16cid:durableId="700326980">
    <w:abstractNumId w:val="14"/>
  </w:num>
  <w:num w:numId="15" w16cid:durableId="1096486327">
    <w:abstractNumId w:val="34"/>
  </w:num>
  <w:num w:numId="16" w16cid:durableId="982782147">
    <w:abstractNumId w:val="23"/>
  </w:num>
  <w:num w:numId="17" w16cid:durableId="1270316221">
    <w:abstractNumId w:val="13"/>
  </w:num>
  <w:num w:numId="18" w16cid:durableId="928926245">
    <w:abstractNumId w:val="15"/>
  </w:num>
  <w:num w:numId="19" w16cid:durableId="921529278">
    <w:abstractNumId w:val="19"/>
  </w:num>
  <w:num w:numId="20" w16cid:durableId="464545568">
    <w:abstractNumId w:val="26"/>
  </w:num>
  <w:num w:numId="21" w16cid:durableId="1615483299">
    <w:abstractNumId w:val="12"/>
  </w:num>
  <w:num w:numId="22" w16cid:durableId="1993605947">
    <w:abstractNumId w:val="18"/>
  </w:num>
  <w:num w:numId="23" w16cid:durableId="573709030">
    <w:abstractNumId w:val="25"/>
  </w:num>
  <w:num w:numId="24" w16cid:durableId="263340917">
    <w:abstractNumId w:val="17"/>
  </w:num>
  <w:num w:numId="25" w16cid:durableId="2085099833">
    <w:abstractNumId w:val="31"/>
  </w:num>
  <w:num w:numId="26" w16cid:durableId="356008736">
    <w:abstractNumId w:val="33"/>
  </w:num>
  <w:num w:numId="27" w16cid:durableId="254562101">
    <w:abstractNumId w:val="24"/>
  </w:num>
  <w:num w:numId="28" w16cid:durableId="334497115">
    <w:abstractNumId w:val="10"/>
  </w:num>
  <w:num w:numId="29" w16cid:durableId="1417635060">
    <w:abstractNumId w:val="22"/>
  </w:num>
  <w:num w:numId="30" w16cid:durableId="681973528">
    <w:abstractNumId w:val="27"/>
  </w:num>
  <w:num w:numId="31" w16cid:durableId="70977687">
    <w:abstractNumId w:val="29"/>
  </w:num>
  <w:num w:numId="32" w16cid:durableId="770852445">
    <w:abstractNumId w:val="0"/>
  </w:num>
  <w:num w:numId="33" w16cid:durableId="1446001583">
    <w:abstractNumId w:val="28"/>
  </w:num>
  <w:num w:numId="34" w16cid:durableId="451166485">
    <w:abstractNumId w:val="5"/>
  </w:num>
  <w:num w:numId="35" w16cid:durableId="102663508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49CD"/>
    <w:rsid w:val="0001053B"/>
    <w:rsid w:val="00012782"/>
    <w:rsid w:val="00020DBD"/>
    <w:rsid w:val="00025A92"/>
    <w:rsid w:val="0003162D"/>
    <w:rsid w:val="00036F5E"/>
    <w:rsid w:val="00037E0E"/>
    <w:rsid w:val="000406F8"/>
    <w:rsid w:val="00043671"/>
    <w:rsid w:val="00047E9F"/>
    <w:rsid w:val="00050775"/>
    <w:rsid w:val="00054B74"/>
    <w:rsid w:val="000556A9"/>
    <w:rsid w:val="00067456"/>
    <w:rsid w:val="0008065C"/>
    <w:rsid w:val="00090EFF"/>
    <w:rsid w:val="00093865"/>
    <w:rsid w:val="00094418"/>
    <w:rsid w:val="00095DA6"/>
    <w:rsid w:val="000A3F0D"/>
    <w:rsid w:val="000A4C01"/>
    <w:rsid w:val="000B0274"/>
    <w:rsid w:val="000B0BFE"/>
    <w:rsid w:val="000B79D3"/>
    <w:rsid w:val="000C0F93"/>
    <w:rsid w:val="000C1722"/>
    <w:rsid w:val="000C1DD4"/>
    <w:rsid w:val="000C7A69"/>
    <w:rsid w:val="000D00CE"/>
    <w:rsid w:val="000D017D"/>
    <w:rsid w:val="000D3447"/>
    <w:rsid w:val="000D4CE9"/>
    <w:rsid w:val="000D6405"/>
    <w:rsid w:val="000D6722"/>
    <w:rsid w:val="000E0981"/>
    <w:rsid w:val="000E1515"/>
    <w:rsid w:val="000E2F2E"/>
    <w:rsid w:val="000F0D77"/>
    <w:rsid w:val="00106333"/>
    <w:rsid w:val="0010673D"/>
    <w:rsid w:val="00106CF5"/>
    <w:rsid w:val="00115403"/>
    <w:rsid w:val="00120FCB"/>
    <w:rsid w:val="00131E52"/>
    <w:rsid w:val="00135A95"/>
    <w:rsid w:val="00137346"/>
    <w:rsid w:val="00143A76"/>
    <w:rsid w:val="00145BE3"/>
    <w:rsid w:val="00146A66"/>
    <w:rsid w:val="00146BFB"/>
    <w:rsid w:val="001507C6"/>
    <w:rsid w:val="00157B31"/>
    <w:rsid w:val="00160453"/>
    <w:rsid w:val="0017280A"/>
    <w:rsid w:val="00173C21"/>
    <w:rsid w:val="00174535"/>
    <w:rsid w:val="001748CA"/>
    <w:rsid w:val="0017675C"/>
    <w:rsid w:val="00183675"/>
    <w:rsid w:val="001852DE"/>
    <w:rsid w:val="001859B5"/>
    <w:rsid w:val="001860B2"/>
    <w:rsid w:val="001918F7"/>
    <w:rsid w:val="001921ED"/>
    <w:rsid w:val="00195458"/>
    <w:rsid w:val="00196AC8"/>
    <w:rsid w:val="001A11A5"/>
    <w:rsid w:val="001B15D1"/>
    <w:rsid w:val="001B3443"/>
    <w:rsid w:val="001C47B6"/>
    <w:rsid w:val="001D05E4"/>
    <w:rsid w:val="001D2944"/>
    <w:rsid w:val="001D52EE"/>
    <w:rsid w:val="001E0735"/>
    <w:rsid w:val="001E1042"/>
    <w:rsid w:val="001E38B8"/>
    <w:rsid w:val="001E77C4"/>
    <w:rsid w:val="001F6D10"/>
    <w:rsid w:val="002027C5"/>
    <w:rsid w:val="00215987"/>
    <w:rsid w:val="00215F5C"/>
    <w:rsid w:val="0023112B"/>
    <w:rsid w:val="0023231A"/>
    <w:rsid w:val="00237ADF"/>
    <w:rsid w:val="00245D81"/>
    <w:rsid w:val="0024767D"/>
    <w:rsid w:val="00247F3B"/>
    <w:rsid w:val="002503C3"/>
    <w:rsid w:val="00251167"/>
    <w:rsid w:val="00255596"/>
    <w:rsid w:val="002555F1"/>
    <w:rsid w:val="00255DCB"/>
    <w:rsid w:val="00261360"/>
    <w:rsid w:val="00261F43"/>
    <w:rsid w:val="002625FB"/>
    <w:rsid w:val="00263A63"/>
    <w:rsid w:val="00264A5A"/>
    <w:rsid w:val="0026569B"/>
    <w:rsid w:val="002662B4"/>
    <w:rsid w:val="0026675D"/>
    <w:rsid w:val="00266F2A"/>
    <w:rsid w:val="00267635"/>
    <w:rsid w:val="0028150E"/>
    <w:rsid w:val="00281FD4"/>
    <w:rsid w:val="00291EBD"/>
    <w:rsid w:val="002C1CA0"/>
    <w:rsid w:val="002C29F4"/>
    <w:rsid w:val="002C6AF0"/>
    <w:rsid w:val="002D0EB0"/>
    <w:rsid w:val="002E195D"/>
    <w:rsid w:val="002E2DBA"/>
    <w:rsid w:val="002E3986"/>
    <w:rsid w:val="002E6A48"/>
    <w:rsid w:val="002E7082"/>
    <w:rsid w:val="002E7977"/>
    <w:rsid w:val="002F0A0A"/>
    <w:rsid w:val="002F3AE3"/>
    <w:rsid w:val="002F7E6F"/>
    <w:rsid w:val="00301DEC"/>
    <w:rsid w:val="00302458"/>
    <w:rsid w:val="0030786C"/>
    <w:rsid w:val="00312A62"/>
    <w:rsid w:val="00316683"/>
    <w:rsid w:val="00317452"/>
    <w:rsid w:val="00323463"/>
    <w:rsid w:val="00341BEE"/>
    <w:rsid w:val="00343286"/>
    <w:rsid w:val="00343F1E"/>
    <w:rsid w:val="0034680F"/>
    <w:rsid w:val="00350BE1"/>
    <w:rsid w:val="00361A7E"/>
    <w:rsid w:val="003620E3"/>
    <w:rsid w:val="003624CA"/>
    <w:rsid w:val="003657DB"/>
    <w:rsid w:val="0036588B"/>
    <w:rsid w:val="003808E4"/>
    <w:rsid w:val="00386683"/>
    <w:rsid w:val="003873C6"/>
    <w:rsid w:val="00392002"/>
    <w:rsid w:val="00392A85"/>
    <w:rsid w:val="00396AFB"/>
    <w:rsid w:val="003A3DB2"/>
    <w:rsid w:val="003A70CE"/>
    <w:rsid w:val="003B716D"/>
    <w:rsid w:val="003C09C8"/>
    <w:rsid w:val="003C297A"/>
    <w:rsid w:val="003C540E"/>
    <w:rsid w:val="003C5F0C"/>
    <w:rsid w:val="003D0532"/>
    <w:rsid w:val="003D17F9"/>
    <w:rsid w:val="003D437B"/>
    <w:rsid w:val="003D4829"/>
    <w:rsid w:val="003E6E73"/>
    <w:rsid w:val="003E76C8"/>
    <w:rsid w:val="003F3F0B"/>
    <w:rsid w:val="0040152C"/>
    <w:rsid w:val="00402CBA"/>
    <w:rsid w:val="00403AA1"/>
    <w:rsid w:val="00406944"/>
    <w:rsid w:val="00407B4B"/>
    <w:rsid w:val="00412E9D"/>
    <w:rsid w:val="00414952"/>
    <w:rsid w:val="00423FC4"/>
    <w:rsid w:val="00425504"/>
    <w:rsid w:val="0042727E"/>
    <w:rsid w:val="004305D6"/>
    <w:rsid w:val="00440CC0"/>
    <w:rsid w:val="004437F3"/>
    <w:rsid w:val="00447D31"/>
    <w:rsid w:val="00455560"/>
    <w:rsid w:val="00466C72"/>
    <w:rsid w:val="00470AB8"/>
    <w:rsid w:val="00477E9B"/>
    <w:rsid w:val="00482ECA"/>
    <w:rsid w:val="00485794"/>
    <w:rsid w:val="004867E2"/>
    <w:rsid w:val="00486826"/>
    <w:rsid w:val="0049566C"/>
    <w:rsid w:val="004A0670"/>
    <w:rsid w:val="004A1FC9"/>
    <w:rsid w:val="004A4851"/>
    <w:rsid w:val="004A5C81"/>
    <w:rsid w:val="004B2999"/>
    <w:rsid w:val="004B45F6"/>
    <w:rsid w:val="004C3664"/>
    <w:rsid w:val="004C4927"/>
    <w:rsid w:val="004C5760"/>
    <w:rsid w:val="004E067A"/>
    <w:rsid w:val="004E179B"/>
    <w:rsid w:val="004E2389"/>
    <w:rsid w:val="004E50C2"/>
    <w:rsid w:val="004E58C1"/>
    <w:rsid w:val="004E5D43"/>
    <w:rsid w:val="0050326E"/>
    <w:rsid w:val="00505268"/>
    <w:rsid w:val="0051563D"/>
    <w:rsid w:val="005179C7"/>
    <w:rsid w:val="0052107C"/>
    <w:rsid w:val="00522139"/>
    <w:rsid w:val="005221B7"/>
    <w:rsid w:val="00530100"/>
    <w:rsid w:val="00536E0C"/>
    <w:rsid w:val="005408C7"/>
    <w:rsid w:val="005422E7"/>
    <w:rsid w:val="005437FD"/>
    <w:rsid w:val="00544A4E"/>
    <w:rsid w:val="00553E33"/>
    <w:rsid w:val="00555902"/>
    <w:rsid w:val="00562F72"/>
    <w:rsid w:val="00566B97"/>
    <w:rsid w:val="00570C6C"/>
    <w:rsid w:val="00584334"/>
    <w:rsid w:val="0059380A"/>
    <w:rsid w:val="0059724C"/>
    <w:rsid w:val="005A0AB7"/>
    <w:rsid w:val="005A1AA7"/>
    <w:rsid w:val="005A4D0B"/>
    <w:rsid w:val="005A701E"/>
    <w:rsid w:val="005A735B"/>
    <w:rsid w:val="005B04D8"/>
    <w:rsid w:val="005B4EDC"/>
    <w:rsid w:val="005C090D"/>
    <w:rsid w:val="005C1496"/>
    <w:rsid w:val="005C5EF4"/>
    <w:rsid w:val="005C6AAE"/>
    <w:rsid w:val="005D1073"/>
    <w:rsid w:val="005D160D"/>
    <w:rsid w:val="005D5D06"/>
    <w:rsid w:val="005D62B5"/>
    <w:rsid w:val="005E2614"/>
    <w:rsid w:val="00607B0B"/>
    <w:rsid w:val="00614E29"/>
    <w:rsid w:val="00616BBC"/>
    <w:rsid w:val="0062216A"/>
    <w:rsid w:val="00625634"/>
    <w:rsid w:val="00630199"/>
    <w:rsid w:val="006317C9"/>
    <w:rsid w:val="00632475"/>
    <w:rsid w:val="00632C35"/>
    <w:rsid w:val="00641773"/>
    <w:rsid w:val="00641CB0"/>
    <w:rsid w:val="0064239F"/>
    <w:rsid w:val="00656A90"/>
    <w:rsid w:val="00664F67"/>
    <w:rsid w:val="00670F54"/>
    <w:rsid w:val="006728F9"/>
    <w:rsid w:val="006767BC"/>
    <w:rsid w:val="006803BA"/>
    <w:rsid w:val="006922F5"/>
    <w:rsid w:val="006947D9"/>
    <w:rsid w:val="006A0017"/>
    <w:rsid w:val="006A16DD"/>
    <w:rsid w:val="006A2587"/>
    <w:rsid w:val="006A3D78"/>
    <w:rsid w:val="006B3CFC"/>
    <w:rsid w:val="006C0CD8"/>
    <w:rsid w:val="006C12C5"/>
    <w:rsid w:val="006C5AEE"/>
    <w:rsid w:val="006C661E"/>
    <w:rsid w:val="006C679A"/>
    <w:rsid w:val="006D09FE"/>
    <w:rsid w:val="006D0C40"/>
    <w:rsid w:val="006D5FB1"/>
    <w:rsid w:val="006D732F"/>
    <w:rsid w:val="006E688D"/>
    <w:rsid w:val="006F1432"/>
    <w:rsid w:val="006F4572"/>
    <w:rsid w:val="006F7964"/>
    <w:rsid w:val="007028EC"/>
    <w:rsid w:val="007035D8"/>
    <w:rsid w:val="0070703E"/>
    <w:rsid w:val="00711E21"/>
    <w:rsid w:val="00715168"/>
    <w:rsid w:val="0071637F"/>
    <w:rsid w:val="0072079E"/>
    <w:rsid w:val="00722691"/>
    <w:rsid w:val="007238E8"/>
    <w:rsid w:val="007333AD"/>
    <w:rsid w:val="00734977"/>
    <w:rsid w:val="007360BF"/>
    <w:rsid w:val="00737DDB"/>
    <w:rsid w:val="007406E6"/>
    <w:rsid w:val="00743657"/>
    <w:rsid w:val="007449EB"/>
    <w:rsid w:val="00747CE1"/>
    <w:rsid w:val="00751D3D"/>
    <w:rsid w:val="007545C7"/>
    <w:rsid w:val="0076005C"/>
    <w:rsid w:val="0076111D"/>
    <w:rsid w:val="007635C1"/>
    <w:rsid w:val="00766B42"/>
    <w:rsid w:val="0076731D"/>
    <w:rsid w:val="00767650"/>
    <w:rsid w:val="00771ACA"/>
    <w:rsid w:val="0077780F"/>
    <w:rsid w:val="00777B2E"/>
    <w:rsid w:val="0078070C"/>
    <w:rsid w:val="00783E96"/>
    <w:rsid w:val="00784541"/>
    <w:rsid w:val="00785279"/>
    <w:rsid w:val="0079277C"/>
    <w:rsid w:val="0079330B"/>
    <w:rsid w:val="007968CC"/>
    <w:rsid w:val="00796FB7"/>
    <w:rsid w:val="0079708B"/>
    <w:rsid w:val="007B04A9"/>
    <w:rsid w:val="007B16AC"/>
    <w:rsid w:val="007B5D05"/>
    <w:rsid w:val="007B5D1E"/>
    <w:rsid w:val="007B7376"/>
    <w:rsid w:val="007C2217"/>
    <w:rsid w:val="007C471C"/>
    <w:rsid w:val="007C52D3"/>
    <w:rsid w:val="007C5368"/>
    <w:rsid w:val="007D4258"/>
    <w:rsid w:val="007E000D"/>
    <w:rsid w:val="007E674E"/>
    <w:rsid w:val="007F3645"/>
    <w:rsid w:val="007F58DD"/>
    <w:rsid w:val="007F6791"/>
    <w:rsid w:val="007F73B6"/>
    <w:rsid w:val="00805E44"/>
    <w:rsid w:val="008102FE"/>
    <w:rsid w:val="00811C26"/>
    <w:rsid w:val="00820059"/>
    <w:rsid w:val="008264EB"/>
    <w:rsid w:val="00826C2B"/>
    <w:rsid w:val="00827924"/>
    <w:rsid w:val="00830412"/>
    <w:rsid w:val="00830756"/>
    <w:rsid w:val="0084032B"/>
    <w:rsid w:val="0084205E"/>
    <w:rsid w:val="00844E54"/>
    <w:rsid w:val="00856DF5"/>
    <w:rsid w:val="00857E76"/>
    <w:rsid w:val="00862B38"/>
    <w:rsid w:val="00863B6B"/>
    <w:rsid w:val="00865932"/>
    <w:rsid w:val="00872059"/>
    <w:rsid w:val="00873673"/>
    <w:rsid w:val="008803A1"/>
    <w:rsid w:val="0088122A"/>
    <w:rsid w:val="008839CD"/>
    <w:rsid w:val="00892AC8"/>
    <w:rsid w:val="00896A77"/>
    <w:rsid w:val="008A07AF"/>
    <w:rsid w:val="008A4AC8"/>
    <w:rsid w:val="008A58F9"/>
    <w:rsid w:val="008D09DE"/>
    <w:rsid w:val="008E59EB"/>
    <w:rsid w:val="008E5D6A"/>
    <w:rsid w:val="008F474D"/>
    <w:rsid w:val="008F4FAB"/>
    <w:rsid w:val="0091137C"/>
    <w:rsid w:val="00912024"/>
    <w:rsid w:val="0091384C"/>
    <w:rsid w:val="009148AD"/>
    <w:rsid w:val="0092204C"/>
    <w:rsid w:val="00922DEE"/>
    <w:rsid w:val="009238AA"/>
    <w:rsid w:val="009244B8"/>
    <w:rsid w:val="00933B21"/>
    <w:rsid w:val="00941048"/>
    <w:rsid w:val="00941E44"/>
    <w:rsid w:val="009424A5"/>
    <w:rsid w:val="00950089"/>
    <w:rsid w:val="0095539D"/>
    <w:rsid w:val="00957E88"/>
    <w:rsid w:val="00961B39"/>
    <w:rsid w:val="00961FBE"/>
    <w:rsid w:val="00964277"/>
    <w:rsid w:val="0097582E"/>
    <w:rsid w:val="00977D26"/>
    <w:rsid w:val="00977E26"/>
    <w:rsid w:val="00984227"/>
    <w:rsid w:val="00991AF5"/>
    <w:rsid w:val="0099343F"/>
    <w:rsid w:val="00995094"/>
    <w:rsid w:val="009A007B"/>
    <w:rsid w:val="009A0425"/>
    <w:rsid w:val="009A263C"/>
    <w:rsid w:val="009B053D"/>
    <w:rsid w:val="009B64E3"/>
    <w:rsid w:val="009C0380"/>
    <w:rsid w:val="009C5964"/>
    <w:rsid w:val="009D0B90"/>
    <w:rsid w:val="009D6852"/>
    <w:rsid w:val="009E0725"/>
    <w:rsid w:val="009E0D48"/>
    <w:rsid w:val="009E1F38"/>
    <w:rsid w:val="009E270E"/>
    <w:rsid w:val="009E6B78"/>
    <w:rsid w:val="009E6D37"/>
    <w:rsid w:val="009F1EC9"/>
    <w:rsid w:val="009F4ACF"/>
    <w:rsid w:val="009F5557"/>
    <w:rsid w:val="00A02BFF"/>
    <w:rsid w:val="00A0554C"/>
    <w:rsid w:val="00A06F15"/>
    <w:rsid w:val="00A1015B"/>
    <w:rsid w:val="00A15082"/>
    <w:rsid w:val="00A16AEE"/>
    <w:rsid w:val="00A369E8"/>
    <w:rsid w:val="00A4199A"/>
    <w:rsid w:val="00A4512D"/>
    <w:rsid w:val="00A467D6"/>
    <w:rsid w:val="00A541E1"/>
    <w:rsid w:val="00A54775"/>
    <w:rsid w:val="00A5502C"/>
    <w:rsid w:val="00A55572"/>
    <w:rsid w:val="00A5694A"/>
    <w:rsid w:val="00A6672E"/>
    <w:rsid w:val="00A705AF"/>
    <w:rsid w:val="00A73C2F"/>
    <w:rsid w:val="00A75B58"/>
    <w:rsid w:val="00A77349"/>
    <w:rsid w:val="00A84FD6"/>
    <w:rsid w:val="00A931E2"/>
    <w:rsid w:val="00A93A18"/>
    <w:rsid w:val="00A93A51"/>
    <w:rsid w:val="00A94541"/>
    <w:rsid w:val="00A964DB"/>
    <w:rsid w:val="00A96DED"/>
    <w:rsid w:val="00AA0A90"/>
    <w:rsid w:val="00AA3A3E"/>
    <w:rsid w:val="00AA3A79"/>
    <w:rsid w:val="00AA6DC2"/>
    <w:rsid w:val="00AA7B58"/>
    <w:rsid w:val="00AB0A6E"/>
    <w:rsid w:val="00AB40AB"/>
    <w:rsid w:val="00AB64E5"/>
    <w:rsid w:val="00AB6E76"/>
    <w:rsid w:val="00AB6ED9"/>
    <w:rsid w:val="00AC0358"/>
    <w:rsid w:val="00AC637F"/>
    <w:rsid w:val="00AD01B4"/>
    <w:rsid w:val="00AD055C"/>
    <w:rsid w:val="00AD52A0"/>
    <w:rsid w:val="00AD56A8"/>
    <w:rsid w:val="00AD5717"/>
    <w:rsid w:val="00AE0CF3"/>
    <w:rsid w:val="00AE164C"/>
    <w:rsid w:val="00AE68FA"/>
    <w:rsid w:val="00AF6154"/>
    <w:rsid w:val="00B07615"/>
    <w:rsid w:val="00B163F6"/>
    <w:rsid w:val="00B213FD"/>
    <w:rsid w:val="00B24DF4"/>
    <w:rsid w:val="00B2665E"/>
    <w:rsid w:val="00B2753C"/>
    <w:rsid w:val="00B30753"/>
    <w:rsid w:val="00B328AF"/>
    <w:rsid w:val="00B32DD1"/>
    <w:rsid w:val="00B3720C"/>
    <w:rsid w:val="00B37974"/>
    <w:rsid w:val="00B41409"/>
    <w:rsid w:val="00B42851"/>
    <w:rsid w:val="00B456E0"/>
    <w:rsid w:val="00B459E9"/>
    <w:rsid w:val="00B47076"/>
    <w:rsid w:val="00B53823"/>
    <w:rsid w:val="00B5395E"/>
    <w:rsid w:val="00B56B37"/>
    <w:rsid w:val="00B57759"/>
    <w:rsid w:val="00B60D44"/>
    <w:rsid w:val="00B60D86"/>
    <w:rsid w:val="00B769EC"/>
    <w:rsid w:val="00B904EC"/>
    <w:rsid w:val="00B91269"/>
    <w:rsid w:val="00B91454"/>
    <w:rsid w:val="00B93CD5"/>
    <w:rsid w:val="00B9432A"/>
    <w:rsid w:val="00B95A67"/>
    <w:rsid w:val="00BA0015"/>
    <w:rsid w:val="00BA2A5D"/>
    <w:rsid w:val="00BA2DE8"/>
    <w:rsid w:val="00BA4AEE"/>
    <w:rsid w:val="00BA5233"/>
    <w:rsid w:val="00BB6242"/>
    <w:rsid w:val="00BC07E4"/>
    <w:rsid w:val="00BC1EF5"/>
    <w:rsid w:val="00BC4293"/>
    <w:rsid w:val="00BC49CF"/>
    <w:rsid w:val="00BC4D09"/>
    <w:rsid w:val="00BD0B57"/>
    <w:rsid w:val="00BD649D"/>
    <w:rsid w:val="00BE0DE7"/>
    <w:rsid w:val="00BE2C58"/>
    <w:rsid w:val="00BE6832"/>
    <w:rsid w:val="00BF2561"/>
    <w:rsid w:val="00BF5905"/>
    <w:rsid w:val="00BF6152"/>
    <w:rsid w:val="00C04AAC"/>
    <w:rsid w:val="00C06314"/>
    <w:rsid w:val="00C06C32"/>
    <w:rsid w:val="00C23604"/>
    <w:rsid w:val="00C308FA"/>
    <w:rsid w:val="00C31839"/>
    <w:rsid w:val="00C31A7F"/>
    <w:rsid w:val="00C32280"/>
    <w:rsid w:val="00C35287"/>
    <w:rsid w:val="00C35DEC"/>
    <w:rsid w:val="00C35F32"/>
    <w:rsid w:val="00C436EE"/>
    <w:rsid w:val="00C471AE"/>
    <w:rsid w:val="00C477AC"/>
    <w:rsid w:val="00C51BE7"/>
    <w:rsid w:val="00C565EF"/>
    <w:rsid w:val="00C63431"/>
    <w:rsid w:val="00C64BBB"/>
    <w:rsid w:val="00C74935"/>
    <w:rsid w:val="00C7543A"/>
    <w:rsid w:val="00C82FD9"/>
    <w:rsid w:val="00C900CC"/>
    <w:rsid w:val="00C911AD"/>
    <w:rsid w:val="00CA04C6"/>
    <w:rsid w:val="00CB0684"/>
    <w:rsid w:val="00CB06C4"/>
    <w:rsid w:val="00CB2190"/>
    <w:rsid w:val="00CB5999"/>
    <w:rsid w:val="00CB5B1A"/>
    <w:rsid w:val="00CB733F"/>
    <w:rsid w:val="00CC36EF"/>
    <w:rsid w:val="00CC4B8E"/>
    <w:rsid w:val="00CC697B"/>
    <w:rsid w:val="00CD7171"/>
    <w:rsid w:val="00CE1712"/>
    <w:rsid w:val="00CE3387"/>
    <w:rsid w:val="00CE3A39"/>
    <w:rsid w:val="00CE7355"/>
    <w:rsid w:val="00CF4118"/>
    <w:rsid w:val="00D07C0D"/>
    <w:rsid w:val="00D10D90"/>
    <w:rsid w:val="00D116AD"/>
    <w:rsid w:val="00D13C42"/>
    <w:rsid w:val="00D16B25"/>
    <w:rsid w:val="00D2028D"/>
    <w:rsid w:val="00D24922"/>
    <w:rsid w:val="00D301EA"/>
    <w:rsid w:val="00D31DC2"/>
    <w:rsid w:val="00D40DEC"/>
    <w:rsid w:val="00D41AE5"/>
    <w:rsid w:val="00D42B9A"/>
    <w:rsid w:val="00D44DF0"/>
    <w:rsid w:val="00D469E4"/>
    <w:rsid w:val="00D4728F"/>
    <w:rsid w:val="00D5005B"/>
    <w:rsid w:val="00D5354B"/>
    <w:rsid w:val="00D563D0"/>
    <w:rsid w:val="00D62F53"/>
    <w:rsid w:val="00D738DB"/>
    <w:rsid w:val="00D73FE2"/>
    <w:rsid w:val="00D7465B"/>
    <w:rsid w:val="00D81026"/>
    <w:rsid w:val="00D812BD"/>
    <w:rsid w:val="00D83A77"/>
    <w:rsid w:val="00D96327"/>
    <w:rsid w:val="00DB07A4"/>
    <w:rsid w:val="00DB5454"/>
    <w:rsid w:val="00DB5911"/>
    <w:rsid w:val="00DC0477"/>
    <w:rsid w:val="00DC0D24"/>
    <w:rsid w:val="00DD047B"/>
    <w:rsid w:val="00DD5D99"/>
    <w:rsid w:val="00DE4B07"/>
    <w:rsid w:val="00DE75D8"/>
    <w:rsid w:val="00DF515C"/>
    <w:rsid w:val="00E015E6"/>
    <w:rsid w:val="00E12045"/>
    <w:rsid w:val="00E13C5C"/>
    <w:rsid w:val="00E17DEB"/>
    <w:rsid w:val="00E209BF"/>
    <w:rsid w:val="00E223CA"/>
    <w:rsid w:val="00E236C6"/>
    <w:rsid w:val="00E34F33"/>
    <w:rsid w:val="00E40F95"/>
    <w:rsid w:val="00E41CF8"/>
    <w:rsid w:val="00E4269D"/>
    <w:rsid w:val="00E4312B"/>
    <w:rsid w:val="00E520C2"/>
    <w:rsid w:val="00E57576"/>
    <w:rsid w:val="00E604B3"/>
    <w:rsid w:val="00E60650"/>
    <w:rsid w:val="00E60EE1"/>
    <w:rsid w:val="00E627DD"/>
    <w:rsid w:val="00E708F6"/>
    <w:rsid w:val="00E7091A"/>
    <w:rsid w:val="00E716B4"/>
    <w:rsid w:val="00E75D25"/>
    <w:rsid w:val="00E86B67"/>
    <w:rsid w:val="00E9314D"/>
    <w:rsid w:val="00EA33D5"/>
    <w:rsid w:val="00EA5E02"/>
    <w:rsid w:val="00EA5FD0"/>
    <w:rsid w:val="00EA63B1"/>
    <w:rsid w:val="00EB0020"/>
    <w:rsid w:val="00EC6BB2"/>
    <w:rsid w:val="00EC7D3F"/>
    <w:rsid w:val="00ED0DD3"/>
    <w:rsid w:val="00ED15D4"/>
    <w:rsid w:val="00ED43C9"/>
    <w:rsid w:val="00ED648B"/>
    <w:rsid w:val="00EE16DD"/>
    <w:rsid w:val="00EE31B0"/>
    <w:rsid w:val="00EE356F"/>
    <w:rsid w:val="00EE397E"/>
    <w:rsid w:val="00EE65B1"/>
    <w:rsid w:val="00EF0A8E"/>
    <w:rsid w:val="00EF1C55"/>
    <w:rsid w:val="00EF1C95"/>
    <w:rsid w:val="00EF2774"/>
    <w:rsid w:val="00EF3CE9"/>
    <w:rsid w:val="00EF4059"/>
    <w:rsid w:val="00EF5586"/>
    <w:rsid w:val="00F078B7"/>
    <w:rsid w:val="00F1278D"/>
    <w:rsid w:val="00F14BFD"/>
    <w:rsid w:val="00F17566"/>
    <w:rsid w:val="00F22C6A"/>
    <w:rsid w:val="00F238F2"/>
    <w:rsid w:val="00F332B3"/>
    <w:rsid w:val="00F34D63"/>
    <w:rsid w:val="00F41C35"/>
    <w:rsid w:val="00F4438C"/>
    <w:rsid w:val="00F45323"/>
    <w:rsid w:val="00F46ED7"/>
    <w:rsid w:val="00F53C8E"/>
    <w:rsid w:val="00F549D7"/>
    <w:rsid w:val="00F556DB"/>
    <w:rsid w:val="00F560D5"/>
    <w:rsid w:val="00F73D95"/>
    <w:rsid w:val="00F76A4D"/>
    <w:rsid w:val="00F76DD2"/>
    <w:rsid w:val="00F77044"/>
    <w:rsid w:val="00F8015E"/>
    <w:rsid w:val="00F80A08"/>
    <w:rsid w:val="00F83598"/>
    <w:rsid w:val="00F85766"/>
    <w:rsid w:val="00F91CCA"/>
    <w:rsid w:val="00F931D3"/>
    <w:rsid w:val="00F95769"/>
    <w:rsid w:val="00FA289A"/>
    <w:rsid w:val="00FB375B"/>
    <w:rsid w:val="00FB6425"/>
    <w:rsid w:val="00FB694C"/>
    <w:rsid w:val="00FB6E00"/>
    <w:rsid w:val="00FC7F5D"/>
    <w:rsid w:val="00FD1D84"/>
    <w:rsid w:val="00FD50A4"/>
    <w:rsid w:val="00FD60D4"/>
    <w:rsid w:val="00FE58D5"/>
    <w:rsid w:val="00FE5CA3"/>
    <w:rsid w:val="00FF08C3"/>
    <w:rsid w:val="00FF3DE7"/>
    <w:rsid w:val="00FF74DC"/>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74535"/>
    <w:pPr>
      <w:spacing w:before="120" w:after="120"/>
    </w:pPr>
  </w:style>
  <w:style w:type="paragraph" w:styleId="Heading1">
    <w:name w:val="heading 1"/>
    <w:basedOn w:val="Normal"/>
    <w:next w:val="Normal"/>
    <w:qFormat/>
    <w:rsid w:val="00C74935"/>
    <w:pPr>
      <w:keepNext/>
      <w:spacing w:before="240"/>
      <w:outlineLvl w:val="0"/>
    </w:pPr>
    <w:rPr>
      <w:rFonts w:cs="Arial"/>
      <w:b/>
      <w:bCs/>
      <w:color w:val="1178A2"/>
      <w:kern w:val="28"/>
      <w:sz w:val="40"/>
      <w:szCs w:val="32"/>
    </w:rPr>
  </w:style>
  <w:style w:type="paragraph" w:styleId="Heading2">
    <w:name w:val="heading 2"/>
    <w:basedOn w:val="Heading1"/>
    <w:next w:val="Normal"/>
    <w:qFormat/>
    <w:rsid w:val="005A701E"/>
    <w:pPr>
      <w:spacing w:before="300" w:after="240"/>
      <w:outlineLvl w:val="1"/>
    </w:pPr>
    <w:rPr>
      <w:bCs w:val="0"/>
      <w:iCs/>
      <w:sz w:val="32"/>
      <w:szCs w:val="28"/>
    </w:rPr>
  </w:style>
  <w:style w:type="paragraph" w:styleId="Heading3">
    <w:name w:val="heading 3"/>
    <w:basedOn w:val="Heading2"/>
    <w:next w:val="Normal"/>
    <w:qFormat/>
    <w:rsid w:val="006A0017"/>
    <w:pPr>
      <w:outlineLvl w:val="2"/>
    </w:pPr>
    <w:rPr>
      <w:bCs/>
      <w:kern w:val="26"/>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79277C"/>
    <w:pPr>
      <w:spacing w:before="480"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79277C"/>
    <w:rPr>
      <w:rFonts w:ascii="Arial Bold" w:eastAsiaTheme="majorEastAsia" w:hAnsi="Arial Bold" w:cstheme="majorBidi"/>
      <w:b/>
      <w:color w:val="0A4A63"/>
      <w:kern w:val="28"/>
      <w:sz w:val="56"/>
      <w:szCs w:val="56"/>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423FC4"/>
    <w:rPr>
      <w:color w:val="1178A2" w:themeColor="accent1"/>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uiPriority w:val="99"/>
    <w:qFormat/>
    <w:rsid w:val="007449EB"/>
    <w:pPr>
      <w:spacing w:before="0" w:after="0"/>
      <w:jc w:val="right"/>
    </w:pPr>
    <w:rPr>
      <w:color w:val="000000" w:themeColor="text1"/>
      <w:sz w:val="28"/>
      <w:szCs w:val="40"/>
      <w:lang w:val="en-US"/>
    </w:rPr>
  </w:style>
  <w:style w:type="table" w:styleId="PlainTable1">
    <w:name w:val="Plain Table 1"/>
    <w:aliases w:val="Commission Blue Box"/>
    <w:basedOn w:val="TableNormal"/>
    <w:uiPriority w:val="98"/>
    <w:locked/>
    <w:rsid w:val="00CD7171"/>
    <w:pPr>
      <w:spacing w:after="0"/>
    </w:pPr>
    <w:tblPr>
      <w:tblStyleRowBandSize w:val="1"/>
      <w:tblStyleColBandSize w:val="1"/>
      <w:tblCellMar>
        <w:top w:w="113" w:type="dxa"/>
        <w:left w:w="340" w:type="dxa"/>
        <w:bottom w:w="113" w:type="dxa"/>
        <w:right w:w="284" w:type="dxa"/>
      </w:tblCellMar>
    </w:tblPr>
    <w:trPr>
      <w:cantSplit/>
    </w:trPr>
    <w:tcPr>
      <w:shd w:val="clear" w:color="auto" w:fill="E8F2FC"/>
    </w:tcPr>
    <w:tblStylePr w:type="firstRow">
      <w:rPr>
        <w:b/>
        <w:bCs/>
        <w:sz w:val="26"/>
      </w:rPr>
      <w:tblPr/>
      <w:trPr>
        <w:cantSplit w:val="0"/>
        <w:tblHeader/>
      </w:t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HeadMisc">
    <w:name w:val="References Head (Misc)"/>
    <w:basedOn w:val="Normal"/>
    <w:uiPriority w:val="99"/>
    <w:rsid w:val="006A0017"/>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NumberedMisc">
    <w:name w:val="References List Numbered (Misc)"/>
    <w:basedOn w:val="Normal"/>
    <w:uiPriority w:val="99"/>
    <w:rsid w:val="006A0017"/>
    <w:pPr>
      <w:widowControl w:val="0"/>
      <w:suppressAutoHyphens/>
      <w:autoSpaceDE w:val="0"/>
      <w:autoSpaceDN w:val="0"/>
      <w:adjustRightInd w:val="0"/>
      <w:spacing w:before="0" w:after="28" w:line="230" w:lineRule="atLeast"/>
      <w:ind w:left="283" w:hanging="283"/>
      <w:textAlignment w:val="center"/>
    </w:pPr>
    <w:rPr>
      <w:rFonts w:ascii="Open Sans" w:eastAsiaTheme="minorEastAsia" w:hAnsi="Open Sans" w:cs="Open Sans"/>
      <w:color w:val="000000"/>
      <w:sz w:val="17"/>
      <w:szCs w:val="17"/>
      <w:lang w:val="en-GB" w:eastAsia="en-GB"/>
    </w:rPr>
  </w:style>
  <w:style w:type="paragraph" w:customStyle="1" w:styleId="NormalBodystyles">
    <w:name w:val="Normal (Body styles)"/>
    <w:basedOn w:val="Normal"/>
    <w:uiPriority w:val="99"/>
    <w:rsid w:val="005A701E"/>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5A701E"/>
    <w:pPr>
      <w:widowControl w:val="0"/>
      <w:suppressAutoHyphens/>
      <w:autoSpaceDE w:val="0"/>
      <w:autoSpaceDN w:val="0"/>
      <w:adjustRightInd w:val="0"/>
      <w:spacing w:before="170" w:after="170" w:line="320" w:lineRule="atLeast"/>
      <w:textAlignment w:val="center"/>
    </w:pPr>
    <w:rPr>
      <w:rFonts w:ascii="Proxima Nova" w:eastAsiaTheme="minorEastAsia" w:hAnsi="Proxima Nova" w:cs="Proxima Nova"/>
      <w:b/>
      <w:bCs/>
      <w:color w:val="003565"/>
      <w:sz w:val="30"/>
      <w:szCs w:val="30"/>
      <w:lang w:val="en-GB" w:eastAsia="en-GB"/>
    </w:rPr>
  </w:style>
  <w:style w:type="paragraph" w:customStyle="1" w:styleId="NormalBeforeListBodystyles">
    <w:name w:val="Normal Before List (Body styles)"/>
    <w:basedOn w:val="NormalBodystyles"/>
    <w:next w:val="BulletLists"/>
    <w:uiPriority w:val="99"/>
    <w:rsid w:val="005A701E"/>
    <w:pPr>
      <w:keepNext/>
      <w:spacing w:after="57"/>
    </w:pPr>
  </w:style>
  <w:style w:type="paragraph" w:customStyle="1" w:styleId="StepsLists">
    <w:name w:val="Steps (Lists)"/>
    <w:basedOn w:val="NormalBodystyles"/>
    <w:uiPriority w:val="99"/>
    <w:rsid w:val="005A701E"/>
    <w:pPr>
      <w:tabs>
        <w:tab w:val="left" w:pos="397"/>
      </w:tabs>
      <w:spacing w:before="57" w:after="0"/>
      <w:ind w:left="397"/>
    </w:pPr>
  </w:style>
  <w:style w:type="paragraph" w:customStyle="1" w:styleId="StepsLetterFirstLists">
    <w:name w:val="Steps Letter Firs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StepsLetterContLists">
    <w:name w:val="Steps Letter Con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5A701E"/>
    <w:pPr>
      <w:widowControl w:val="0"/>
      <w:suppressAutoHyphens/>
      <w:autoSpaceDE w:val="0"/>
      <w:autoSpaceDN w:val="0"/>
      <w:adjustRightInd w:val="0"/>
      <w:spacing w:before="113" w:after="142"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Lists">
    <w:name w:val="Bullet (Lists)"/>
    <w:basedOn w:val="NormalBodystyles"/>
    <w:uiPriority w:val="99"/>
    <w:rsid w:val="005A701E"/>
    <w:pPr>
      <w:tabs>
        <w:tab w:val="left" w:pos="255"/>
      </w:tabs>
      <w:spacing w:after="57"/>
      <w:ind w:left="255" w:hanging="255"/>
    </w:pPr>
  </w:style>
  <w:style w:type="paragraph" w:customStyle="1" w:styleId="BulletLastLists">
    <w:name w:val="Bullet Last (Lists)"/>
    <w:basedOn w:val="BulletLists"/>
    <w:uiPriority w:val="99"/>
    <w:rsid w:val="005A701E"/>
    <w:pPr>
      <w:spacing w:after="170"/>
    </w:pPr>
  </w:style>
  <w:style w:type="character" w:customStyle="1" w:styleId="Strongbold">
    <w:name w:val="Strong (bold)"/>
    <w:uiPriority w:val="99"/>
    <w:rsid w:val="005A701E"/>
    <w:rPr>
      <w:b/>
      <w:bCs/>
    </w:rPr>
  </w:style>
  <w:style w:type="character" w:customStyle="1" w:styleId="BoldSteps">
    <w:name w:val="Bold (Steps)"/>
    <w:basedOn w:val="Strongbold"/>
    <w:uiPriority w:val="99"/>
    <w:rsid w:val="005A701E"/>
    <w:rPr>
      <w:rFonts w:ascii="Proxima Nova Extrabold" w:hAnsi="Proxima Nova Extrabold" w:cs="Proxima Nova Extrabold"/>
      <w:b/>
      <w:bCs/>
      <w:color w:val="003565"/>
      <w:sz w:val="22"/>
      <w:szCs w:val="22"/>
    </w:rPr>
  </w:style>
  <w:style w:type="character" w:customStyle="1" w:styleId="Strongsemibold">
    <w:name w:val="Strong (semibold)"/>
    <w:basedOn w:val="Strongbold"/>
    <w:uiPriority w:val="99"/>
    <w:rsid w:val="005A701E"/>
    <w:rPr>
      <w:b/>
      <w:bCs/>
    </w:rPr>
  </w:style>
  <w:style w:type="paragraph" w:customStyle="1" w:styleId="BoxHeadingHeadings">
    <w:name w:val="Box Heading (Headings)"/>
    <w:basedOn w:val="Heading3Headings"/>
    <w:uiPriority w:val="99"/>
    <w:rsid w:val="00B769EC"/>
    <w:rPr>
      <w14:ligatures w14:val="standardContextual"/>
    </w:rPr>
  </w:style>
  <w:style w:type="paragraph" w:customStyle="1" w:styleId="TableTextTables">
    <w:name w:val="Table Text (Tables)"/>
    <w:basedOn w:val="NoParagraphStyle"/>
    <w:uiPriority w:val="99"/>
    <w:rsid w:val="00B769EC"/>
    <w:pPr>
      <w:suppressAutoHyphens/>
      <w:spacing w:after="57" w:line="250" w:lineRule="atLeast"/>
    </w:pPr>
    <w:rPr>
      <w:rFonts w:ascii="Open Sans" w:eastAsiaTheme="minorEastAsia" w:hAnsi="Open Sans" w:cs="Open Sans"/>
      <w:sz w:val="19"/>
      <w:szCs w:val="19"/>
      <w:lang w:val="en-US"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publications-and-resources/resource-library/self-assessment-tool-cmos" TargetMode="External"/><Relationship Id="rId18" Type="http://schemas.openxmlformats.org/officeDocument/2006/relationships/hyperlink" Target="mailto:Advice.Centre@safetyandquality.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tyandquality.gov.au/standards/national-safety-and-quality-mental-health-standards-community-managed-organisations" TargetMode="External"/><Relationship Id="rId17" Type="http://schemas.openxmlformats.org/officeDocument/2006/relationships/hyperlink" Target="http://www.safetyandquality.gov.au/mh-cm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newsroom/national-standards-updates/advisory-cmo-2401-not-applicable-actions-nsqmhcmo-standa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publications-and-resources/resource-library/policy-approval-under-australian-health-service-safety-and-quality-accreditation-ahssqa-scheme-conduct-assessments"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safetyandquality.gov.au/newsroom/national-standards-updates/advisory-cmo-2401-not-applicable-actions-nsqmhcmo-standards" TargetMode="External"/><Relationship Id="rId23" Type="http://schemas.openxmlformats.org/officeDocument/2006/relationships/hyperlink" Target="http://www.safetyandquality.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ites/default/files/2020-02/using_picmors_for_quality_improvement_and_assessment_preparation_february_202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8" ma:contentTypeDescription="Create a new document." ma:contentTypeScope="" ma:versionID="f2315991d8f1da9559351f72d0e0457d">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9a763c1932d058a543df9faa9858a10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6C4D8-5E66-478A-9DA7-21877C4DC7E1}">
  <ds:schemaRefs>
    <ds:schemaRef ds:uri="http://schemas.microsoft.com/sharepoint/v3/contenttype/forms"/>
  </ds:schemaRefs>
</ds:datastoreItem>
</file>

<file path=customXml/itemProps2.xml><?xml version="1.0" encoding="utf-8"?>
<ds:datastoreItem xmlns:ds="http://schemas.openxmlformats.org/officeDocument/2006/customXml" ds:itemID="{3A777331-2F84-4CAF-9A2B-17C88422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4.xml><?xml version="1.0" encoding="utf-8"?>
<ds:datastoreItem xmlns:ds="http://schemas.openxmlformats.org/officeDocument/2006/customXml" ds:itemID="{D1FACACF-E503-4B59-BD24-16348FE128C0}">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Fact sheet for health services: NSQDMH Standards assessment framework</vt:lpstr>
    </vt:vector>
  </TitlesOfParts>
  <Manager/>
  <Company>Australian Commission on Safety and Quality in Health Care</Company>
  <LinksUpToDate>false</LinksUpToDate>
  <CharactersWithSpaces>8543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health services: NSQDMH Standards assessment framework</dc:title>
  <dc:subject/>
  <dc:creator>Australian Commission on Safety and Quality in Health Care</dc:creator>
  <cp:keywords/>
  <dc:description/>
  <cp:lastModifiedBy>ROSSI, Vanessa</cp:lastModifiedBy>
  <cp:revision>2</cp:revision>
  <cp:lastPrinted>2020-03-04T03:32:00Z</cp:lastPrinted>
  <dcterms:created xsi:type="dcterms:W3CDTF">2025-07-06T23:21:00Z</dcterms:created>
  <dcterms:modified xsi:type="dcterms:W3CDTF">2025-07-06T23:21:00Z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