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D819F" w14:textId="77777777" w:rsidR="00610834" w:rsidRPr="00610834" w:rsidRDefault="00610834" w:rsidP="00610834">
      <w:pPr>
        <w:snapToGrid/>
        <w:spacing w:line="260" w:lineRule="atLeast"/>
        <w:jc w:val="left"/>
        <w:rPr>
          <w:rFonts w:ascii="Arial" w:eastAsia="Arial" w:hAnsi="Arial" w:cs="Times New Roman"/>
          <w:color w:val="000000"/>
          <w:kern w:val="0"/>
          <w:sz w:val="22"/>
          <w:szCs w:val="22"/>
          <w:lang w:val="en-GB"/>
          <w14:ligatures w14:val="none"/>
        </w:rPr>
      </w:pPr>
      <w:bookmarkStart w:id="0" w:name="_Toc183440077"/>
      <w:r w:rsidRPr="00610834">
        <w:rPr>
          <w:rFonts w:ascii="Arial" w:eastAsia="Arial" w:hAnsi="Arial" w:cs="Times New Roman"/>
          <w:noProof/>
          <w:color w:val="000000"/>
          <w:kern w:val="0"/>
          <w:sz w:val="22"/>
          <w:szCs w:val="22"/>
          <w14:ligatures w14:val="none"/>
        </w:rPr>
        <w:drawing>
          <wp:anchor distT="0" distB="0" distL="114300" distR="114300" simplePos="0" relativeHeight="251666441" behindDoc="1" locked="0" layoutInCell="1" allowOverlap="1" wp14:anchorId="1526261F" wp14:editId="3F555CA9">
            <wp:simplePos x="0" y="0"/>
            <wp:positionH relativeFrom="column">
              <wp:posOffset>4241165</wp:posOffset>
            </wp:positionH>
            <wp:positionV relativeFrom="paragraph">
              <wp:posOffset>-476250</wp:posOffset>
            </wp:positionV>
            <wp:extent cx="1609725" cy="804863"/>
            <wp:effectExtent l="0" t="0" r="0" b="0"/>
            <wp:wrapNone/>
            <wp:docPr id="1147013363"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17552" name="Picture 3"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1326" cy="805663"/>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eastAsia="Arial" w:hAnsi="Arial" w:cs="Times New Roman"/>
          <w:color w:val="000000"/>
          <w:kern w:val="0"/>
          <w:sz w:val="22"/>
          <w:szCs w:val="22"/>
          <w:lang w:val="en-GB"/>
          <w14:ligatures w14:val="none"/>
        </w:rPr>
        <w:id w:val="-1636250267"/>
        <w:docPartObj>
          <w:docPartGallery w:val="Cover Pages"/>
          <w:docPartUnique/>
        </w:docPartObj>
      </w:sdtPr>
      <w:sdtContent>
        <w:p w14:paraId="01F288CE" w14:textId="77777777" w:rsidR="00610834" w:rsidRPr="00610834" w:rsidRDefault="00610834" w:rsidP="00610834">
          <w:pPr>
            <w:snapToGrid/>
            <w:spacing w:line="260" w:lineRule="atLeast"/>
            <w:jc w:val="left"/>
            <w:rPr>
              <w:rFonts w:ascii="Arial" w:eastAsia="Arial" w:hAnsi="Arial" w:cs="Times New Roman"/>
              <w:color w:val="000000"/>
              <w:kern w:val="0"/>
              <w:sz w:val="22"/>
              <w:szCs w:val="22"/>
              <w:lang w:val="en-GB"/>
              <w14:ligatures w14:val="none"/>
            </w:rPr>
          </w:pPr>
          <w:r w:rsidRPr="00610834">
            <w:rPr>
              <w:rFonts w:ascii="Arial" w:eastAsia="Arial" w:hAnsi="Arial" w:cs="Times New Roman"/>
              <w:noProof/>
              <w:color w:val="000000"/>
              <w:kern w:val="0"/>
              <w:sz w:val="22"/>
              <w:szCs w:val="22"/>
              <w:lang w:val="en-GB"/>
              <w14:ligatures w14:val="none"/>
            </w:rPr>
            <w:drawing>
              <wp:anchor distT="0" distB="0" distL="114300" distR="114300" simplePos="0" relativeHeight="251664393" behindDoc="1" locked="1" layoutInCell="1" allowOverlap="1" wp14:anchorId="239EC5CA" wp14:editId="1D169FBD">
                <wp:simplePos x="859809" y="1705970"/>
                <wp:positionH relativeFrom="page">
                  <wp:align>left</wp:align>
                </wp:positionH>
                <wp:positionV relativeFrom="page">
                  <wp:align>top</wp:align>
                </wp:positionV>
                <wp:extent cx="7560000" cy="10695600"/>
                <wp:effectExtent l="0" t="0" r="3175" b="0"/>
                <wp:wrapNone/>
                <wp:docPr id="309679144" name="Picture 22" descr="A purple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9144" name="Picture 22" descr="A purple and white rectang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Pr="00610834">
            <w:rPr>
              <w:rFonts w:ascii="Arial" w:eastAsia="Arial" w:hAnsi="Arial" w:cs="Times New Roman"/>
              <w:noProof/>
              <w:color w:val="000000"/>
              <w:kern w:val="0"/>
              <w:sz w:val="22"/>
              <w:szCs w:val="22"/>
              <w:lang w:val="en-GB"/>
              <w14:ligatures w14:val="none"/>
            </w:rPr>
            <w:drawing>
              <wp:anchor distT="0" distB="360045" distL="114300" distR="114300" simplePos="0" relativeHeight="251663369" behindDoc="0" locked="1" layoutInCell="1" allowOverlap="1" wp14:anchorId="07FAE8D6" wp14:editId="3FC2FEAF">
                <wp:simplePos x="0" y="0"/>
                <wp:positionH relativeFrom="page">
                  <wp:posOffset>648335</wp:posOffset>
                </wp:positionH>
                <wp:positionV relativeFrom="page">
                  <wp:posOffset>648335</wp:posOffset>
                </wp:positionV>
                <wp:extent cx="1782000" cy="615600"/>
                <wp:effectExtent l="0" t="0" r="8890" b="0"/>
                <wp:wrapTopAndBottom/>
                <wp:docPr id="1921113218" name="Picture 2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13218" name="Picture 21" descr="A black background with a black squar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2000" cy="615600"/>
                        </a:xfrm>
                        <a:prstGeom prst="rect">
                          <a:avLst/>
                        </a:prstGeom>
                      </pic:spPr>
                    </pic:pic>
                  </a:graphicData>
                </a:graphic>
                <wp14:sizeRelH relativeFrom="margin">
                  <wp14:pctWidth>0</wp14:pctWidth>
                </wp14:sizeRelH>
                <wp14:sizeRelV relativeFrom="margin">
                  <wp14:pctHeight>0</wp14:pctHeight>
                </wp14:sizeRelV>
              </wp:anchor>
            </w:drawing>
          </w:r>
        </w:p>
        <w:p w14:paraId="50770AB8" w14:textId="77777777" w:rsidR="00610834" w:rsidRPr="00610834" w:rsidRDefault="00000000" w:rsidP="00610834">
          <w:pPr>
            <w:framePr w:w="9866" w:h="1191" w:hRule="exact" w:wrap="around" w:vAnchor="page" w:hAnchor="page" w:x="1022" w:yAlign="bottom"/>
            <w:tabs>
              <w:tab w:val="right" w:pos="9866"/>
            </w:tabs>
            <w:snapToGrid/>
            <w:spacing w:before="0" w:after="0" w:line="240" w:lineRule="auto"/>
            <w:jc w:val="left"/>
            <w:rPr>
              <w:rFonts w:ascii="Arial" w:eastAsia="Arial" w:hAnsi="Arial" w:cs="Times New Roman"/>
              <w:b/>
              <w:color w:val="000000"/>
              <w:kern w:val="0"/>
              <w:sz w:val="22"/>
              <w:szCs w:val="22"/>
              <w:lang w:val="en-GB"/>
              <w14:ligatures w14:val="none"/>
            </w:rPr>
          </w:pPr>
          <w:sdt>
            <w:sdtPr>
              <w:rPr>
                <w:rFonts w:ascii="Arial" w:eastAsia="Arial" w:hAnsi="Arial" w:cs="Times New Roman"/>
                <w:b/>
                <w:color w:val="000000"/>
                <w:kern w:val="0"/>
                <w:sz w:val="22"/>
                <w:szCs w:val="22"/>
                <w:lang w:val="en-GB"/>
                <w14:ligatures w14:val="none"/>
              </w:rPr>
              <w:id w:val="2064452849"/>
              <w:placeholder>
                <w:docPart w:val="42F6692E6AF84A7A961A3F371D7F83D0"/>
              </w:placeholder>
              <w:date w:fullDate="2025-09-15T00:00:00Z">
                <w:dateFormat w:val="d MMMM yyyy"/>
                <w:lid w:val="en-AU"/>
                <w:storeMappedDataAs w:val="dateTime"/>
                <w:calendar w:val="gregorian"/>
              </w:date>
            </w:sdtPr>
            <w:sdtContent>
              <w:r w:rsidR="00610834" w:rsidRPr="00610834">
                <w:rPr>
                  <w:rFonts w:ascii="Arial" w:eastAsia="Arial" w:hAnsi="Arial" w:cs="Times New Roman"/>
                  <w:b/>
                  <w:color w:val="000000"/>
                  <w:kern w:val="0"/>
                  <w:sz w:val="22"/>
                  <w:szCs w:val="22"/>
                  <w:lang w:val="en-GB"/>
                  <w14:ligatures w14:val="none"/>
                </w:rPr>
                <w:t>15 September 2025</w:t>
              </w:r>
            </w:sdtContent>
          </w:sdt>
          <w:r w:rsidR="00610834" w:rsidRPr="00610834">
            <w:rPr>
              <w:rFonts w:ascii="Arial" w:eastAsia="Arial" w:hAnsi="Arial" w:cs="Times New Roman"/>
              <w:b/>
              <w:color w:val="000000"/>
              <w:kern w:val="0"/>
              <w:sz w:val="22"/>
              <w:szCs w:val="22"/>
              <w:lang w:val="en-GB"/>
              <w14:ligatures w14:val="none"/>
            </w:rPr>
            <w:t xml:space="preserve"> </w:t>
          </w:r>
          <w:r w:rsidR="00610834" w:rsidRPr="00610834">
            <w:rPr>
              <w:rFonts w:ascii="Arial" w:eastAsia="Arial" w:hAnsi="Arial" w:cs="Times New Roman"/>
              <w:b/>
              <w:color w:val="000000"/>
              <w:kern w:val="0"/>
              <w:sz w:val="22"/>
              <w:szCs w:val="22"/>
              <w:lang w:val="en-GB"/>
              <w14:ligatures w14:val="none"/>
            </w:rPr>
            <w:tab/>
            <w:t>safetyandquality.gov.au</w:t>
          </w:r>
        </w:p>
        <w:sdt>
          <w:sdtPr>
            <w:rPr>
              <w:rFonts w:ascii="Arial" w:eastAsia="Arial" w:hAnsi="Arial" w:cs="Times New Roman"/>
              <w:color w:val="000000"/>
              <w:kern w:val="0"/>
              <w:sz w:val="72"/>
              <w:szCs w:val="82"/>
              <w14:ligatures w14:val="none"/>
            </w:rPr>
            <w:id w:val="-919949614"/>
            <w:placeholder>
              <w:docPart w:val="4F63845C0AD64719970212F5EFE341F3"/>
            </w:placeholder>
          </w:sdtPr>
          <w:sdtContent>
            <w:p w14:paraId="01E3246B" w14:textId="77777777" w:rsidR="00610834" w:rsidRPr="00610834" w:rsidRDefault="00610834" w:rsidP="00610834">
              <w:pPr>
                <w:framePr w:w="6917" w:h="5670" w:hRule="exact" w:wrap="around" w:vAnchor="page" w:hAnchor="page" w:x="1033" w:y="4815"/>
                <w:snapToGrid/>
                <w:spacing w:before="0" w:after="425" w:line="240" w:lineRule="auto"/>
                <w:jc w:val="left"/>
                <w:rPr>
                  <w:rFonts w:ascii="Arial" w:eastAsia="Arial" w:hAnsi="Arial" w:cs="Times New Roman"/>
                  <w:color w:val="000000"/>
                  <w:kern w:val="0"/>
                  <w:sz w:val="72"/>
                  <w:szCs w:val="82"/>
                  <w14:ligatures w14:val="none"/>
                </w:rPr>
              </w:pPr>
              <w:r w:rsidRPr="00610834">
                <w:rPr>
                  <w:rFonts w:ascii="Arial" w:eastAsia="Arial" w:hAnsi="Arial" w:cs="Times New Roman"/>
                  <w:color w:val="000000"/>
                  <w:kern w:val="0"/>
                  <w:sz w:val="72"/>
                  <w:szCs w:val="82"/>
                  <w14:ligatures w14:val="none"/>
                </w:rPr>
                <w:t>A National Sepsis Data Plan</w:t>
              </w:r>
            </w:p>
          </w:sdtContent>
        </w:sdt>
        <w:sdt>
          <w:sdtPr>
            <w:rPr>
              <w:rFonts w:ascii="Arial" w:eastAsia="Arial" w:hAnsi="Arial" w:cs="Times New Roman"/>
              <w:color w:val="000000"/>
              <w:kern w:val="0"/>
              <w:sz w:val="28"/>
              <w:szCs w:val="28"/>
              <w14:ligatures w14:val="none"/>
            </w:rPr>
            <w:id w:val="-1419550553"/>
            <w:placeholder>
              <w:docPart w:val="19AC0452C39649B49FF02463B63D3F33"/>
            </w:placeholder>
          </w:sdtPr>
          <w:sdtEndPr>
            <w:rPr>
              <w:sz w:val="32"/>
              <w:szCs w:val="24"/>
            </w:rPr>
          </w:sdtEndPr>
          <w:sdtContent>
            <w:p w14:paraId="01F8D2C0" w14:textId="77777777" w:rsidR="00610834" w:rsidRPr="00610834" w:rsidRDefault="00610834" w:rsidP="00610834">
              <w:pPr>
                <w:framePr w:w="6917" w:h="5670" w:hRule="exact" w:wrap="around" w:vAnchor="page" w:hAnchor="page" w:x="1033" w:y="4815"/>
                <w:snapToGrid/>
                <w:spacing w:before="0" w:after="0" w:line="240" w:lineRule="auto"/>
                <w:jc w:val="left"/>
                <w:rPr>
                  <w:rFonts w:ascii="Arial" w:eastAsia="Arial" w:hAnsi="Arial" w:cs="Times New Roman"/>
                  <w:color w:val="000000"/>
                  <w:kern w:val="0"/>
                  <w:sz w:val="32"/>
                  <w:szCs w:val="24"/>
                  <w14:ligatures w14:val="none"/>
                </w:rPr>
              </w:pPr>
              <w:r w:rsidRPr="00610834">
                <w:rPr>
                  <w:rFonts w:ascii="Arial" w:eastAsia="Arial" w:hAnsi="Arial" w:cs="Times New Roman"/>
                  <w:color w:val="000000"/>
                  <w:kern w:val="0"/>
                  <w:sz w:val="28"/>
                  <w:szCs w:val="28"/>
                  <w14:ligatures w14:val="none"/>
                </w:rPr>
                <w:t>Strategic Analysis Report</w:t>
              </w:r>
            </w:p>
          </w:sdtContent>
        </w:sdt>
        <w:p w14:paraId="41B9B3DE" w14:textId="77777777" w:rsidR="00610834" w:rsidRPr="00610834" w:rsidRDefault="00610834" w:rsidP="00610834">
          <w:pPr>
            <w:snapToGrid/>
            <w:spacing w:line="260" w:lineRule="atLeast"/>
            <w:jc w:val="left"/>
            <w:rPr>
              <w:rFonts w:ascii="Arial" w:eastAsia="Arial" w:hAnsi="Arial" w:cs="Times New Roman"/>
              <w:color w:val="000000"/>
              <w:kern w:val="0"/>
              <w:sz w:val="22"/>
              <w:szCs w:val="22"/>
              <w:lang w:val="en-GB"/>
              <w14:ligatures w14:val="none"/>
            </w:rPr>
          </w:pPr>
        </w:p>
        <w:p w14:paraId="0C362B41" w14:textId="77777777" w:rsidR="00610834" w:rsidRPr="00610834" w:rsidRDefault="00610834" w:rsidP="00610834">
          <w:pPr>
            <w:snapToGrid/>
            <w:spacing w:line="260" w:lineRule="atLeast"/>
            <w:jc w:val="left"/>
            <w:rPr>
              <w:rFonts w:ascii="Arial" w:eastAsia="Arial" w:hAnsi="Arial" w:cs="Times New Roman"/>
              <w:color w:val="000000"/>
              <w:kern w:val="0"/>
              <w:sz w:val="22"/>
              <w:szCs w:val="22"/>
              <w:lang w:val="en-GB"/>
              <w14:ligatures w14:val="none"/>
            </w:rPr>
          </w:pPr>
          <w:r w:rsidRPr="00610834">
            <w:rPr>
              <w:rFonts w:ascii="Arial" w:eastAsia="Arial" w:hAnsi="Arial" w:cs="Times New Roman"/>
              <w:noProof/>
              <w:color w:val="000000"/>
              <w:kern w:val="0"/>
              <w:sz w:val="22"/>
              <w:szCs w:val="22"/>
              <w:lang w:val="en-GB"/>
              <w14:ligatures w14:val="none"/>
            </w:rPr>
            <mc:AlternateContent>
              <mc:Choice Requires="wps">
                <w:drawing>
                  <wp:anchor distT="45720" distB="45720" distL="114300" distR="114300" simplePos="0" relativeHeight="251665417" behindDoc="0" locked="0" layoutInCell="1" allowOverlap="1" wp14:anchorId="36B1481B" wp14:editId="61D10AAD">
                    <wp:simplePos x="0" y="0"/>
                    <wp:positionH relativeFrom="margin">
                      <wp:align>center</wp:align>
                    </wp:positionH>
                    <wp:positionV relativeFrom="paragraph">
                      <wp:posOffset>3853180</wp:posOffset>
                    </wp:positionV>
                    <wp:extent cx="6503035"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1404620"/>
                            </a:xfrm>
                            <a:prstGeom prst="rect">
                              <a:avLst/>
                            </a:prstGeom>
                            <a:solidFill>
                              <a:srgbClr val="FFFFFF"/>
                            </a:solidFill>
                            <a:ln w="9525">
                              <a:noFill/>
                              <a:miter lim="800000"/>
                              <a:headEnd/>
                              <a:tailEnd/>
                            </a:ln>
                          </wps:spPr>
                          <wps:txbx>
                            <w:txbxContent>
                              <w:p w14:paraId="70ED39C0" w14:textId="77777777" w:rsidR="00610834" w:rsidRPr="00610834" w:rsidRDefault="00610834" w:rsidP="00610834">
                                <w:pPr>
                                  <w:rPr>
                                    <w:sz w:val="22"/>
                                    <w:szCs w:val="22"/>
                                  </w:rPr>
                                </w:pPr>
                                <w:r w:rsidRPr="00610834">
                                  <w:rPr>
                                    <w:sz w:val="22"/>
                                    <w:szCs w:val="22"/>
                                  </w:rPr>
                                  <w:t xml:space="preserve">Callida Consulting prepared this report on behalf of the Australian Commission on Safety and Quality in Health Care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6B1481B" id="_x0000_t202" coordsize="21600,21600" o:spt="202" path="m,l,21600r21600,l21600,xe">
                    <v:stroke joinstyle="miter"/>
                    <v:path gradientshapeok="t" o:connecttype="rect"/>
                  </v:shapetype>
                  <v:shape id="Text Box 2" o:spid="_x0000_s1026" type="#_x0000_t202" style="position:absolute;margin-left:0;margin-top:303.4pt;width:512.05pt;height:110.6pt;z-index:25166541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WDDgIAAPcDAAAOAAAAZHJzL2Uyb0RvYy54bWysU9tu2zAMfR+wfxD0vthJk6w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" stroked="f">
                    <v:textbox style="mso-fit-shape-to-text:t">
                      <w:txbxContent>
                        <w:p w14:paraId="70ED39C0" w14:textId="77777777" w:rsidR="00610834" w:rsidRPr="00610834" w:rsidRDefault="00610834" w:rsidP="00610834">
                          <w:pPr>
                            <w:rPr>
                              <w:sz w:val="22"/>
                              <w:szCs w:val="22"/>
                            </w:rPr>
                          </w:pPr>
                          <w:r w:rsidRPr="00610834">
                            <w:rPr>
                              <w:sz w:val="22"/>
                              <w:szCs w:val="22"/>
                            </w:rPr>
                            <w:t xml:space="preserve">Callida Consulting prepared this report on behalf of the Australian Commission on Safety and Quality in Health Care </w:t>
                          </w:r>
                        </w:p>
                      </w:txbxContent>
                    </v:textbox>
                    <w10:wrap type="square" anchorx="margin"/>
                  </v:shape>
                </w:pict>
              </mc:Fallback>
            </mc:AlternateContent>
          </w:r>
          <w:r w:rsidRPr="00610834">
            <w:rPr>
              <w:rFonts w:ascii="Arial" w:eastAsia="Arial" w:hAnsi="Arial" w:cs="Times New Roman"/>
              <w:color w:val="000000"/>
              <w:kern w:val="0"/>
              <w:sz w:val="22"/>
              <w:szCs w:val="22"/>
              <w:lang w:val="en-GB"/>
              <w14:ligatures w14:val="none"/>
            </w:rPr>
            <w:br w:type="page"/>
          </w:r>
        </w:p>
      </w:sdtContent>
    </w:sdt>
    <w:p w14:paraId="72BF7F30" w14:textId="29F333EE" w:rsidR="006D04D5" w:rsidRDefault="006D04D5" w:rsidP="006D04D5">
      <w:pPr>
        <w:snapToGrid/>
        <w:spacing w:line="260" w:lineRule="atLeast"/>
        <w:jc w:val="left"/>
        <w:rPr>
          <w:rFonts w:ascii="Arial" w:eastAsia="Arial" w:hAnsi="Arial" w:cs="Times New Roman"/>
          <w:color w:val="000000"/>
          <w:kern w:val="0"/>
          <w:sz w:val="22"/>
          <w:szCs w:val="22"/>
          <w:lang w:val="en-GB"/>
          <w14:ligatures w14:val="none"/>
        </w:rPr>
      </w:pPr>
    </w:p>
    <w:p w14:paraId="38CABC11" w14:textId="77777777" w:rsidR="006D04D5" w:rsidRDefault="006D04D5" w:rsidP="006D04D5">
      <w:pPr>
        <w:snapToGrid/>
        <w:spacing w:line="260" w:lineRule="atLeast"/>
        <w:jc w:val="left"/>
        <w:rPr>
          <w:rFonts w:ascii="Arial" w:eastAsia="Arial" w:hAnsi="Arial" w:cs="Times New Roman"/>
          <w:color w:val="000000"/>
          <w:kern w:val="0"/>
          <w:sz w:val="22"/>
          <w:szCs w:val="22"/>
          <w:lang w:val="en-GB"/>
          <w14:ligatures w14:val="none"/>
        </w:rPr>
      </w:pPr>
    </w:p>
    <w:p w14:paraId="41C009BF" w14:textId="77777777" w:rsidR="006D04D5" w:rsidRDefault="006D04D5" w:rsidP="006D04D5">
      <w:pPr>
        <w:snapToGrid/>
        <w:spacing w:line="260" w:lineRule="atLeast"/>
        <w:jc w:val="left"/>
        <w:rPr>
          <w:rFonts w:ascii="Arial" w:eastAsia="Arial" w:hAnsi="Arial" w:cs="Times New Roman"/>
          <w:color w:val="000000"/>
          <w:kern w:val="0"/>
          <w:sz w:val="22"/>
          <w:szCs w:val="22"/>
          <w:lang w:val="en-GB"/>
          <w14:ligatures w14:val="none"/>
        </w:rPr>
      </w:pPr>
    </w:p>
    <w:p w14:paraId="3BDC6786" w14:textId="77777777" w:rsidR="006D04D5" w:rsidRDefault="006D04D5" w:rsidP="006D04D5">
      <w:pPr>
        <w:snapToGrid/>
        <w:spacing w:line="260" w:lineRule="atLeast"/>
        <w:jc w:val="left"/>
        <w:rPr>
          <w:rFonts w:ascii="Arial" w:eastAsia="Arial" w:hAnsi="Arial" w:cs="Times New Roman"/>
          <w:color w:val="000000"/>
          <w:kern w:val="0"/>
          <w:sz w:val="22"/>
          <w:szCs w:val="22"/>
          <w:lang w:val="en-GB"/>
          <w14:ligatures w14:val="none"/>
        </w:rPr>
      </w:pPr>
    </w:p>
    <w:p w14:paraId="6D14B398" w14:textId="77777777" w:rsidR="006D04D5" w:rsidRDefault="006D04D5" w:rsidP="006D04D5">
      <w:pPr>
        <w:snapToGrid/>
        <w:spacing w:line="260" w:lineRule="atLeast"/>
        <w:jc w:val="left"/>
        <w:rPr>
          <w:rFonts w:ascii="Arial" w:eastAsia="Arial" w:hAnsi="Arial" w:cs="Times New Roman"/>
          <w:color w:val="000000"/>
          <w:kern w:val="0"/>
          <w:sz w:val="22"/>
          <w:szCs w:val="22"/>
          <w:lang w:val="en-GB"/>
          <w14:ligatures w14:val="none"/>
        </w:rPr>
      </w:pPr>
    </w:p>
    <w:p w14:paraId="14EF28AB" w14:textId="77777777" w:rsidR="00204D0A" w:rsidRDefault="00204D0A" w:rsidP="006D04D5">
      <w:pPr>
        <w:snapToGrid/>
        <w:spacing w:line="260" w:lineRule="atLeast"/>
        <w:jc w:val="left"/>
        <w:rPr>
          <w:rFonts w:ascii="Arial" w:eastAsia="Arial" w:hAnsi="Arial" w:cs="Times New Roman"/>
          <w:color w:val="000000"/>
          <w:kern w:val="0"/>
          <w:sz w:val="22"/>
          <w:szCs w:val="22"/>
          <w:lang w:val="en-GB"/>
          <w14:ligatures w14:val="none"/>
        </w:rPr>
      </w:pPr>
    </w:p>
    <w:p w14:paraId="010C4A1F" w14:textId="77777777" w:rsidR="00204D0A" w:rsidRDefault="00204D0A" w:rsidP="006D04D5">
      <w:pPr>
        <w:snapToGrid/>
        <w:spacing w:line="260" w:lineRule="atLeast"/>
        <w:jc w:val="left"/>
        <w:rPr>
          <w:rFonts w:ascii="Arial" w:eastAsia="Arial" w:hAnsi="Arial" w:cs="Times New Roman"/>
          <w:color w:val="000000"/>
          <w:kern w:val="0"/>
          <w:sz w:val="22"/>
          <w:szCs w:val="22"/>
          <w:lang w:val="en-GB"/>
          <w14:ligatures w14:val="none"/>
        </w:rPr>
      </w:pPr>
    </w:p>
    <w:p w14:paraId="54C41CE1" w14:textId="77777777" w:rsidR="00204D0A" w:rsidRDefault="00204D0A" w:rsidP="006D04D5">
      <w:pPr>
        <w:snapToGrid/>
        <w:spacing w:line="260" w:lineRule="atLeast"/>
        <w:jc w:val="left"/>
        <w:rPr>
          <w:rFonts w:ascii="Arial" w:eastAsia="Arial" w:hAnsi="Arial" w:cs="Times New Roman"/>
          <w:color w:val="000000"/>
          <w:kern w:val="0"/>
          <w:sz w:val="22"/>
          <w:szCs w:val="22"/>
          <w:lang w:val="en-GB"/>
          <w14:ligatures w14:val="none"/>
        </w:rPr>
      </w:pPr>
    </w:p>
    <w:p w14:paraId="209E1867" w14:textId="77777777" w:rsidR="00204D0A" w:rsidRDefault="00204D0A" w:rsidP="006D04D5">
      <w:pPr>
        <w:snapToGrid/>
        <w:spacing w:line="260" w:lineRule="atLeast"/>
        <w:jc w:val="left"/>
        <w:rPr>
          <w:rFonts w:ascii="Arial" w:eastAsia="Arial" w:hAnsi="Arial" w:cs="Times New Roman"/>
          <w:color w:val="000000"/>
          <w:kern w:val="0"/>
          <w:sz w:val="22"/>
          <w:szCs w:val="22"/>
          <w:lang w:val="en-GB"/>
          <w14:ligatures w14:val="none"/>
        </w:rPr>
      </w:pPr>
    </w:p>
    <w:p w14:paraId="10479822" w14:textId="6C1AF485" w:rsidR="006D04D5" w:rsidRPr="006D04D5" w:rsidRDefault="006D04D5" w:rsidP="006D04D5">
      <w:pPr>
        <w:snapToGrid/>
        <w:spacing w:line="260" w:lineRule="atLeast"/>
        <w:jc w:val="left"/>
        <w:rPr>
          <w:rFonts w:ascii="Arial" w:eastAsia="Arial" w:hAnsi="Arial" w:cs="Times New Roman"/>
          <w:color w:val="000000"/>
          <w:kern w:val="0"/>
          <w:sz w:val="22"/>
          <w:szCs w:val="22"/>
          <w:lang w:val="en-GB"/>
          <w14:ligatures w14:val="none"/>
        </w:rPr>
      </w:pPr>
      <w:r w:rsidRPr="006D04D5">
        <w:rPr>
          <w:rFonts w:ascii="Arial" w:eastAsia="Arial" w:hAnsi="Arial" w:cs="Times New Roman"/>
          <w:color w:val="000000"/>
          <w:kern w:val="0"/>
          <w:sz w:val="22"/>
          <w:szCs w:val="22"/>
          <w:lang w:val="en-GB"/>
          <w14:ligatures w14:val="none"/>
        </w:rPr>
        <w:t>Published by the Australian Commission on Safety and Quality in Health Care</w:t>
      </w:r>
    </w:p>
    <w:p w14:paraId="25A3F8F7" w14:textId="77777777" w:rsidR="006D04D5" w:rsidRPr="006D04D5" w:rsidRDefault="006D04D5" w:rsidP="006D04D5">
      <w:pPr>
        <w:snapToGrid/>
        <w:spacing w:before="0" w:after="0" w:line="260" w:lineRule="atLeast"/>
        <w:jc w:val="left"/>
        <w:rPr>
          <w:rFonts w:ascii="Arial" w:eastAsia="Arial" w:hAnsi="Arial" w:cs="Times New Roman"/>
          <w:color w:val="000000"/>
          <w:kern w:val="0"/>
          <w:sz w:val="22"/>
          <w:szCs w:val="22"/>
          <w:lang w:val="en-GB"/>
          <w14:ligatures w14:val="none"/>
        </w:rPr>
      </w:pPr>
      <w:r w:rsidRPr="006D04D5">
        <w:rPr>
          <w:rFonts w:ascii="Arial" w:eastAsia="Arial" w:hAnsi="Arial" w:cs="Times New Roman"/>
          <w:color w:val="000000"/>
          <w:kern w:val="0"/>
          <w:sz w:val="22"/>
          <w:szCs w:val="22"/>
          <w:lang w:val="en-GB"/>
          <w14:ligatures w14:val="none"/>
        </w:rPr>
        <w:t>Level 5, 255 Elizabeth Street, Sydney NSW 2000</w:t>
      </w:r>
    </w:p>
    <w:p w14:paraId="1E92E071" w14:textId="77777777" w:rsidR="006D04D5" w:rsidRPr="006D04D5" w:rsidRDefault="006D04D5" w:rsidP="006D04D5">
      <w:pPr>
        <w:snapToGrid/>
        <w:spacing w:before="0" w:after="0" w:line="260" w:lineRule="atLeast"/>
        <w:jc w:val="left"/>
        <w:rPr>
          <w:rFonts w:ascii="Arial" w:eastAsia="Arial" w:hAnsi="Arial" w:cs="Times New Roman"/>
          <w:color w:val="000000"/>
          <w:kern w:val="0"/>
          <w:sz w:val="22"/>
          <w:szCs w:val="22"/>
          <w:lang w:val="en-GB"/>
          <w14:ligatures w14:val="none"/>
        </w:rPr>
      </w:pPr>
      <w:r w:rsidRPr="006D04D5">
        <w:rPr>
          <w:rFonts w:ascii="Arial" w:eastAsia="Arial" w:hAnsi="Arial" w:cs="Times New Roman"/>
          <w:color w:val="000000"/>
          <w:kern w:val="0"/>
          <w:sz w:val="22"/>
          <w:szCs w:val="22"/>
          <w:lang w:val="en-GB"/>
          <w14:ligatures w14:val="none"/>
        </w:rPr>
        <w:t xml:space="preserve">Phone: (02) 9126 3600 </w:t>
      </w:r>
    </w:p>
    <w:p w14:paraId="03B9182F" w14:textId="77777777" w:rsidR="006D04D5" w:rsidRPr="006D04D5" w:rsidRDefault="006D04D5" w:rsidP="006D04D5">
      <w:pPr>
        <w:snapToGrid/>
        <w:spacing w:before="0" w:after="0" w:line="260" w:lineRule="atLeast"/>
        <w:jc w:val="left"/>
        <w:rPr>
          <w:rFonts w:ascii="Arial" w:eastAsia="Arial" w:hAnsi="Arial" w:cs="Times New Roman"/>
          <w:color w:val="000000"/>
          <w:kern w:val="0"/>
          <w:sz w:val="22"/>
          <w:szCs w:val="22"/>
          <w:lang w:val="en-GB"/>
          <w14:ligatures w14:val="none"/>
        </w:rPr>
      </w:pPr>
      <w:r w:rsidRPr="006D04D5">
        <w:rPr>
          <w:rFonts w:ascii="Arial" w:eastAsia="Arial" w:hAnsi="Arial" w:cs="Times New Roman"/>
          <w:color w:val="000000"/>
          <w:kern w:val="0"/>
          <w:sz w:val="22"/>
          <w:szCs w:val="22"/>
          <w:lang w:val="en-GB"/>
          <w14:ligatures w14:val="none"/>
        </w:rPr>
        <w:t xml:space="preserve">Email: </w:t>
      </w:r>
      <w:hyperlink r:id="rId14" w:history="1">
        <w:r w:rsidRPr="006D04D5">
          <w:rPr>
            <w:rFonts w:ascii="Arial" w:eastAsia="Arial" w:hAnsi="Arial" w:cs="Times New Roman"/>
            <w:color w:val="282EA0"/>
            <w:kern w:val="0"/>
            <w:sz w:val="22"/>
            <w:szCs w:val="22"/>
            <w:u w:val="single"/>
            <w:lang w:val="en-GB"/>
            <w14:ligatures w14:val="none"/>
          </w:rPr>
          <w:t>mail@safetyandquality.gov.au</w:t>
        </w:r>
      </w:hyperlink>
      <w:r w:rsidRPr="006D04D5">
        <w:rPr>
          <w:rFonts w:ascii="Arial" w:eastAsia="Arial" w:hAnsi="Arial" w:cs="Times New Roman"/>
          <w:color w:val="000000"/>
          <w:kern w:val="0"/>
          <w:sz w:val="22"/>
          <w:szCs w:val="22"/>
          <w:lang w:val="en-GB"/>
          <w14:ligatures w14:val="none"/>
        </w:rPr>
        <w:t xml:space="preserve"> </w:t>
      </w:r>
    </w:p>
    <w:p w14:paraId="6EE18156" w14:textId="77777777" w:rsidR="006D04D5" w:rsidRPr="006D04D5" w:rsidRDefault="006D04D5" w:rsidP="006D04D5">
      <w:pPr>
        <w:snapToGrid/>
        <w:spacing w:before="0" w:after="0" w:line="260" w:lineRule="atLeast"/>
        <w:jc w:val="left"/>
        <w:rPr>
          <w:rFonts w:ascii="Arial" w:eastAsia="Arial" w:hAnsi="Arial" w:cs="Times New Roman"/>
          <w:color w:val="000000"/>
          <w:kern w:val="0"/>
          <w:sz w:val="22"/>
          <w:szCs w:val="22"/>
          <w:lang w:val="en-GB"/>
          <w14:ligatures w14:val="none"/>
        </w:rPr>
      </w:pPr>
      <w:r w:rsidRPr="006D04D5">
        <w:rPr>
          <w:rFonts w:ascii="Arial" w:eastAsia="Arial" w:hAnsi="Arial" w:cs="Times New Roman"/>
          <w:color w:val="000000"/>
          <w:kern w:val="0"/>
          <w:sz w:val="22"/>
          <w:szCs w:val="22"/>
          <w:lang w:val="en-GB"/>
          <w14:ligatures w14:val="none"/>
        </w:rPr>
        <w:t xml:space="preserve">Website: </w:t>
      </w:r>
      <w:hyperlink r:id="rId15" w:history="1">
        <w:r w:rsidRPr="006D04D5">
          <w:rPr>
            <w:rFonts w:ascii="Arial" w:eastAsia="Arial" w:hAnsi="Arial" w:cs="Times New Roman"/>
            <w:color w:val="282EA0"/>
            <w:kern w:val="0"/>
            <w:sz w:val="22"/>
            <w:szCs w:val="22"/>
            <w:u w:val="single"/>
            <w:lang w:val="en-GB"/>
            <w14:ligatures w14:val="none"/>
          </w:rPr>
          <w:t>safetyandquality.gov.au</w:t>
        </w:r>
      </w:hyperlink>
    </w:p>
    <w:p w14:paraId="5C2BBE45" w14:textId="6F22562C" w:rsidR="006D04D5" w:rsidRPr="006D04D5" w:rsidRDefault="006D04D5" w:rsidP="006D04D5">
      <w:pPr>
        <w:snapToGrid/>
        <w:spacing w:before="0" w:line="260" w:lineRule="atLeast"/>
        <w:jc w:val="left"/>
        <w:rPr>
          <w:rFonts w:ascii="Arial" w:eastAsia="Arial" w:hAnsi="Arial" w:cs="Times New Roman"/>
          <w:color w:val="000000"/>
          <w:kern w:val="0"/>
          <w:sz w:val="22"/>
          <w:szCs w:val="22"/>
          <w:lang w:val="en-GB"/>
          <w14:ligatures w14:val="none"/>
        </w:rPr>
      </w:pPr>
      <w:r w:rsidRPr="006D04D5">
        <w:rPr>
          <w:rFonts w:ascii="Arial" w:eastAsia="Arial" w:hAnsi="Arial" w:cs="Times New Roman"/>
          <w:color w:val="000000"/>
          <w:kern w:val="0"/>
          <w:sz w:val="22"/>
          <w:szCs w:val="22"/>
          <w:lang w:val="en-GB"/>
          <w14:ligatures w14:val="none"/>
        </w:rPr>
        <w:t xml:space="preserve">ISBN: </w:t>
      </w:r>
      <w:r w:rsidRPr="00CF4135">
        <w:rPr>
          <w:rFonts w:ascii="Arial" w:eastAsia="Arial" w:hAnsi="Arial" w:cs="Times New Roman"/>
          <w:kern w:val="0"/>
          <w:sz w:val="22"/>
          <w:szCs w:val="22"/>
          <w:lang w:val="en-GB"/>
          <w14:ligatures w14:val="none"/>
        </w:rPr>
        <w:t>978-1-</w:t>
      </w:r>
      <w:r w:rsidR="00CF4135" w:rsidRPr="00CF4135">
        <w:rPr>
          <w:rFonts w:ascii="Arial" w:eastAsia="Arial" w:hAnsi="Arial" w:cs="Times New Roman"/>
          <w:kern w:val="0"/>
          <w:sz w:val="22"/>
          <w:szCs w:val="22"/>
          <w:lang w:val="en-GB"/>
          <w14:ligatures w14:val="none"/>
        </w:rPr>
        <w:t>923353-31-2</w:t>
      </w:r>
    </w:p>
    <w:p w14:paraId="152F4AFD" w14:textId="77777777" w:rsidR="006D04D5" w:rsidRPr="006D04D5" w:rsidRDefault="006D04D5" w:rsidP="006D04D5">
      <w:pPr>
        <w:snapToGrid/>
        <w:spacing w:line="260" w:lineRule="atLeast"/>
        <w:jc w:val="left"/>
        <w:rPr>
          <w:rFonts w:ascii="Arial" w:eastAsia="Arial" w:hAnsi="Arial" w:cs="Times New Roman"/>
          <w:color w:val="000000"/>
          <w:kern w:val="0"/>
          <w:sz w:val="22"/>
          <w:szCs w:val="22"/>
          <w:lang w:val="en-GB"/>
          <w14:ligatures w14:val="none"/>
        </w:rPr>
      </w:pPr>
      <w:r w:rsidRPr="006D04D5">
        <w:rPr>
          <w:rFonts w:ascii="Arial" w:eastAsia="Arial" w:hAnsi="Arial" w:cs="Times New Roman"/>
          <w:color w:val="000000"/>
          <w:kern w:val="0"/>
          <w:sz w:val="22"/>
          <w:szCs w:val="22"/>
          <w:lang w:val="en-GB"/>
          <w14:ligatures w14:val="none"/>
        </w:rPr>
        <w:t xml:space="preserve">© Australian Commission on Safety and Quality in Health Care </w:t>
      </w:r>
      <w:r w:rsidRPr="006D04D5">
        <w:rPr>
          <w:rFonts w:ascii="Arial" w:eastAsia="Arial" w:hAnsi="Arial" w:cs="Times New Roman"/>
          <w:kern w:val="0"/>
          <w:sz w:val="22"/>
          <w:szCs w:val="22"/>
          <w:lang w:val="en-GB"/>
          <w14:ligatures w14:val="none"/>
        </w:rPr>
        <w:t>2025</w:t>
      </w:r>
    </w:p>
    <w:p w14:paraId="525C914B" w14:textId="77777777" w:rsidR="006D04D5" w:rsidRPr="006D04D5" w:rsidRDefault="006D04D5" w:rsidP="006D04D5">
      <w:pPr>
        <w:snapToGrid/>
        <w:spacing w:line="260" w:lineRule="atLeast"/>
        <w:jc w:val="left"/>
        <w:rPr>
          <w:rFonts w:ascii="Arial" w:eastAsia="Arial" w:hAnsi="Arial" w:cs="Times New Roman"/>
          <w:color w:val="000000"/>
          <w:kern w:val="0"/>
          <w:sz w:val="22"/>
          <w:szCs w:val="22"/>
          <w:lang w:val="en-GB"/>
          <w14:ligatures w14:val="none"/>
        </w:rPr>
      </w:pPr>
      <w:r w:rsidRPr="006D04D5">
        <w:rPr>
          <w:rFonts w:ascii="Arial" w:eastAsia="Arial" w:hAnsi="Arial" w:cs="Times New Roman"/>
          <w:color w:val="000000"/>
          <w:kern w:val="0"/>
          <w:sz w:val="22"/>
          <w:szCs w:val="22"/>
          <w:lang w:val="en-GB"/>
          <w14:ligatures w14:val="none"/>
        </w:rPr>
        <w:t xml:space="preserve">All material and work produced by the Australian Commission on Safety and Quality in Health Care (the Commission) is protected by copyright. The Commission reserves the right to set out the terms and conditions for the use of such material. </w:t>
      </w:r>
    </w:p>
    <w:p w14:paraId="443ECBBA" w14:textId="77777777" w:rsidR="006D04D5" w:rsidRPr="006D04D5" w:rsidRDefault="006D04D5" w:rsidP="006D04D5">
      <w:pPr>
        <w:snapToGrid/>
        <w:spacing w:line="260" w:lineRule="atLeast"/>
        <w:jc w:val="left"/>
        <w:rPr>
          <w:rFonts w:ascii="Arial" w:eastAsia="Arial" w:hAnsi="Arial" w:cs="Times New Roman"/>
          <w:color w:val="000000"/>
          <w:kern w:val="0"/>
          <w:sz w:val="22"/>
          <w:szCs w:val="22"/>
          <w:lang w:val="en-GB"/>
          <w14:ligatures w14:val="none"/>
        </w:rPr>
      </w:pPr>
      <w:r w:rsidRPr="006D04D5">
        <w:rPr>
          <w:rFonts w:ascii="Arial" w:eastAsia="Arial" w:hAnsi="Arial" w:cs="Times New Roman"/>
          <w:color w:val="000000"/>
          <w:kern w:val="0"/>
          <w:sz w:val="22"/>
          <w:szCs w:val="22"/>
          <w:lang w:val="en-GB"/>
          <w14:ligatures w14:val="none"/>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381A8479" w14:textId="77777777" w:rsidR="006D04D5" w:rsidRPr="006D04D5" w:rsidRDefault="006D04D5" w:rsidP="006D04D5">
      <w:pPr>
        <w:snapToGrid/>
        <w:spacing w:line="260" w:lineRule="atLeast"/>
        <w:jc w:val="left"/>
        <w:rPr>
          <w:rFonts w:ascii="Arial" w:eastAsia="Arial" w:hAnsi="Arial" w:cs="Times New Roman"/>
          <w:color w:val="000000"/>
          <w:kern w:val="0"/>
          <w:sz w:val="22"/>
          <w:szCs w:val="22"/>
          <w:lang w:val="en-GB"/>
          <w14:ligatures w14:val="none"/>
        </w:rPr>
      </w:pPr>
      <w:r w:rsidRPr="006D04D5">
        <w:rPr>
          <w:rFonts w:ascii="Arial" w:eastAsia="Arial" w:hAnsi="Arial" w:cs="Times New Roman"/>
          <w:color w:val="000000"/>
          <w:spacing w:val="-2"/>
          <w:kern w:val="0"/>
          <w:sz w:val="22"/>
          <w:szCs w:val="22"/>
          <w:lang w:val="en-GB"/>
          <w14:ligatures w14:val="none"/>
        </w:rPr>
        <w:t>With the exception of any material protected by a trademark, any content provided by third parties and where otherwise noted, all material presented in this publication is licensed under a</w:t>
      </w:r>
      <w:r w:rsidRPr="006D04D5">
        <w:rPr>
          <w:rFonts w:ascii="Arial" w:eastAsia="Arial" w:hAnsi="Arial" w:cs="Times New Roman"/>
          <w:color w:val="000000"/>
          <w:kern w:val="0"/>
          <w:sz w:val="22"/>
          <w:szCs w:val="22"/>
          <w:lang w:val="en-GB"/>
          <w14:ligatures w14:val="none"/>
        </w:rPr>
        <w:t xml:space="preserve"> </w:t>
      </w:r>
      <w:r w:rsidRPr="006D04D5">
        <w:rPr>
          <w:rFonts w:ascii="Arial" w:eastAsia="Arial" w:hAnsi="Arial" w:cs="Times New Roman"/>
          <w:color w:val="000000"/>
          <w:kern w:val="0"/>
          <w:sz w:val="22"/>
          <w:szCs w:val="22"/>
          <w:lang w:val="en-GB"/>
          <w14:ligatures w14:val="none"/>
        </w:rPr>
        <w:br/>
      </w:r>
      <w:hyperlink r:id="rId16" w:history="1">
        <w:r w:rsidRPr="006D04D5">
          <w:rPr>
            <w:rFonts w:ascii="Arial" w:eastAsia="Arial" w:hAnsi="Arial" w:cs="Times New Roman"/>
            <w:color w:val="282EA0"/>
            <w:kern w:val="0"/>
            <w:sz w:val="22"/>
            <w:szCs w:val="22"/>
            <w:u w:val="single"/>
            <w:lang w:val="en-GB"/>
            <w14:ligatures w14:val="none"/>
          </w:rPr>
          <w:t>Creative Commons Attribution-NonCommercial-NoDerivatives 4.0 International licence</w:t>
        </w:r>
      </w:hyperlink>
      <w:r w:rsidRPr="006D04D5">
        <w:rPr>
          <w:rFonts w:ascii="Arial" w:eastAsia="Arial" w:hAnsi="Arial" w:cs="Times New Roman"/>
          <w:color w:val="000000"/>
          <w:kern w:val="0"/>
          <w:sz w:val="22"/>
          <w:szCs w:val="22"/>
          <w:lang w:val="en-GB"/>
          <w14:ligatures w14:val="none"/>
        </w:rPr>
        <w:t>.</w:t>
      </w:r>
    </w:p>
    <w:p w14:paraId="6C58F0FE" w14:textId="77777777" w:rsidR="006D04D5" w:rsidRPr="006D04D5" w:rsidRDefault="006D04D5" w:rsidP="006D04D5">
      <w:pPr>
        <w:snapToGrid/>
        <w:spacing w:line="260" w:lineRule="atLeast"/>
        <w:jc w:val="left"/>
        <w:rPr>
          <w:rFonts w:ascii="Arial" w:eastAsia="Arial" w:hAnsi="Arial" w:cs="Times New Roman"/>
          <w:b/>
          <w:bCs/>
          <w:color w:val="000000"/>
          <w:kern w:val="0"/>
          <w:sz w:val="22"/>
          <w:szCs w:val="22"/>
          <w:u w:val="thick"/>
          <w:lang w:val="en-GB"/>
          <w14:ligatures w14:val="none"/>
        </w:rPr>
      </w:pPr>
      <w:r w:rsidRPr="006D04D5">
        <w:rPr>
          <w:rFonts w:ascii="Arial" w:eastAsia="Arial" w:hAnsi="Arial" w:cs="Times New Roman"/>
          <w:b/>
          <w:bCs/>
          <w:noProof/>
          <w:color w:val="000000"/>
          <w:kern w:val="0"/>
          <w:sz w:val="22"/>
          <w:szCs w:val="22"/>
          <w:u w:val="thick"/>
          <w:lang w:val="en-GB"/>
          <w14:ligatures w14:val="none"/>
        </w:rPr>
        <w:drawing>
          <wp:inline distT="0" distB="0" distL="0" distR="0" wp14:anchorId="030321BA" wp14:editId="0CD76BF5">
            <wp:extent cx="576073" cy="201168"/>
            <wp:effectExtent l="0" t="0" r="0" b="8890"/>
            <wp:docPr id="142603590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35908" name="Picture 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3" cy="201168"/>
                    </a:xfrm>
                    <a:prstGeom prst="rect">
                      <a:avLst/>
                    </a:prstGeom>
                  </pic:spPr>
                </pic:pic>
              </a:graphicData>
            </a:graphic>
          </wp:inline>
        </w:drawing>
      </w:r>
    </w:p>
    <w:p w14:paraId="2B2234B7" w14:textId="77777777" w:rsidR="006D04D5" w:rsidRPr="006D04D5" w:rsidRDefault="006D04D5" w:rsidP="006D04D5">
      <w:pPr>
        <w:snapToGrid/>
        <w:spacing w:line="260" w:lineRule="atLeast"/>
        <w:jc w:val="left"/>
        <w:rPr>
          <w:rFonts w:ascii="Arial" w:eastAsia="Arial" w:hAnsi="Arial" w:cs="Times New Roman"/>
          <w:color w:val="EE0000"/>
          <w:kern w:val="0"/>
          <w:sz w:val="22"/>
          <w:szCs w:val="22"/>
          <w:lang w:val="en-GB"/>
          <w14:ligatures w14:val="none"/>
        </w:rPr>
      </w:pPr>
      <w:r w:rsidRPr="006D04D5">
        <w:rPr>
          <w:rFonts w:ascii="Arial" w:eastAsia="Arial" w:hAnsi="Arial" w:cs="Times New Roman"/>
          <w:kern w:val="0"/>
          <w:sz w:val="22"/>
          <w:szCs w:val="22"/>
          <w:lang w:val="en-GB"/>
          <w14:ligatures w14:val="none"/>
        </w:rPr>
        <w:t xml:space="preserve">If you would like to reproduce all or part of this resource, please complete our online form at </w:t>
      </w:r>
      <w:hyperlink r:id="rId18" w:history="1">
        <w:r w:rsidRPr="006D04D5">
          <w:rPr>
            <w:rFonts w:ascii="Arial" w:eastAsia="Arial" w:hAnsi="Arial" w:cs="Times New Roman"/>
            <w:color w:val="282EA0"/>
            <w:kern w:val="0"/>
            <w:sz w:val="22"/>
            <w:szCs w:val="22"/>
            <w:u w:val="single"/>
            <w:lang w:val="en-GB"/>
            <w14:ligatures w14:val="none"/>
          </w:rPr>
          <w:t>safetyandquality.gov.au/permission-request</w:t>
        </w:r>
      </w:hyperlink>
      <w:r w:rsidRPr="006D04D5">
        <w:rPr>
          <w:rFonts w:ascii="Arial" w:eastAsia="Arial" w:hAnsi="Arial" w:cs="Times New Roman"/>
          <w:kern w:val="0"/>
          <w:sz w:val="22"/>
          <w:szCs w:val="22"/>
          <w:lang w:val="en-GB"/>
          <w14:ligatures w14:val="none"/>
        </w:rPr>
        <w:t>.</w:t>
      </w:r>
    </w:p>
    <w:p w14:paraId="5A4D0E72" w14:textId="77777777" w:rsidR="006D04D5" w:rsidRPr="006D04D5" w:rsidRDefault="006D04D5" w:rsidP="006D04D5">
      <w:pPr>
        <w:snapToGrid/>
        <w:spacing w:line="260" w:lineRule="atLeast"/>
        <w:jc w:val="left"/>
        <w:rPr>
          <w:rFonts w:ascii="Arial" w:eastAsia="Arial" w:hAnsi="Arial" w:cs="Times New Roman"/>
          <w:color w:val="000000"/>
          <w:kern w:val="0"/>
          <w:sz w:val="22"/>
          <w:szCs w:val="22"/>
          <w:lang w:val="en-GB"/>
          <w14:ligatures w14:val="none"/>
        </w:rPr>
      </w:pPr>
      <w:r w:rsidRPr="006D04D5">
        <w:rPr>
          <w:rFonts w:ascii="Arial" w:eastAsia="Arial" w:hAnsi="Arial" w:cs="Times New Roman"/>
          <w:color w:val="000000"/>
          <w:kern w:val="0"/>
          <w:sz w:val="22"/>
          <w:szCs w:val="22"/>
          <w:lang w:val="en-GB"/>
          <w14:ligatures w14:val="none"/>
        </w:rPr>
        <w:t>The Commission’s preference is that you attribute this publication (and any material sourced from it) using the following citation:</w:t>
      </w:r>
    </w:p>
    <w:p w14:paraId="59300D92" w14:textId="77777777" w:rsidR="006D04D5" w:rsidRPr="006D04D5" w:rsidRDefault="006D04D5" w:rsidP="006D04D5">
      <w:pPr>
        <w:snapToGrid/>
        <w:spacing w:line="260" w:lineRule="atLeast"/>
        <w:jc w:val="left"/>
        <w:rPr>
          <w:rFonts w:ascii="Arial" w:eastAsia="Arial" w:hAnsi="Arial" w:cs="Times New Roman"/>
          <w:color w:val="EE0000"/>
          <w:kern w:val="0"/>
          <w:sz w:val="22"/>
          <w:szCs w:val="22"/>
          <w:lang w:val="en-GB"/>
          <w14:ligatures w14:val="none"/>
        </w:rPr>
      </w:pPr>
      <w:r w:rsidRPr="006D04D5">
        <w:rPr>
          <w:rFonts w:ascii="Arial" w:eastAsia="Arial" w:hAnsi="Arial" w:cs="Times New Roman"/>
          <w:kern w:val="0"/>
          <w:sz w:val="22"/>
          <w:szCs w:val="22"/>
          <w:lang w:val="en-GB"/>
          <w14:ligatures w14:val="none"/>
        </w:rPr>
        <w:t>Australian Commission on Safety and Quality in Health Care. National Sepsis Program Extension, Data Tools for Quality Improvement, ACSQHC; 2025</w:t>
      </w:r>
      <w:r w:rsidRPr="006D04D5">
        <w:rPr>
          <w:rFonts w:ascii="Arial" w:eastAsia="Arial" w:hAnsi="Arial" w:cs="Times New Roman"/>
          <w:color w:val="EE0000"/>
          <w:kern w:val="0"/>
          <w:sz w:val="22"/>
          <w:szCs w:val="22"/>
          <w:lang w:val="en-GB"/>
          <w14:ligatures w14:val="none"/>
        </w:rPr>
        <w:t>.</w:t>
      </w:r>
    </w:p>
    <w:p w14:paraId="238571EF" w14:textId="77777777" w:rsidR="006D04D5" w:rsidRPr="006D04D5" w:rsidRDefault="006D04D5" w:rsidP="006D04D5">
      <w:pPr>
        <w:snapToGrid/>
        <w:spacing w:line="260" w:lineRule="atLeast"/>
        <w:jc w:val="left"/>
        <w:rPr>
          <w:rFonts w:ascii="Arial" w:eastAsia="Arial" w:hAnsi="Arial" w:cs="Times New Roman"/>
          <w:b/>
          <w:bCs/>
          <w:color w:val="000000"/>
          <w:kern w:val="0"/>
          <w:sz w:val="22"/>
          <w:szCs w:val="22"/>
          <w:lang w:val="en-GB"/>
          <w14:ligatures w14:val="none"/>
        </w:rPr>
      </w:pPr>
      <w:r w:rsidRPr="006D04D5">
        <w:rPr>
          <w:rFonts w:ascii="Arial" w:eastAsia="Arial" w:hAnsi="Arial" w:cs="Times New Roman"/>
          <w:b/>
          <w:bCs/>
          <w:color w:val="000000"/>
          <w:kern w:val="0"/>
          <w:sz w:val="22"/>
          <w:szCs w:val="22"/>
          <w:lang w:val="en-GB"/>
          <w14:ligatures w14:val="none"/>
        </w:rPr>
        <w:t>Disclaimer</w:t>
      </w:r>
    </w:p>
    <w:p w14:paraId="517093C6" w14:textId="77777777" w:rsidR="006D04D5" w:rsidRPr="006D04D5" w:rsidRDefault="006D04D5" w:rsidP="006D04D5">
      <w:pPr>
        <w:snapToGrid/>
        <w:spacing w:line="260" w:lineRule="atLeast"/>
        <w:jc w:val="left"/>
        <w:rPr>
          <w:rFonts w:ascii="Arial" w:eastAsia="Arial" w:hAnsi="Arial" w:cs="Times New Roman"/>
          <w:color w:val="000000"/>
          <w:kern w:val="0"/>
          <w:sz w:val="22"/>
          <w:szCs w:val="22"/>
          <w:lang w:val="en-GB"/>
          <w14:ligatures w14:val="none"/>
        </w:rPr>
      </w:pPr>
      <w:r w:rsidRPr="006D04D5">
        <w:rPr>
          <w:rFonts w:ascii="Arial" w:eastAsia="Arial" w:hAnsi="Arial" w:cs="Times New Roman"/>
          <w:color w:val="000000"/>
          <w:kern w:val="0"/>
          <w:sz w:val="22"/>
          <w:szCs w:val="22"/>
          <w:lang w:val="en-GB"/>
          <w14:ligatures w14:val="none"/>
        </w:rPr>
        <w:t xml:space="preserve">The content of this document is published in good faith by the Commission for information purposes. The document is not intended to provide guidance on particular healthcare choices. You should contact your health care provider for information or advice on particular healthcare choices. </w:t>
      </w:r>
    </w:p>
    <w:p w14:paraId="66E1E460" w14:textId="77777777" w:rsidR="006D04D5" w:rsidRPr="006D04D5" w:rsidRDefault="006D04D5" w:rsidP="006D04D5">
      <w:pPr>
        <w:snapToGrid/>
        <w:spacing w:line="260" w:lineRule="atLeast"/>
        <w:jc w:val="left"/>
        <w:rPr>
          <w:rFonts w:ascii="Arial" w:eastAsia="Arial" w:hAnsi="Arial" w:cs="Times New Roman"/>
          <w:color w:val="000000"/>
          <w:kern w:val="0"/>
          <w:sz w:val="22"/>
          <w:szCs w:val="22"/>
          <w:lang w:val="en-GB"/>
          <w14:ligatures w14:val="none"/>
        </w:rPr>
      </w:pPr>
      <w:r w:rsidRPr="006D04D5">
        <w:rPr>
          <w:rFonts w:ascii="Arial" w:eastAsia="Arial" w:hAnsi="Arial" w:cs="Times New Roman"/>
          <w:color w:val="000000"/>
          <w:kern w:val="0"/>
          <w:sz w:val="22"/>
          <w:szCs w:val="22"/>
          <w:lang w:val="en-GB"/>
          <w14:ligatures w14:val="none"/>
        </w:rPr>
        <w:t xml:space="preserve">The Commission does not accept any legal liability for any injury, loss or damage incurred by the use of, or reliance on, this document. </w:t>
      </w:r>
    </w:p>
    <w:p w14:paraId="3E41CB4F" w14:textId="77777777" w:rsidR="00204D0A" w:rsidRDefault="00204D0A" w:rsidP="006D04D5">
      <w:pPr>
        <w:rPr>
          <w:rFonts w:ascii="Arial" w:eastAsia="Arial" w:hAnsi="Arial" w:cs="Times New Roman"/>
          <w:color w:val="000000"/>
          <w:kern w:val="0"/>
          <w:sz w:val="52"/>
          <w:szCs w:val="44"/>
          <w14:ligatures w14:val="none"/>
        </w:rPr>
      </w:pPr>
    </w:p>
    <w:p w14:paraId="085CEB27" w14:textId="573C4577" w:rsidR="006D04D5" w:rsidRPr="006D04D5" w:rsidRDefault="006D04D5" w:rsidP="006D04D5">
      <w:pPr>
        <w:rPr>
          <w:rFonts w:asciiTheme="majorHAnsi" w:eastAsiaTheme="majorEastAsia" w:hAnsiTheme="majorHAnsi" w:cstheme="majorBidi"/>
          <w:color w:val="555555" w:themeColor="text2"/>
          <w:spacing w:val="-10"/>
          <w:kern w:val="28"/>
          <w:sz w:val="96"/>
          <w:szCs w:val="96"/>
        </w:rPr>
      </w:pPr>
      <w:r>
        <w:rPr>
          <w:noProof/>
        </w:rPr>
        <w:lastRenderedPageBreak/>
        <w:drawing>
          <wp:anchor distT="0" distB="0" distL="114300" distR="114300" simplePos="0" relativeHeight="251668489" behindDoc="1" locked="0" layoutInCell="1" allowOverlap="1" wp14:anchorId="5A093F71" wp14:editId="56632A59">
            <wp:simplePos x="0" y="0"/>
            <wp:positionH relativeFrom="page">
              <wp:posOffset>-40640</wp:posOffset>
            </wp:positionH>
            <wp:positionV relativeFrom="page">
              <wp:posOffset>21286</wp:posOffset>
            </wp:positionV>
            <wp:extent cx="7656394" cy="10830092"/>
            <wp:effectExtent l="0" t="0" r="1905" b="0"/>
            <wp:wrapNone/>
            <wp:docPr id="3292816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35964" name="Picture 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56394" cy="10830092"/>
                    </a:xfrm>
                    <a:prstGeom prst="rect">
                      <a:avLst/>
                    </a:prstGeom>
                  </pic:spPr>
                </pic:pic>
              </a:graphicData>
            </a:graphic>
            <wp14:sizeRelH relativeFrom="margin">
              <wp14:pctWidth>0</wp14:pctWidth>
            </wp14:sizeRelH>
            <wp14:sizeRelV relativeFrom="margin">
              <wp14:pctHeight>0</wp14:pctHeight>
            </wp14:sizeRelV>
          </wp:anchor>
        </w:drawing>
      </w:r>
      <w:bookmarkStart w:id="1" w:name="_Toc501634887"/>
      <w:r w:rsidRPr="006D04D5">
        <w:rPr>
          <w:rFonts w:ascii="Arial" w:eastAsia="Arial" w:hAnsi="Arial" w:cs="Times New Roman"/>
          <w:color w:val="000000"/>
          <w:kern w:val="0"/>
          <w:sz w:val="52"/>
          <w:szCs w:val="44"/>
          <w14:ligatures w14:val="none"/>
        </w:rPr>
        <w:t>Preface</w:t>
      </w:r>
      <w:r w:rsidRPr="006D04D5">
        <w:rPr>
          <w:noProof/>
        </w:rPr>
        <w:t xml:space="preserve"> </w:t>
      </w:r>
    </w:p>
    <w:p w14:paraId="6FB5ED90" w14:textId="446A1BB9" w:rsidR="006D04D5" w:rsidRPr="006D04D5" w:rsidRDefault="006D04D5" w:rsidP="006D04D5">
      <w:pPr>
        <w:snapToGrid/>
        <w:spacing w:line="260" w:lineRule="atLeast"/>
        <w:jc w:val="left"/>
        <w:rPr>
          <w:rFonts w:ascii="Arial" w:eastAsia="Arial" w:hAnsi="Arial" w:cs="Times New Roman"/>
          <w:color w:val="000000"/>
          <w:kern w:val="0"/>
          <w:sz w:val="22"/>
          <w:szCs w:val="22"/>
          <w14:ligatures w14:val="none"/>
        </w:rPr>
      </w:pPr>
      <w:r w:rsidRPr="006D04D5">
        <w:rPr>
          <w:rFonts w:ascii="Arial" w:eastAsia="Arial" w:hAnsi="Arial" w:cs="Times New Roman"/>
          <w:color w:val="000000"/>
          <w:kern w:val="0"/>
          <w:sz w:val="22"/>
          <w:szCs w:val="22"/>
          <w14:ligatures w14:val="none"/>
        </w:rPr>
        <w:t xml:space="preserve">On 13 September 2019, the Hon Greg Hunt MP announced $1.5 million in funding, to support improved sepsis outcomes. The Commission established the National Sepsis Program in June 2020 under a contract for services with the then Department of Health, Disability and Ageing. </w:t>
      </w:r>
    </w:p>
    <w:p w14:paraId="3167A892" w14:textId="77777777" w:rsidR="006D04D5" w:rsidRPr="006D04D5" w:rsidRDefault="006D04D5" w:rsidP="006D04D5">
      <w:pPr>
        <w:snapToGrid/>
        <w:spacing w:line="260" w:lineRule="atLeast"/>
        <w:jc w:val="left"/>
        <w:rPr>
          <w:rFonts w:ascii="Arial" w:eastAsia="Arial" w:hAnsi="Arial" w:cs="Times New Roman"/>
          <w:color w:val="000000"/>
          <w:kern w:val="0"/>
          <w:sz w:val="22"/>
          <w:szCs w:val="22"/>
          <w14:ligatures w14:val="none"/>
        </w:rPr>
      </w:pPr>
      <w:r w:rsidRPr="006D04D5">
        <w:rPr>
          <w:rFonts w:ascii="Arial" w:eastAsia="Arial" w:hAnsi="Arial" w:cs="Times New Roman"/>
          <w:color w:val="000000"/>
          <w:kern w:val="0"/>
          <w:sz w:val="22"/>
          <w:szCs w:val="22"/>
          <w14:ligatures w14:val="none"/>
        </w:rPr>
        <w:t xml:space="preserve">Priorities for coordinated national action on sepsis were identified through consultation with The George Institute for Global Health (TGI), state and territory health departments, sepsis clinical experts and healthcare organisations. </w:t>
      </w:r>
    </w:p>
    <w:p w14:paraId="70BABB3C" w14:textId="77777777" w:rsidR="006D04D5" w:rsidRPr="006D04D5" w:rsidRDefault="006D04D5" w:rsidP="006D04D5">
      <w:pPr>
        <w:snapToGrid/>
        <w:spacing w:line="260" w:lineRule="atLeast"/>
        <w:jc w:val="left"/>
        <w:rPr>
          <w:rFonts w:ascii="Arial" w:eastAsia="Arial" w:hAnsi="Arial" w:cs="Times New Roman"/>
          <w:color w:val="000000"/>
          <w:kern w:val="0"/>
          <w:sz w:val="22"/>
          <w:szCs w:val="22"/>
          <w14:ligatures w14:val="none"/>
        </w:rPr>
      </w:pPr>
      <w:r w:rsidRPr="006D04D5">
        <w:rPr>
          <w:rFonts w:ascii="Arial" w:eastAsia="Arial" w:hAnsi="Arial" w:cs="Times New Roman"/>
          <w:color w:val="000000"/>
          <w:kern w:val="0"/>
          <w:sz w:val="22"/>
          <w:szCs w:val="22"/>
          <w14:ligatures w14:val="none"/>
        </w:rPr>
        <w:t>These priority areas formed the basis of the program’s key objectives, which included:</w:t>
      </w:r>
    </w:p>
    <w:p w14:paraId="46ADD09A" w14:textId="77777777" w:rsidR="006D04D5" w:rsidRPr="006D04D5" w:rsidRDefault="006D04D5" w:rsidP="006D04D5">
      <w:pPr>
        <w:numPr>
          <w:ilvl w:val="0"/>
          <w:numId w:val="55"/>
        </w:numPr>
        <w:snapToGrid/>
        <w:spacing w:before="60" w:after="60" w:line="240" w:lineRule="auto"/>
        <w:ind w:left="714" w:hanging="357"/>
        <w:contextualSpacing/>
        <w:jc w:val="left"/>
        <w:rPr>
          <w:rFonts w:ascii="Arial" w:eastAsia="Times New Roman" w:hAnsi="Arial" w:cs="Times New Roman"/>
          <w:kern w:val="0"/>
          <w:sz w:val="22"/>
          <w:szCs w:val="22"/>
          <w:lang w:val="en-GB"/>
          <w14:ligatures w14:val="none"/>
        </w:rPr>
      </w:pPr>
      <w:r w:rsidRPr="006D04D5">
        <w:rPr>
          <w:rFonts w:ascii="Arial" w:eastAsia="Times New Roman" w:hAnsi="Arial" w:cs="Times New Roman"/>
          <w:kern w:val="0"/>
          <w:sz w:val="22"/>
          <w:szCs w:val="22"/>
          <w:lang w:val="en-GB"/>
          <w14:ligatures w14:val="none"/>
        </w:rPr>
        <w:t xml:space="preserve">Improving the recognition of sepsis in all healthcare settings </w:t>
      </w:r>
    </w:p>
    <w:p w14:paraId="15287BB0" w14:textId="77777777" w:rsidR="006D04D5" w:rsidRPr="006D04D5" w:rsidRDefault="006D04D5" w:rsidP="006D04D5">
      <w:pPr>
        <w:numPr>
          <w:ilvl w:val="0"/>
          <w:numId w:val="55"/>
        </w:numPr>
        <w:snapToGrid/>
        <w:spacing w:before="60" w:after="60" w:line="240" w:lineRule="auto"/>
        <w:ind w:left="714" w:hanging="357"/>
        <w:contextualSpacing/>
        <w:jc w:val="left"/>
        <w:rPr>
          <w:rFonts w:ascii="Arial" w:eastAsia="Times New Roman" w:hAnsi="Arial" w:cs="Times New Roman"/>
          <w:kern w:val="0"/>
          <w:sz w:val="22"/>
          <w:szCs w:val="22"/>
          <w:lang w:val="en-GB"/>
          <w14:ligatures w14:val="none"/>
        </w:rPr>
      </w:pPr>
      <w:r w:rsidRPr="006D04D5">
        <w:rPr>
          <w:rFonts w:ascii="Arial" w:eastAsia="Times New Roman" w:hAnsi="Arial" w:cs="Times New Roman"/>
          <w:kern w:val="0"/>
          <w:sz w:val="22"/>
          <w:szCs w:val="22"/>
          <w:lang w:val="en-GB"/>
          <w14:ligatures w14:val="none"/>
        </w:rPr>
        <w:t>Providing healthcare professionals with nationally agreed sepsis clinical guidance materials</w:t>
      </w:r>
    </w:p>
    <w:p w14:paraId="4D1DDD50" w14:textId="77777777" w:rsidR="006D04D5" w:rsidRPr="006D04D5" w:rsidRDefault="006D04D5" w:rsidP="006D04D5">
      <w:pPr>
        <w:numPr>
          <w:ilvl w:val="0"/>
          <w:numId w:val="55"/>
        </w:numPr>
        <w:snapToGrid/>
        <w:spacing w:before="60" w:after="60" w:line="240" w:lineRule="auto"/>
        <w:ind w:left="714" w:hanging="357"/>
        <w:contextualSpacing/>
        <w:jc w:val="left"/>
        <w:rPr>
          <w:rFonts w:ascii="Arial" w:eastAsia="Times New Roman" w:hAnsi="Arial" w:cs="Times New Roman"/>
          <w:kern w:val="0"/>
          <w:sz w:val="22"/>
          <w:szCs w:val="22"/>
          <w:lang w:val="en-GB"/>
          <w14:ligatures w14:val="none"/>
        </w:rPr>
      </w:pPr>
      <w:r w:rsidRPr="006D04D5">
        <w:rPr>
          <w:rFonts w:ascii="Arial" w:eastAsia="Times New Roman" w:hAnsi="Arial" w:cs="Times New Roman"/>
          <w:kern w:val="0"/>
          <w:sz w:val="22"/>
          <w:szCs w:val="22"/>
          <w:lang w:val="en-GB"/>
          <w14:ligatures w14:val="none"/>
        </w:rPr>
        <w:t>Strengthening the comprehensive care planning process for sepsis survivors.</w:t>
      </w:r>
    </w:p>
    <w:p w14:paraId="0DC01FC1" w14:textId="77777777" w:rsidR="006D04D5" w:rsidRPr="006D04D5" w:rsidRDefault="006D04D5" w:rsidP="006D04D5">
      <w:pPr>
        <w:snapToGrid/>
        <w:spacing w:before="200" w:line="260" w:lineRule="atLeast"/>
        <w:jc w:val="left"/>
        <w:rPr>
          <w:rFonts w:ascii="Arial" w:eastAsia="Arial" w:hAnsi="Arial" w:cs="Times New Roman"/>
          <w:color w:val="000000"/>
          <w:kern w:val="0"/>
          <w:sz w:val="22"/>
          <w:szCs w:val="22"/>
          <w14:ligatures w14:val="none"/>
        </w:rPr>
      </w:pPr>
      <w:r w:rsidRPr="006D04D5">
        <w:rPr>
          <w:rFonts w:ascii="Arial" w:eastAsia="Arial" w:hAnsi="Arial" w:cs="Times New Roman"/>
          <w:color w:val="000000"/>
          <w:kern w:val="0"/>
          <w:sz w:val="22"/>
          <w:szCs w:val="22"/>
          <w14:ligatures w14:val="none"/>
        </w:rPr>
        <w:t xml:space="preserve">The Commission, in partnership with TGI delivered eight discrete projects including in 2022 the launch of the first National Sepsis Clinical Care Standard. </w:t>
      </w:r>
    </w:p>
    <w:p w14:paraId="1E8EF2DA" w14:textId="77777777" w:rsidR="006D04D5" w:rsidRPr="006D04D5" w:rsidRDefault="006D04D5" w:rsidP="006D04D5">
      <w:pPr>
        <w:snapToGrid/>
        <w:spacing w:line="260" w:lineRule="atLeast"/>
        <w:jc w:val="left"/>
        <w:rPr>
          <w:rFonts w:ascii="Arial" w:eastAsia="Arial" w:hAnsi="Arial" w:cs="Times New Roman"/>
          <w:color w:val="000000"/>
          <w:kern w:val="0"/>
          <w:sz w:val="22"/>
          <w:szCs w:val="22"/>
          <w14:ligatures w14:val="none"/>
        </w:rPr>
      </w:pPr>
      <w:r w:rsidRPr="006D04D5">
        <w:rPr>
          <w:rFonts w:ascii="Arial" w:eastAsia="Arial" w:hAnsi="Arial" w:cs="Times New Roman"/>
          <w:color w:val="000000"/>
          <w:kern w:val="0"/>
          <w:sz w:val="22"/>
          <w:szCs w:val="22"/>
          <w14:ligatures w14:val="none"/>
        </w:rPr>
        <w:t xml:space="preserve">The 2022-23 Budget provided a further $2.1 million to continue a focus on improving sepsis recognition and response. The Department engaged the Commission in partnership with TGI to deliver the National Sepsis Program Extension between 2023 and 2025. </w:t>
      </w:r>
    </w:p>
    <w:p w14:paraId="6D075076" w14:textId="77777777" w:rsidR="006D04D5" w:rsidRPr="006D04D5" w:rsidRDefault="006D04D5" w:rsidP="006D04D5">
      <w:pPr>
        <w:snapToGrid/>
        <w:spacing w:line="260" w:lineRule="atLeast"/>
        <w:jc w:val="left"/>
        <w:rPr>
          <w:rFonts w:ascii="Arial" w:eastAsia="Arial" w:hAnsi="Arial" w:cs="Times New Roman"/>
          <w:color w:val="000000"/>
          <w:kern w:val="0"/>
          <w:sz w:val="22"/>
          <w:szCs w:val="22"/>
          <w14:ligatures w14:val="none"/>
        </w:rPr>
      </w:pPr>
      <w:r w:rsidRPr="006D04D5">
        <w:rPr>
          <w:rFonts w:ascii="Arial" w:eastAsia="Arial" w:hAnsi="Arial" w:cs="Times New Roman"/>
          <w:color w:val="000000"/>
          <w:kern w:val="0"/>
          <w:sz w:val="22"/>
          <w:szCs w:val="22"/>
          <w14:ligatures w14:val="none"/>
        </w:rPr>
        <w:t xml:space="preserve">The Program Extension is made up of five additional projects: </w:t>
      </w:r>
    </w:p>
    <w:p w14:paraId="4CA6B2B5" w14:textId="77777777" w:rsidR="006D04D5" w:rsidRPr="006D04D5" w:rsidRDefault="006D04D5" w:rsidP="006D04D5">
      <w:pPr>
        <w:numPr>
          <w:ilvl w:val="0"/>
          <w:numId w:val="56"/>
        </w:numPr>
        <w:snapToGrid/>
        <w:spacing w:before="0" w:after="0" w:line="240" w:lineRule="auto"/>
        <w:contextualSpacing/>
        <w:jc w:val="left"/>
        <w:rPr>
          <w:rFonts w:ascii="Arial" w:eastAsia="Times New Roman" w:hAnsi="Arial" w:cs="Times New Roman"/>
          <w:kern w:val="0"/>
          <w:sz w:val="22"/>
          <w:szCs w:val="24"/>
          <w:lang w:val="en-GB" w:eastAsia="en-AU"/>
          <w14:ligatures w14:val="none"/>
        </w:rPr>
      </w:pPr>
      <w:r w:rsidRPr="006D04D5">
        <w:rPr>
          <w:rFonts w:ascii="Arial" w:eastAsia="Times New Roman" w:hAnsi="Arial" w:cs="Times New Roman"/>
          <w:kern w:val="0"/>
          <w:sz w:val="22"/>
          <w:szCs w:val="24"/>
          <w:lang w:eastAsia="en-AU"/>
          <w14:ligatures w14:val="none"/>
        </w:rPr>
        <w:t>Targeted national public awareness campaign</w:t>
      </w:r>
    </w:p>
    <w:p w14:paraId="32229CB3" w14:textId="77777777" w:rsidR="006D04D5" w:rsidRPr="006D04D5" w:rsidRDefault="006D04D5" w:rsidP="006D04D5">
      <w:pPr>
        <w:numPr>
          <w:ilvl w:val="0"/>
          <w:numId w:val="56"/>
        </w:numPr>
        <w:snapToGrid/>
        <w:spacing w:before="0" w:after="0" w:line="240" w:lineRule="auto"/>
        <w:contextualSpacing/>
        <w:jc w:val="left"/>
        <w:rPr>
          <w:rFonts w:ascii="Arial" w:eastAsia="Times New Roman" w:hAnsi="Arial" w:cs="Times New Roman"/>
          <w:kern w:val="0"/>
          <w:sz w:val="22"/>
          <w:szCs w:val="24"/>
          <w:lang w:val="en-GB" w:eastAsia="en-AU"/>
          <w14:ligatures w14:val="none"/>
        </w:rPr>
      </w:pPr>
      <w:r w:rsidRPr="006D04D5">
        <w:rPr>
          <w:rFonts w:ascii="Arial" w:eastAsia="Times New Roman" w:hAnsi="Arial" w:cs="Times New Roman"/>
          <w:kern w:val="0"/>
          <w:sz w:val="22"/>
          <w:szCs w:val="24"/>
          <w:lang w:eastAsia="en-AU"/>
          <w14:ligatures w14:val="none"/>
        </w:rPr>
        <w:t>Education and training resources for healthcare professionals</w:t>
      </w:r>
    </w:p>
    <w:p w14:paraId="74E25BC9" w14:textId="1F577713" w:rsidR="006D04D5" w:rsidRPr="006D04D5" w:rsidRDefault="006D04D5" w:rsidP="006D04D5">
      <w:pPr>
        <w:numPr>
          <w:ilvl w:val="0"/>
          <w:numId w:val="56"/>
        </w:numPr>
        <w:snapToGrid/>
        <w:spacing w:before="0" w:after="0" w:line="240" w:lineRule="auto"/>
        <w:contextualSpacing/>
        <w:jc w:val="left"/>
        <w:rPr>
          <w:rFonts w:ascii="Arial" w:eastAsia="Times New Roman" w:hAnsi="Arial" w:cs="Times New Roman"/>
          <w:kern w:val="0"/>
          <w:sz w:val="22"/>
          <w:szCs w:val="24"/>
          <w:lang w:val="en-GB" w:eastAsia="en-AU"/>
          <w14:ligatures w14:val="none"/>
        </w:rPr>
      </w:pPr>
      <w:r w:rsidRPr="006D04D5">
        <w:rPr>
          <w:rFonts w:ascii="Arial" w:eastAsia="Times New Roman" w:hAnsi="Arial" w:cs="Times New Roman"/>
          <w:kern w:val="0"/>
          <w:sz w:val="22"/>
          <w:szCs w:val="24"/>
          <w:lang w:eastAsia="en-AU"/>
          <w14:ligatures w14:val="none"/>
        </w:rPr>
        <w:t>Coordinated sepsis care and post sepsis support for survivors and families</w:t>
      </w:r>
    </w:p>
    <w:p w14:paraId="2AE82947" w14:textId="77777777" w:rsidR="006D04D5" w:rsidRPr="006D04D5" w:rsidRDefault="006D04D5" w:rsidP="006D04D5">
      <w:pPr>
        <w:numPr>
          <w:ilvl w:val="0"/>
          <w:numId w:val="56"/>
        </w:numPr>
        <w:snapToGrid/>
        <w:spacing w:before="0" w:after="0" w:line="240" w:lineRule="auto"/>
        <w:contextualSpacing/>
        <w:jc w:val="left"/>
        <w:rPr>
          <w:rFonts w:ascii="Arial" w:eastAsia="Times New Roman" w:hAnsi="Arial" w:cs="Times New Roman"/>
          <w:kern w:val="0"/>
          <w:sz w:val="22"/>
          <w:szCs w:val="24"/>
          <w:lang w:val="en-GB" w:eastAsia="en-AU"/>
          <w14:ligatures w14:val="none"/>
        </w:rPr>
      </w:pPr>
      <w:r w:rsidRPr="006D04D5">
        <w:rPr>
          <w:rFonts w:ascii="Arial" w:eastAsia="Times New Roman" w:hAnsi="Arial" w:cs="Times New Roman"/>
          <w:kern w:val="0"/>
          <w:sz w:val="22"/>
          <w:szCs w:val="24"/>
          <w:lang w:eastAsia="en-AU"/>
          <w14:ligatures w14:val="none"/>
        </w:rPr>
        <w:t>Data collection tools for quality improvement</w:t>
      </w:r>
    </w:p>
    <w:p w14:paraId="369F74FC" w14:textId="77777777" w:rsidR="006D04D5" w:rsidRDefault="006D04D5" w:rsidP="006D04D5">
      <w:pPr>
        <w:numPr>
          <w:ilvl w:val="0"/>
          <w:numId w:val="56"/>
        </w:numPr>
        <w:snapToGrid/>
        <w:spacing w:before="0" w:after="0" w:line="240" w:lineRule="auto"/>
        <w:contextualSpacing/>
        <w:jc w:val="left"/>
        <w:rPr>
          <w:rFonts w:ascii="Arial" w:eastAsia="Times New Roman" w:hAnsi="Arial" w:cs="Times New Roman"/>
          <w:kern w:val="0"/>
          <w:sz w:val="22"/>
          <w:szCs w:val="24"/>
          <w:lang w:val="en-GB" w:eastAsia="en-AU"/>
          <w14:ligatures w14:val="none"/>
        </w:rPr>
      </w:pPr>
      <w:r w:rsidRPr="006D04D5">
        <w:rPr>
          <w:rFonts w:ascii="Arial" w:eastAsia="Times New Roman" w:hAnsi="Arial" w:cs="Times New Roman"/>
          <w:kern w:val="0"/>
          <w:sz w:val="22"/>
          <w:szCs w:val="24"/>
          <w:lang w:eastAsia="en-AU"/>
          <w14:ligatures w14:val="none"/>
        </w:rPr>
        <w:t>Improving recognition of sepsis in First Nation peoples.</w:t>
      </w:r>
    </w:p>
    <w:p w14:paraId="256F5DFD" w14:textId="77777777" w:rsidR="006D04D5" w:rsidRDefault="006D04D5" w:rsidP="006D04D5">
      <w:pPr>
        <w:snapToGrid/>
        <w:spacing w:before="0" w:after="0" w:line="240" w:lineRule="auto"/>
        <w:contextualSpacing/>
        <w:jc w:val="left"/>
        <w:rPr>
          <w:rFonts w:ascii="Arial" w:eastAsia="Times New Roman" w:hAnsi="Arial" w:cs="Times New Roman"/>
          <w:kern w:val="0"/>
          <w:sz w:val="22"/>
          <w:szCs w:val="24"/>
          <w:lang w:val="en-GB" w:eastAsia="en-AU"/>
          <w14:ligatures w14:val="none"/>
        </w:rPr>
      </w:pPr>
    </w:p>
    <w:p w14:paraId="1BA37FB8" w14:textId="6E969C7D" w:rsidR="006D04D5" w:rsidRPr="006D04D5" w:rsidRDefault="006D04D5" w:rsidP="006D04D5">
      <w:pPr>
        <w:snapToGrid/>
        <w:spacing w:before="0" w:after="0" w:line="240" w:lineRule="auto"/>
        <w:contextualSpacing/>
        <w:jc w:val="left"/>
        <w:rPr>
          <w:rFonts w:ascii="Arial" w:eastAsia="Times New Roman" w:hAnsi="Arial" w:cs="Times New Roman"/>
          <w:kern w:val="0"/>
          <w:sz w:val="22"/>
          <w:szCs w:val="24"/>
          <w:lang w:val="en-GB" w:eastAsia="en-AU"/>
          <w14:ligatures w14:val="none"/>
        </w:rPr>
      </w:pPr>
      <w:r w:rsidRPr="006D04D5">
        <w:rPr>
          <w:rFonts w:ascii="Arial" w:eastAsia="Arial" w:hAnsi="Arial" w:cs="Times New Roman"/>
          <w:b/>
          <w:color w:val="000000"/>
          <w:kern w:val="0"/>
          <w:sz w:val="30"/>
          <w:szCs w:val="28"/>
          <w14:ligatures w14:val="none"/>
        </w:rPr>
        <w:t>A</w:t>
      </w:r>
      <w:r>
        <w:rPr>
          <w:rFonts w:ascii="Arial" w:eastAsia="Arial" w:hAnsi="Arial" w:cs="Times New Roman"/>
          <w:b/>
          <w:color w:val="000000"/>
          <w:kern w:val="0"/>
          <w:sz w:val="30"/>
          <w:szCs w:val="28"/>
          <w14:ligatures w14:val="none"/>
        </w:rPr>
        <w:t>im</w:t>
      </w:r>
    </w:p>
    <w:p w14:paraId="6A676738" w14:textId="281F0161" w:rsidR="006D04D5" w:rsidRDefault="006D04D5" w:rsidP="006D04D5">
      <w:pPr>
        <w:snapToGrid/>
        <w:spacing w:line="260" w:lineRule="atLeast"/>
        <w:jc w:val="left"/>
        <w:rPr>
          <w:rFonts w:ascii="Arial" w:eastAsia="Arial" w:hAnsi="Arial" w:cs="Times New Roman"/>
          <w:color w:val="000000"/>
          <w:kern w:val="0"/>
          <w:sz w:val="22"/>
          <w:szCs w:val="22"/>
          <w14:ligatures w14:val="none"/>
        </w:rPr>
      </w:pPr>
      <w:r w:rsidRPr="006D04D5">
        <w:rPr>
          <w:rFonts w:ascii="Arial" w:eastAsia="Arial" w:hAnsi="Arial" w:cs="Times New Roman"/>
          <w:color w:val="000000"/>
          <w:kern w:val="0"/>
          <w:sz w:val="22"/>
          <w:szCs w:val="22"/>
          <w14:ligatures w14:val="none"/>
        </w:rPr>
        <w:t>The purpose of project</w:t>
      </w:r>
      <w:r w:rsidR="008A3F7D">
        <w:rPr>
          <w:rFonts w:ascii="Arial" w:eastAsia="Arial" w:hAnsi="Arial" w:cs="Times New Roman"/>
          <w:color w:val="000000"/>
          <w:kern w:val="0"/>
          <w:sz w:val="22"/>
          <w:szCs w:val="22"/>
          <w14:ligatures w14:val="none"/>
        </w:rPr>
        <w:t xml:space="preserve"> four</w:t>
      </w:r>
      <w:r w:rsidRPr="006D04D5">
        <w:rPr>
          <w:rFonts w:ascii="Arial" w:eastAsia="Arial" w:hAnsi="Arial" w:cs="Times New Roman"/>
          <w:color w:val="000000"/>
          <w:kern w:val="0"/>
          <w:sz w:val="22"/>
          <w:szCs w:val="22"/>
          <w14:ligatures w14:val="none"/>
        </w:rPr>
        <w:t xml:space="preserve"> is to improve the quality and quantity of sepsis data to better understand the true burden of sepsis and to inform strategies aimed at improving early detection, treatment, and outcomes. </w:t>
      </w:r>
    </w:p>
    <w:p w14:paraId="0E1C3649" w14:textId="77777777" w:rsidR="00437F5F" w:rsidRDefault="00B354B3" w:rsidP="006D04D5">
      <w:pPr>
        <w:snapToGrid/>
        <w:spacing w:line="260" w:lineRule="atLeast"/>
        <w:jc w:val="left"/>
        <w:rPr>
          <w:rFonts w:ascii="Arial" w:eastAsia="Arial" w:hAnsi="Arial" w:cs="Times New Roman"/>
          <w:color w:val="000000"/>
          <w:kern w:val="0"/>
          <w:sz w:val="22"/>
          <w:szCs w:val="22"/>
          <w14:ligatures w14:val="none"/>
        </w:rPr>
      </w:pPr>
      <w:r>
        <w:rPr>
          <w:rFonts w:ascii="Arial" w:eastAsia="Arial" w:hAnsi="Arial" w:cs="Times New Roman"/>
          <w:color w:val="000000"/>
          <w:kern w:val="0"/>
          <w:sz w:val="22"/>
          <w:szCs w:val="22"/>
          <w14:ligatures w14:val="none"/>
        </w:rPr>
        <w:t xml:space="preserve">The Commission contracted Callida Consulting to conduct a strategic analysis of national sepsis data and propose strategies to improve the availability and validity of national sepsis data. </w:t>
      </w:r>
    </w:p>
    <w:p w14:paraId="26443CC8" w14:textId="21F5E625" w:rsidR="00820277" w:rsidRDefault="006D04D5" w:rsidP="006D04D5">
      <w:pPr>
        <w:snapToGrid/>
        <w:spacing w:line="260" w:lineRule="atLeast"/>
        <w:jc w:val="left"/>
        <w:rPr>
          <w:rFonts w:ascii="Arial" w:eastAsia="Arial" w:hAnsi="Arial" w:cs="Times New Roman"/>
          <w:color w:val="000000"/>
          <w:kern w:val="0"/>
          <w:sz w:val="22"/>
          <w:szCs w:val="22"/>
          <w14:ligatures w14:val="none"/>
        </w:rPr>
      </w:pPr>
      <w:r w:rsidRPr="00820277">
        <w:rPr>
          <w:rFonts w:ascii="Arial" w:eastAsia="Arial" w:hAnsi="Arial" w:cs="Times New Roman"/>
          <w:color w:val="000000"/>
          <w:kern w:val="0"/>
          <w:sz w:val="22"/>
          <w:szCs w:val="22"/>
          <w14:ligatures w14:val="none"/>
        </w:rPr>
        <w:t>Th</w:t>
      </w:r>
      <w:r w:rsidR="008A3F7D" w:rsidRPr="00820277">
        <w:rPr>
          <w:rFonts w:ascii="Arial" w:eastAsia="Arial" w:hAnsi="Arial" w:cs="Times New Roman"/>
          <w:color w:val="000000"/>
          <w:kern w:val="0"/>
          <w:sz w:val="22"/>
          <w:szCs w:val="22"/>
          <w14:ligatures w14:val="none"/>
        </w:rPr>
        <w:t>is</w:t>
      </w:r>
      <w:r w:rsidRPr="00820277">
        <w:rPr>
          <w:rFonts w:ascii="Arial" w:eastAsia="Arial" w:hAnsi="Arial" w:cs="Times New Roman"/>
          <w:color w:val="000000"/>
          <w:kern w:val="0"/>
          <w:sz w:val="22"/>
          <w:szCs w:val="22"/>
          <w14:ligatures w14:val="none"/>
        </w:rPr>
        <w:t xml:space="preserve"> report envisions the future state of sepsis data in Australia and sets out a five</w:t>
      </w:r>
      <w:r w:rsidR="004D3F0D">
        <w:rPr>
          <w:rFonts w:ascii="Arial" w:eastAsia="Arial" w:hAnsi="Arial" w:cs="Times New Roman"/>
          <w:color w:val="000000"/>
          <w:kern w:val="0"/>
          <w:sz w:val="22"/>
          <w:szCs w:val="22"/>
          <w14:ligatures w14:val="none"/>
        </w:rPr>
        <w:t>-</w:t>
      </w:r>
      <w:r w:rsidRPr="00820277">
        <w:rPr>
          <w:rFonts w:ascii="Arial" w:eastAsia="Arial" w:hAnsi="Arial" w:cs="Times New Roman"/>
          <w:color w:val="000000"/>
          <w:kern w:val="0"/>
          <w:sz w:val="22"/>
          <w:szCs w:val="22"/>
          <w14:ligatures w14:val="none"/>
        </w:rPr>
        <w:t>year plan to realise that visio</w:t>
      </w:r>
      <w:r w:rsidR="00437F5F" w:rsidRPr="00820277">
        <w:rPr>
          <w:rFonts w:ascii="Arial" w:eastAsia="Arial" w:hAnsi="Arial" w:cs="Times New Roman"/>
          <w:color w:val="000000"/>
          <w:kern w:val="0"/>
          <w:sz w:val="22"/>
          <w:szCs w:val="22"/>
          <w14:ligatures w14:val="none"/>
        </w:rPr>
        <w:t xml:space="preserve">n. </w:t>
      </w:r>
      <w:r w:rsidR="00820277">
        <w:rPr>
          <w:rFonts w:ascii="Arial" w:eastAsia="Arial" w:hAnsi="Arial" w:cs="Times New Roman"/>
          <w:color w:val="000000"/>
          <w:kern w:val="0"/>
          <w:sz w:val="22"/>
          <w:szCs w:val="22"/>
          <w14:ligatures w14:val="none"/>
        </w:rPr>
        <w:t>It describes several</w:t>
      </w:r>
      <w:r w:rsidR="00984174" w:rsidRPr="00820277">
        <w:rPr>
          <w:rFonts w:ascii="Arial" w:eastAsia="Arial" w:hAnsi="Arial" w:cs="Times New Roman"/>
          <w:color w:val="000000"/>
          <w:kern w:val="0"/>
          <w:sz w:val="22"/>
          <w:szCs w:val="22"/>
          <w14:ligatures w14:val="none"/>
        </w:rPr>
        <w:t xml:space="preserve"> </w:t>
      </w:r>
      <w:r w:rsidR="00437F5F" w:rsidRPr="00820277">
        <w:rPr>
          <w:rFonts w:ascii="Arial" w:eastAsia="Arial" w:hAnsi="Arial" w:cs="Times New Roman"/>
          <w:color w:val="000000"/>
          <w:kern w:val="0"/>
          <w:sz w:val="22"/>
          <w:szCs w:val="22"/>
          <w14:ligatures w14:val="none"/>
        </w:rPr>
        <w:t>challenges and opportunities</w:t>
      </w:r>
      <w:r w:rsidR="00820277">
        <w:rPr>
          <w:rFonts w:ascii="Arial" w:eastAsia="Arial" w:hAnsi="Arial" w:cs="Times New Roman"/>
          <w:color w:val="000000"/>
          <w:kern w:val="0"/>
          <w:sz w:val="22"/>
          <w:szCs w:val="22"/>
          <w14:ligatures w14:val="none"/>
        </w:rPr>
        <w:t xml:space="preserve"> for implementation and identifies three foundational enabling factors that are critical to success: Inter-jurisdictional commitment, strategic sponsorship and investment and inclusion of lived experience.</w:t>
      </w:r>
      <w:r w:rsidR="00467457">
        <w:rPr>
          <w:rFonts w:ascii="Arial" w:eastAsia="Arial" w:hAnsi="Arial" w:cs="Times New Roman"/>
          <w:color w:val="000000"/>
          <w:kern w:val="0"/>
          <w:sz w:val="22"/>
          <w:szCs w:val="22"/>
          <w14:ligatures w14:val="none"/>
        </w:rPr>
        <w:t xml:space="preserve"> The appointment of a national integration authority to lead, coordinate and drive implementation is recommended to ensure that short, medium and long-term goals to build a national sepsis data plan are achieved</w:t>
      </w:r>
      <w:r w:rsidR="00D050A9">
        <w:rPr>
          <w:rFonts w:ascii="Arial" w:eastAsia="Arial" w:hAnsi="Arial" w:cs="Times New Roman"/>
          <w:color w:val="000000"/>
          <w:kern w:val="0"/>
          <w:sz w:val="22"/>
          <w:szCs w:val="22"/>
          <w14:ligatures w14:val="none"/>
        </w:rPr>
        <w:t xml:space="preserve">. </w:t>
      </w:r>
    </w:p>
    <w:p w14:paraId="01A2C361" w14:textId="77777777" w:rsidR="00820277" w:rsidRDefault="00820277" w:rsidP="006D04D5">
      <w:pPr>
        <w:snapToGrid/>
        <w:spacing w:line="260" w:lineRule="atLeast"/>
        <w:jc w:val="left"/>
        <w:rPr>
          <w:rFonts w:ascii="Arial" w:eastAsia="Arial" w:hAnsi="Arial" w:cs="Times New Roman"/>
          <w:color w:val="000000"/>
          <w:kern w:val="0"/>
          <w:sz w:val="22"/>
          <w:szCs w:val="22"/>
          <w14:ligatures w14:val="none"/>
        </w:rPr>
      </w:pPr>
    </w:p>
    <w:p w14:paraId="1BEFC416" w14:textId="34A0EAFB" w:rsidR="006D04D5" w:rsidRPr="006D04D5" w:rsidRDefault="00437F5F" w:rsidP="006D04D5">
      <w:pPr>
        <w:snapToGrid/>
        <w:spacing w:line="260" w:lineRule="atLeast"/>
        <w:jc w:val="left"/>
        <w:rPr>
          <w:rFonts w:ascii="Arial" w:eastAsia="Arial" w:hAnsi="Arial" w:cs="Times New Roman"/>
          <w:color w:val="000000"/>
          <w:kern w:val="0"/>
          <w:sz w:val="22"/>
          <w:szCs w:val="22"/>
          <w14:ligatures w14:val="none"/>
        </w:rPr>
        <w:sectPr w:rsidR="006D04D5" w:rsidRPr="006D04D5" w:rsidSect="00204D0A">
          <w:headerReference w:type="even" r:id="rId20"/>
          <w:headerReference w:type="default" r:id="rId21"/>
          <w:footerReference w:type="even" r:id="rId22"/>
          <w:footerReference w:type="default" r:id="rId23"/>
          <w:headerReference w:type="first" r:id="rId24"/>
          <w:footerReference w:type="first" r:id="rId25"/>
          <w:pgSz w:w="11906" w:h="16838" w:code="9"/>
          <w:pgMar w:top="1560" w:right="1361" w:bottom="1361" w:left="1361" w:header="567" w:footer="567" w:gutter="0"/>
          <w:cols w:space="708"/>
          <w:docGrid w:linePitch="360"/>
        </w:sectPr>
      </w:pPr>
      <w:r>
        <w:rPr>
          <w:rFonts w:ascii="Arial" w:eastAsia="Arial" w:hAnsi="Arial" w:cs="Times New Roman"/>
          <w:color w:val="000000"/>
          <w:kern w:val="0"/>
          <w:sz w:val="22"/>
          <w:szCs w:val="22"/>
          <w14:ligatures w14:val="none"/>
        </w:rPr>
        <w:t xml:space="preserve">  </w:t>
      </w:r>
    </w:p>
    <w:bookmarkEnd w:id="1" w:displacedByCustomXml="next"/>
    <w:sdt>
      <w:sdtPr>
        <w:rPr>
          <w:rFonts w:asciiTheme="majorHAnsi" w:eastAsiaTheme="majorEastAsia" w:hAnsiTheme="majorHAnsi" w:cstheme="majorBidi"/>
          <w:color w:val="555555" w:themeColor="text2"/>
          <w:spacing w:val="-10"/>
          <w:kern w:val="28"/>
          <w:sz w:val="96"/>
          <w:szCs w:val="96"/>
        </w:rPr>
        <w:id w:val="-76978383"/>
        <w:docPartObj>
          <w:docPartGallery w:val="Cover Pages"/>
          <w:docPartUnique/>
        </w:docPartObj>
      </w:sdtPr>
      <w:sdtContent>
        <w:p w14:paraId="744CF830" w14:textId="71F3E99C" w:rsidR="00610834" w:rsidRDefault="00610834" w:rsidP="00610834">
          <w:r>
            <w:rPr>
              <w:noProof/>
            </w:rPr>
            <w:drawing>
              <wp:anchor distT="0" distB="0" distL="114300" distR="114300" simplePos="0" relativeHeight="251660297" behindDoc="1" locked="0" layoutInCell="1" allowOverlap="1" wp14:anchorId="10AE9A3B" wp14:editId="155F721F">
                <wp:simplePos x="0" y="0"/>
                <wp:positionH relativeFrom="column">
                  <wp:posOffset>-927686</wp:posOffset>
                </wp:positionH>
                <wp:positionV relativeFrom="paragraph">
                  <wp:posOffset>-1242060</wp:posOffset>
                </wp:positionV>
                <wp:extent cx="7557707" cy="4819650"/>
                <wp:effectExtent l="0" t="0" r="5715" b="0"/>
                <wp:wrapNone/>
                <wp:docPr id="845744256" name="Picture 2" descr="A yellow and black background with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91834" name="Picture 2" descr="A yellow and black background with a su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7707" cy="4819650"/>
                        </a:xfrm>
                        <a:prstGeom prst="rect">
                          <a:avLst/>
                        </a:prstGeom>
                      </pic:spPr>
                    </pic:pic>
                  </a:graphicData>
                </a:graphic>
                <wp14:sizeRelH relativeFrom="page">
                  <wp14:pctWidth>0</wp14:pctWidth>
                </wp14:sizeRelH>
                <wp14:sizeRelV relativeFrom="page">
                  <wp14:pctHeight>0</wp14:pctHeight>
                </wp14:sizeRelV>
              </wp:anchor>
            </w:drawing>
          </w:r>
        </w:p>
        <w:p w14:paraId="47DA3FD3" w14:textId="77777777" w:rsidR="00610834" w:rsidRPr="00637DF2" w:rsidRDefault="00610834" w:rsidP="00610834"/>
        <w:p w14:paraId="1ACF5B32" w14:textId="77777777" w:rsidR="00610834" w:rsidRPr="00637DF2" w:rsidRDefault="00610834" w:rsidP="00610834"/>
        <w:p w14:paraId="1FEA42F7" w14:textId="77777777" w:rsidR="00610834" w:rsidRPr="00637DF2" w:rsidRDefault="00610834" w:rsidP="00610834"/>
        <w:p w14:paraId="7917C13D" w14:textId="77777777" w:rsidR="00610834" w:rsidRPr="00637DF2" w:rsidRDefault="00610834" w:rsidP="00610834"/>
        <w:p w14:paraId="1F5D3441" w14:textId="77777777" w:rsidR="00610834" w:rsidRPr="00637DF2" w:rsidRDefault="00610834" w:rsidP="00610834"/>
        <w:p w14:paraId="55AA5517" w14:textId="77777777" w:rsidR="00610834" w:rsidRPr="00637DF2" w:rsidRDefault="00610834" w:rsidP="00610834"/>
        <w:p w14:paraId="028F2508" w14:textId="77777777" w:rsidR="00610834" w:rsidRPr="00637DF2" w:rsidRDefault="00610834" w:rsidP="00610834"/>
        <w:p w14:paraId="488C56EF" w14:textId="77777777" w:rsidR="00610834" w:rsidRPr="00637DF2" w:rsidRDefault="00610834" w:rsidP="00610834"/>
        <w:p w14:paraId="4AEFDD0D" w14:textId="77777777" w:rsidR="00610834" w:rsidRPr="00637DF2" w:rsidRDefault="00610834" w:rsidP="00610834"/>
        <w:p w14:paraId="6F001E7A" w14:textId="77777777" w:rsidR="00610834" w:rsidRPr="00637DF2" w:rsidRDefault="00610834" w:rsidP="00610834"/>
        <w:p w14:paraId="729E1798" w14:textId="77777777" w:rsidR="00610834" w:rsidRPr="00637DF2" w:rsidRDefault="00610834" w:rsidP="00610834"/>
        <w:p w14:paraId="35FC0400" w14:textId="77777777" w:rsidR="00610834" w:rsidRPr="00637DF2" w:rsidRDefault="00610834" w:rsidP="00610834"/>
        <w:p w14:paraId="20324F7D" w14:textId="77777777" w:rsidR="00610834" w:rsidRPr="00637DF2" w:rsidRDefault="00610834" w:rsidP="00610834"/>
        <w:p w14:paraId="45203FEF" w14:textId="77777777" w:rsidR="00610834" w:rsidRDefault="00610834" w:rsidP="00610834"/>
        <w:p w14:paraId="48BC9D43" w14:textId="77777777" w:rsidR="00610834" w:rsidRDefault="00610834" w:rsidP="00610834">
          <w:pPr>
            <w:pStyle w:val="OrganisationSectionBranch"/>
          </w:pPr>
        </w:p>
        <w:p w14:paraId="5503B474" w14:textId="77777777" w:rsidR="00610834" w:rsidRPr="00BA406E" w:rsidRDefault="00610834" w:rsidP="00610834">
          <w:pPr>
            <w:pStyle w:val="OrganisationSectionBranch"/>
            <w:rPr>
              <w:rFonts w:ascii="Arial" w:hAnsi="Arial" w:cs="Arial"/>
            </w:rPr>
          </w:pPr>
          <w:r w:rsidRPr="00BA406E">
            <w:rPr>
              <w:rFonts w:ascii="Arial" w:hAnsi="Arial" w:cs="Arial"/>
            </w:rPr>
            <w:t>Australian Commission on Safety and Quality in Health Care</w:t>
          </w:r>
        </w:p>
        <w:p w14:paraId="0A2EA1DB" w14:textId="77777777" w:rsidR="00610834" w:rsidRPr="00BA406E" w:rsidRDefault="00610834" w:rsidP="00610834">
          <w:pPr>
            <w:pStyle w:val="DocumentTitle"/>
            <w:rPr>
              <w:rFonts w:ascii="Arial" w:hAnsi="Arial" w:cs="Arial"/>
              <w:sz w:val="60"/>
              <w:szCs w:val="60"/>
            </w:rPr>
          </w:pPr>
          <w:r w:rsidRPr="00BA406E">
            <w:rPr>
              <w:rFonts w:ascii="Arial" w:hAnsi="Arial" w:cs="Arial"/>
              <w:sz w:val="60"/>
              <w:szCs w:val="60"/>
            </w:rPr>
            <w:t>National Sepsis Program Extension 2023-2025</w:t>
          </w:r>
        </w:p>
        <w:p w14:paraId="3A040E9F" w14:textId="77777777" w:rsidR="00610834" w:rsidRDefault="00610834" w:rsidP="00610834">
          <w:pPr>
            <w:pStyle w:val="DocumentTitle"/>
            <w:rPr>
              <w:sz w:val="40"/>
              <w:szCs w:val="40"/>
            </w:rPr>
          </w:pPr>
        </w:p>
        <w:p w14:paraId="48B1CF37" w14:textId="77777777" w:rsidR="00610834" w:rsidRDefault="00610834" w:rsidP="00610834">
          <w:pPr>
            <w:pStyle w:val="DocumentTitle"/>
            <w:rPr>
              <w:sz w:val="40"/>
              <w:szCs w:val="40"/>
            </w:rPr>
          </w:pPr>
        </w:p>
        <w:p w14:paraId="68674892" w14:textId="77777777" w:rsidR="00610834" w:rsidRPr="00BA406E" w:rsidRDefault="00610834" w:rsidP="00610834">
          <w:pPr>
            <w:pStyle w:val="DocumentTitle"/>
            <w:rPr>
              <w:rFonts w:ascii="Arial" w:hAnsi="Arial" w:cs="Arial"/>
              <w:sz w:val="40"/>
              <w:szCs w:val="40"/>
            </w:rPr>
          </w:pPr>
          <w:r w:rsidRPr="00BA406E">
            <w:rPr>
              <w:rFonts w:ascii="Arial" w:hAnsi="Arial" w:cs="Arial"/>
              <w:sz w:val="40"/>
              <w:szCs w:val="40"/>
            </w:rPr>
            <w:t>A National Sepsis Data Plan – Strategic Analysis Report</w:t>
          </w:r>
        </w:p>
        <w:p w14:paraId="5D57EFD7" w14:textId="77777777" w:rsidR="00610834" w:rsidRDefault="00610834" w:rsidP="00610834">
          <w:pPr>
            <w:pStyle w:val="DocumentTitle"/>
            <w:rPr>
              <w:rFonts w:asciiTheme="minorHAnsi" w:hAnsiTheme="minorHAnsi" w:cstheme="minorHAnsi"/>
              <w:sz w:val="20"/>
              <w:szCs w:val="20"/>
            </w:rPr>
          </w:pPr>
        </w:p>
        <w:p w14:paraId="1198ED0A" w14:textId="239C10FF" w:rsidR="00610834" w:rsidRPr="008A0816" w:rsidRDefault="00610834" w:rsidP="00610834">
          <w:pPr>
            <w:pStyle w:val="DocumentTitle"/>
            <w:rPr>
              <w:rFonts w:asciiTheme="minorHAnsi" w:hAnsiTheme="minorHAnsi" w:cstheme="minorHAnsi"/>
              <w:sz w:val="20"/>
              <w:szCs w:val="20"/>
            </w:rPr>
          </w:pPr>
          <w:r>
            <w:rPr>
              <w:rFonts w:asciiTheme="minorHAnsi" w:hAnsiTheme="minorHAnsi" w:cstheme="minorHAnsi"/>
              <w:sz w:val="20"/>
              <w:szCs w:val="20"/>
            </w:rPr>
            <w:t>25</w:t>
          </w:r>
          <w:r w:rsidRPr="008A0816">
            <w:rPr>
              <w:rFonts w:asciiTheme="minorHAnsi" w:hAnsiTheme="minorHAnsi" w:cstheme="minorHAnsi"/>
              <w:sz w:val="20"/>
              <w:szCs w:val="20"/>
            </w:rPr>
            <w:t xml:space="preserve"> July 2025</w:t>
          </w:r>
        </w:p>
        <w:p w14:paraId="1829A513" w14:textId="2A1AC554" w:rsidR="00610834" w:rsidRPr="00610834" w:rsidRDefault="00610834" w:rsidP="00610834">
          <w:pPr>
            <w:pStyle w:val="DocumentTitle"/>
            <w:rPr>
              <w:sz w:val="40"/>
              <w:szCs w:val="40"/>
            </w:rPr>
          </w:pPr>
          <w:r>
            <w:rPr>
              <w:noProof/>
            </w:rPr>
            <w:drawing>
              <wp:anchor distT="0" distB="0" distL="114300" distR="114300" simplePos="0" relativeHeight="251661321" behindDoc="1" locked="0" layoutInCell="1" allowOverlap="1" wp14:anchorId="09A9DAF1" wp14:editId="0C8004C4">
                <wp:simplePos x="0" y="0"/>
                <wp:positionH relativeFrom="column">
                  <wp:posOffset>-93980</wp:posOffset>
                </wp:positionH>
                <wp:positionV relativeFrom="paragraph">
                  <wp:posOffset>458072</wp:posOffset>
                </wp:positionV>
                <wp:extent cx="1786890" cy="893445"/>
                <wp:effectExtent l="0" t="0" r="0" b="0"/>
                <wp:wrapNone/>
                <wp:docPr id="1792476415"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17552" name="Picture 3" descr="A black background with white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6890" cy="893445"/>
                        </a:xfrm>
                        <a:prstGeom prst="rect">
                          <a:avLst/>
                        </a:prstGeom>
                      </pic:spPr>
                    </pic:pic>
                  </a:graphicData>
                </a:graphic>
                <wp14:sizeRelH relativeFrom="page">
                  <wp14:pctWidth>0</wp14:pctWidth>
                </wp14:sizeRelH>
                <wp14:sizeRelV relativeFrom="page">
                  <wp14:pctHeight>0</wp14:pctHeight>
                </wp14:sizeRelV>
              </wp:anchor>
            </w:drawing>
          </w:r>
        </w:p>
      </w:sdtContent>
    </w:sdt>
    <w:p w14:paraId="5B64EC69" w14:textId="645C0C6A" w:rsidR="00F7610E" w:rsidRPr="00BA406E" w:rsidRDefault="00610834" w:rsidP="00610834">
      <w:pPr>
        <w:pStyle w:val="Title"/>
        <w:rPr>
          <w:rFonts w:asciiTheme="minorHAnsi" w:hAnsiTheme="minorHAnsi" w:cstheme="minorHAnsi"/>
        </w:rPr>
      </w:pPr>
      <w:r>
        <w:br w:type="page"/>
      </w:r>
      <w:r w:rsidR="002378DB" w:rsidRPr="00BA406E">
        <w:rPr>
          <w:rFonts w:asciiTheme="minorHAnsi" w:hAnsiTheme="minorHAnsi" w:cstheme="minorHAnsi"/>
        </w:rPr>
        <w:lastRenderedPageBreak/>
        <w:t>Executive Summary</w:t>
      </w:r>
    </w:p>
    <w:bookmarkEnd w:id="0"/>
    <w:p w14:paraId="7D85C00B" w14:textId="210FB872" w:rsidR="006B053A" w:rsidRDefault="0046650E" w:rsidP="009532F4">
      <w:r>
        <w:t>In 2022</w:t>
      </w:r>
      <w:r w:rsidR="00AE4266">
        <w:t>-23</w:t>
      </w:r>
      <w:r w:rsidR="006A3B72">
        <w:t xml:space="preserve">, </w:t>
      </w:r>
      <w:r w:rsidR="00AE4266">
        <w:t xml:space="preserve">there were </w:t>
      </w:r>
      <w:r w:rsidR="006A3B72">
        <w:t xml:space="preserve">over </w:t>
      </w:r>
      <w:r w:rsidR="00AE4266">
        <w:t>84</w:t>
      </w:r>
      <w:r w:rsidR="006A3B72">
        <w:t xml:space="preserve">,000 </w:t>
      </w:r>
      <w:r w:rsidR="00AE4266">
        <w:t>hospitalisations for</w:t>
      </w:r>
      <w:r w:rsidR="009F3FF0">
        <w:t xml:space="preserve"> </w:t>
      </w:r>
      <w:r w:rsidR="00731483">
        <w:t>sepsis</w:t>
      </w:r>
      <w:r w:rsidR="00C13C8B">
        <w:t xml:space="preserve">, </w:t>
      </w:r>
      <w:r w:rsidR="00C13C8B" w:rsidRPr="00C13C8B">
        <w:t>a life-threatening condition that arises when the body’s response to an infection damages its own tissues and organs</w:t>
      </w:r>
      <w:r w:rsidR="00304C50">
        <w:t xml:space="preserve">. </w:t>
      </w:r>
      <w:r w:rsidR="00511DCA">
        <w:t xml:space="preserve">Of this cohort, approximately </w:t>
      </w:r>
      <w:r w:rsidR="00D91DFC">
        <w:t>12</w:t>
      </w:r>
      <w:r w:rsidR="00511DCA">
        <w:t>,</w:t>
      </w:r>
      <w:r w:rsidR="00D91DFC">
        <w:t>6</w:t>
      </w:r>
      <w:r w:rsidR="00511DCA">
        <w:t xml:space="preserve">00 </w:t>
      </w:r>
      <w:r w:rsidR="00605AE4">
        <w:t>d</w:t>
      </w:r>
      <w:r w:rsidR="00D91DFC">
        <w:t>id</w:t>
      </w:r>
      <w:r w:rsidR="00605AE4">
        <w:t xml:space="preserve"> not survive</w:t>
      </w:r>
      <w:r w:rsidR="00F6272D">
        <w:rPr>
          <w:rStyle w:val="FootnoteReference"/>
        </w:rPr>
        <w:footnoteReference w:id="1"/>
      </w:r>
      <w:r w:rsidR="00AD180A">
        <w:t xml:space="preserve">; </w:t>
      </w:r>
      <w:r w:rsidR="00050461">
        <w:t xml:space="preserve">many of </w:t>
      </w:r>
      <w:r w:rsidR="00403A01">
        <w:t>t</w:t>
      </w:r>
      <w:r w:rsidR="00605AE4">
        <w:t xml:space="preserve">hose </w:t>
      </w:r>
      <w:r w:rsidR="002A05A8">
        <w:t>who d</w:t>
      </w:r>
      <w:r w:rsidR="00050461">
        <w:t>id</w:t>
      </w:r>
      <w:r w:rsidR="002A05A8">
        <w:t xml:space="preserve"> </w:t>
      </w:r>
      <w:r w:rsidR="00C45161">
        <w:t>experience</w:t>
      </w:r>
      <w:r w:rsidR="00EE4578">
        <w:t xml:space="preserve"> </w:t>
      </w:r>
      <w:r w:rsidR="002A05A8">
        <w:t>ongoing health complications</w:t>
      </w:r>
      <w:r w:rsidR="00A60D74">
        <w:t>,</w:t>
      </w:r>
      <w:r w:rsidR="00331A2E">
        <w:t xml:space="preserve"> including lifelong disability.</w:t>
      </w:r>
    </w:p>
    <w:p w14:paraId="45C237F7" w14:textId="1C1AB275" w:rsidR="00731483" w:rsidRDefault="003713C7" w:rsidP="009532F4">
      <w:r>
        <w:t>In Australia, s</w:t>
      </w:r>
      <w:r w:rsidR="00EE4578">
        <w:t>epsis presents not only a significant human</w:t>
      </w:r>
      <w:r w:rsidR="002B31B7">
        <w:t xml:space="preserve"> impact</w:t>
      </w:r>
      <w:r w:rsidR="00EE4578">
        <w:t xml:space="preserve">, but </w:t>
      </w:r>
      <w:r w:rsidR="00B42446">
        <w:t xml:space="preserve">a considerable financial </w:t>
      </w:r>
      <w:r w:rsidR="00E0301C">
        <w:t xml:space="preserve">burden, costing an estimated $700 million per year directly, with indirect costs exceeding $4 billion. </w:t>
      </w:r>
      <w:r w:rsidR="002B31B7">
        <w:t>Yet d</w:t>
      </w:r>
      <w:r w:rsidR="002426AF">
        <w:t>espite this, data on sepsis outcomes and initiatives</w:t>
      </w:r>
      <w:r w:rsidR="0078485C">
        <w:t xml:space="preserve"> – the</w:t>
      </w:r>
      <w:r w:rsidR="00D41F75">
        <w:t xml:space="preserve"> mechanisms to reduce this human and financial impact – </w:t>
      </w:r>
      <w:r w:rsidR="002426AF">
        <w:t xml:space="preserve">is </w:t>
      </w:r>
      <w:r w:rsidR="000B74A3">
        <w:t>limited</w:t>
      </w:r>
      <w:r w:rsidR="0051258B">
        <w:t xml:space="preserve">, and the ability to effectively </w:t>
      </w:r>
      <w:r w:rsidR="00C149B6">
        <w:t>assess interventions is impeded.</w:t>
      </w:r>
    </w:p>
    <w:p w14:paraId="6F32BEBE" w14:textId="7A0C0E4B" w:rsidR="00C149B6" w:rsidRDefault="00C149B6" w:rsidP="009532F4">
      <w:r>
        <w:t>This report considers the national state of sepsis data</w:t>
      </w:r>
      <w:r w:rsidR="000173D6">
        <w:t xml:space="preserve">. Building on </w:t>
      </w:r>
      <w:r w:rsidR="0049373C">
        <w:t xml:space="preserve">stakeholder consultation, a data gap analysis, and </w:t>
      </w:r>
      <w:r w:rsidR="00085523">
        <w:t xml:space="preserve">academic </w:t>
      </w:r>
      <w:r w:rsidR="008671FB">
        <w:t>research</w:t>
      </w:r>
      <w:r w:rsidR="00085523">
        <w:t>,</w:t>
      </w:r>
      <w:r w:rsidR="008671FB">
        <w:t xml:space="preserve"> it considers the current state of sepsis data collection across Australian healthcare settings</w:t>
      </w:r>
      <w:r w:rsidR="00354D2F">
        <w:t xml:space="preserve"> and </w:t>
      </w:r>
      <w:r w:rsidR="008671FB">
        <w:t>the observed challenges to improving sepsis data.</w:t>
      </w:r>
      <w:r w:rsidR="001F1EBB">
        <w:t xml:space="preserve"> </w:t>
      </w:r>
      <w:r w:rsidR="00070812">
        <w:t>Broadly,</w:t>
      </w:r>
      <w:r w:rsidR="001F1EBB">
        <w:t xml:space="preserve"> it finds that </w:t>
      </w:r>
      <w:r w:rsidR="00210B40" w:rsidRPr="009532F4">
        <w:t xml:space="preserve">with </w:t>
      </w:r>
      <w:r w:rsidR="00210B40">
        <w:t>few</w:t>
      </w:r>
      <w:r w:rsidR="00210B40" w:rsidRPr="009532F4">
        <w:t xml:space="preserve"> exceptions, sepsis data is subject to inconsistent collection and coding practices, restrictive sharing and siloing, and resourcing vulnerability and underfunding,</w:t>
      </w:r>
      <w:r w:rsidR="00210B40">
        <w:t xml:space="preserve"> </w:t>
      </w:r>
      <w:r w:rsidR="00210B40" w:rsidRPr="009532F4">
        <w:t>resulting in fragmented data</w:t>
      </w:r>
      <w:r w:rsidR="00506D75">
        <w:t xml:space="preserve"> collections</w:t>
      </w:r>
      <w:r w:rsidR="00210B40" w:rsidRPr="009532F4">
        <w:t xml:space="preserve"> of varying q</w:t>
      </w:r>
      <w:r w:rsidR="00210B40" w:rsidRPr="00DE2428">
        <w:t xml:space="preserve">uality. Further, that clear gaps in </w:t>
      </w:r>
      <w:r w:rsidR="00C94B34">
        <w:t xml:space="preserve">relevant </w:t>
      </w:r>
      <w:r w:rsidR="00210B40" w:rsidRPr="00DE2428">
        <w:t>data</w:t>
      </w:r>
      <w:r w:rsidR="00070812">
        <w:t xml:space="preserve"> </w:t>
      </w:r>
      <w:r w:rsidR="00210B40" w:rsidRPr="00DE2428">
        <w:t>– such as patient-recorded experience and outcome measures – are well known</w:t>
      </w:r>
      <w:r w:rsidR="00571BF0">
        <w:t>.</w:t>
      </w:r>
    </w:p>
    <w:p w14:paraId="010F48B8" w14:textId="1C8CB60B" w:rsidR="00571BF0" w:rsidRDefault="005B3CF5" w:rsidP="009532F4">
      <w:r>
        <w:t xml:space="preserve">Despite these challenges, </w:t>
      </w:r>
      <w:r w:rsidR="00CA2198">
        <w:t xml:space="preserve">this report </w:t>
      </w:r>
      <w:r>
        <w:t xml:space="preserve">identifies </w:t>
      </w:r>
      <w:r w:rsidR="00100D2A">
        <w:t xml:space="preserve">several promising opportunities to realise improvements </w:t>
      </w:r>
      <w:r w:rsidR="00B5749C">
        <w:t>to sepsis data</w:t>
      </w:r>
      <w:r w:rsidR="00527F73">
        <w:t>, including</w:t>
      </w:r>
      <w:r w:rsidR="00632DC8">
        <w:t xml:space="preserve"> </w:t>
      </w:r>
      <w:r w:rsidR="003B516A">
        <w:t>increased standardisation</w:t>
      </w:r>
      <w:r w:rsidR="00DC28D7">
        <w:t xml:space="preserve"> and consensus</w:t>
      </w:r>
      <w:r w:rsidR="003B516A">
        <w:t xml:space="preserve">, </w:t>
      </w:r>
      <w:r w:rsidR="00A76520">
        <w:t>simple collection</w:t>
      </w:r>
      <w:r w:rsidR="00DC28D7">
        <w:t xml:space="preserve"> initiatives to build an initial dataset, </w:t>
      </w:r>
      <w:r w:rsidR="00A87DED">
        <w:t xml:space="preserve">and </w:t>
      </w:r>
      <w:r w:rsidR="00547D61">
        <w:t xml:space="preserve">demonstrated examples of </w:t>
      </w:r>
      <w:r w:rsidR="00A87DED">
        <w:t>successful national medical datasets</w:t>
      </w:r>
      <w:r w:rsidR="00547D61">
        <w:t>.</w:t>
      </w:r>
      <w:r w:rsidR="002E7449">
        <w:t xml:space="preserve"> </w:t>
      </w:r>
      <w:r w:rsidR="00547D61">
        <w:t xml:space="preserve">More importantly, it finds an appetite </w:t>
      </w:r>
      <w:r w:rsidR="00935794">
        <w:t xml:space="preserve">among </w:t>
      </w:r>
      <w:r w:rsidR="00F6451F">
        <w:t>medical professionals</w:t>
      </w:r>
      <w:r w:rsidR="00A74CCB">
        <w:t>, data professionals, and those with a lived experience of sepsis to drive improved data outcomes.</w:t>
      </w:r>
    </w:p>
    <w:p w14:paraId="4215663B" w14:textId="4C9D0BFE" w:rsidR="00A74CCB" w:rsidRDefault="00DC28D7" w:rsidP="009532F4">
      <w:r>
        <w:t>Ultimately, t</w:t>
      </w:r>
      <w:r w:rsidR="009B5F3C">
        <w:t xml:space="preserve">his report culminates in the presentation of a five (5) year </w:t>
      </w:r>
      <w:hyperlink w:anchor="_Figure_5:_Strategy" w:history="1">
        <w:r w:rsidR="00F0124F">
          <w:rPr>
            <w:rStyle w:val="Hyperlink"/>
          </w:rPr>
          <w:t>National Sepsis Data Strategy</w:t>
        </w:r>
      </w:hyperlink>
      <w:r w:rsidR="008B1887">
        <w:t xml:space="preserve"> </w:t>
      </w:r>
      <w:r w:rsidR="005D7064">
        <w:t>–</w:t>
      </w:r>
      <w:r w:rsidR="008B1887">
        <w:t xml:space="preserve"> </w:t>
      </w:r>
      <w:r w:rsidR="005D7064">
        <w:t xml:space="preserve">a roadmap to realise </w:t>
      </w:r>
      <w:r w:rsidR="00067EE2">
        <w:t xml:space="preserve">a future state of sepsis data centred on </w:t>
      </w:r>
      <w:r w:rsidR="00067EE2" w:rsidRPr="00067EE2">
        <w:t xml:space="preserve">robust standardised national data </w:t>
      </w:r>
      <w:r w:rsidR="00067EE2">
        <w:t xml:space="preserve">that harmonises </w:t>
      </w:r>
      <w:r w:rsidR="00067EE2" w:rsidRPr="00067EE2">
        <w:t>how sepsis is recorded, coded, reported and establish</w:t>
      </w:r>
      <w:r w:rsidR="00067EE2">
        <w:t xml:space="preserve">es </w:t>
      </w:r>
      <w:r w:rsidR="00067EE2" w:rsidRPr="00067EE2">
        <w:t>the foundation for understanding sepsis prevalence, health system impact and outcomes</w:t>
      </w:r>
      <w:r w:rsidR="00067EE2">
        <w:t xml:space="preserve">. </w:t>
      </w:r>
      <w:r w:rsidR="00A31E53">
        <w:t xml:space="preserve">With the appropriate support, this </w:t>
      </w:r>
      <w:r w:rsidR="00067EE2">
        <w:t>strategy</w:t>
      </w:r>
      <w:r w:rsidR="00EF5A60">
        <w:t xml:space="preserve"> </w:t>
      </w:r>
      <w:r w:rsidR="00E5228C">
        <w:t>can</w:t>
      </w:r>
      <w:r w:rsidR="00A31E53">
        <w:t xml:space="preserve"> realise a </w:t>
      </w:r>
      <w:r w:rsidR="00EF5A60">
        <w:t xml:space="preserve">future of sepsis data </w:t>
      </w:r>
      <w:r w:rsidR="00A31E53">
        <w:t xml:space="preserve">that </w:t>
      </w:r>
      <w:r w:rsidR="00067EE2" w:rsidRPr="00067EE2">
        <w:t>enhance</w:t>
      </w:r>
      <w:r w:rsidR="00A31E53">
        <w:t>s</w:t>
      </w:r>
      <w:r w:rsidR="00067EE2" w:rsidRPr="00067EE2">
        <w:t xml:space="preserve"> clinical decision making and care, patient safety, quality improvement, and health services planning</w:t>
      </w:r>
      <w:r w:rsidR="00BD6661">
        <w:t>.</w:t>
      </w:r>
      <w:r w:rsidR="00D73B73">
        <w:t xml:space="preserve">  </w:t>
      </w:r>
      <w:r w:rsidR="00BD6661">
        <w:t>U</w:t>
      </w:r>
      <w:r w:rsidR="00D73B73">
        <w:t>ltimately</w:t>
      </w:r>
      <w:r w:rsidR="00BD6661">
        <w:t xml:space="preserve"> this will</w:t>
      </w:r>
      <w:r w:rsidR="00582B2B">
        <w:t xml:space="preserve"> </w:t>
      </w:r>
      <w:r w:rsidR="00D73B73">
        <w:t>reduce the burden of sepsis in Australia.</w:t>
      </w:r>
    </w:p>
    <w:p w14:paraId="567CC8F1" w14:textId="42912CF7" w:rsidR="00270159" w:rsidRPr="004645AE" w:rsidRDefault="004645AE" w:rsidP="009532F4">
      <w:pPr>
        <w:rPr>
          <w:b/>
          <w:bCs/>
        </w:rPr>
      </w:pPr>
      <w:r w:rsidRPr="004645AE">
        <w:rPr>
          <w:b/>
          <w:bCs/>
        </w:rPr>
        <w:t>Recommendation</w:t>
      </w:r>
    </w:p>
    <w:p w14:paraId="14211234" w14:textId="08BC0A65" w:rsidR="00270159" w:rsidRDefault="004645AE" w:rsidP="009532F4">
      <w:r w:rsidRPr="007F0095">
        <w:t xml:space="preserve">The </w:t>
      </w:r>
      <w:r w:rsidR="00351DF5">
        <w:t>Australian Government</w:t>
      </w:r>
      <w:r w:rsidRPr="007F0095">
        <w:t xml:space="preserve"> should appoint a lead agency to drive the implementation of the National </w:t>
      </w:r>
      <w:r>
        <w:t xml:space="preserve">Sepsis </w:t>
      </w:r>
      <w:r w:rsidRPr="007F0095">
        <w:t>Data Plan</w:t>
      </w:r>
      <w:r>
        <w:t>.</w:t>
      </w:r>
    </w:p>
    <w:p w14:paraId="57D9E86F" w14:textId="77777777" w:rsidR="00270159" w:rsidRDefault="00270159" w:rsidP="009532F4"/>
    <w:p w14:paraId="13E24D05" w14:textId="77777777" w:rsidR="00270159" w:rsidRDefault="00270159" w:rsidP="009532F4"/>
    <w:p w14:paraId="7DC4212F" w14:textId="77777777" w:rsidR="00270159" w:rsidRDefault="00270159" w:rsidP="009532F4"/>
    <w:p w14:paraId="5DF7476D" w14:textId="77777777" w:rsidR="00270159" w:rsidRDefault="00270159" w:rsidP="009532F4"/>
    <w:p w14:paraId="44CBCFFA" w14:textId="77777777" w:rsidR="00270159" w:rsidRDefault="00270159" w:rsidP="009532F4"/>
    <w:p w14:paraId="30C225CC" w14:textId="77777777" w:rsidR="00270159" w:rsidRPr="00270159" w:rsidRDefault="00270159" w:rsidP="00270159">
      <w:pPr>
        <w:pStyle w:val="Heading2"/>
        <w:numPr>
          <w:ilvl w:val="0"/>
          <w:numId w:val="0"/>
        </w:numPr>
        <w:rPr>
          <w:rFonts w:ascii="Arial" w:hAnsi="Arial" w:cs="Arial"/>
          <w:b/>
          <w:bCs/>
          <w:sz w:val="30"/>
          <w:szCs w:val="30"/>
        </w:rPr>
      </w:pPr>
      <w:bookmarkStart w:id="2" w:name="_Toc199425071"/>
      <w:r w:rsidRPr="00270159">
        <w:rPr>
          <w:rFonts w:ascii="Arial" w:hAnsi="Arial" w:cs="Arial"/>
          <w:b/>
          <w:bCs/>
          <w:sz w:val="30"/>
          <w:szCs w:val="30"/>
        </w:rPr>
        <w:t>Glossary</w:t>
      </w:r>
      <w:bookmarkEnd w:id="2"/>
    </w:p>
    <w:p w14:paraId="3296E24B" w14:textId="3BF1F91F" w:rsidR="00BB47C0" w:rsidRPr="00270159" w:rsidRDefault="00BB47C0" w:rsidP="00BB47C0">
      <w:r>
        <w:rPr>
          <w:b/>
          <w:bCs/>
        </w:rPr>
        <w:t xml:space="preserve">Clinical registry. </w:t>
      </w:r>
      <w:r w:rsidRPr="00270159">
        <w:t>Clinical registries are databases that operate within an overall governance and management structure to systematically collect health-related information on individuals who are treated with a particular procedure, device or drug; diagnosed with a particular illness or managed via a specific healthcare resource</w:t>
      </w:r>
      <w:r>
        <w:t>.</w:t>
      </w:r>
      <w:r>
        <w:rPr>
          <w:rStyle w:val="FootnoteReference"/>
        </w:rPr>
        <w:footnoteReference w:id="2"/>
      </w:r>
    </w:p>
    <w:p w14:paraId="24CDBDAB" w14:textId="48E4314D" w:rsidR="00BB47C0" w:rsidRDefault="00BB47C0" w:rsidP="00270159">
      <w:pPr>
        <w:rPr>
          <w:b/>
          <w:bCs/>
        </w:rPr>
      </w:pPr>
      <w:r>
        <w:rPr>
          <w:b/>
          <w:bCs/>
        </w:rPr>
        <w:t xml:space="preserve">Data dictionary. </w:t>
      </w:r>
      <w:r w:rsidRPr="00BB47C0">
        <w:t>A data dictionary is a collection of names, definitions and attributes of data elements contained in a data base or data set.</w:t>
      </w:r>
      <w:r>
        <w:rPr>
          <w:b/>
          <w:bCs/>
        </w:rPr>
        <w:t xml:space="preserve"> </w:t>
      </w:r>
    </w:p>
    <w:p w14:paraId="28978F3C" w14:textId="416A5FE0" w:rsidR="00270159" w:rsidRDefault="00270159" w:rsidP="00270159">
      <w:pPr>
        <w:rPr>
          <w:b/>
          <w:bCs/>
        </w:rPr>
      </w:pPr>
      <w:r w:rsidRPr="00270159">
        <w:rPr>
          <w:b/>
          <w:bCs/>
        </w:rPr>
        <w:t xml:space="preserve">Data </w:t>
      </w:r>
      <w:r w:rsidR="00BB47C0">
        <w:rPr>
          <w:b/>
          <w:bCs/>
        </w:rPr>
        <w:t>s</w:t>
      </w:r>
      <w:r w:rsidRPr="00270159">
        <w:rPr>
          <w:b/>
          <w:bCs/>
        </w:rPr>
        <w:t xml:space="preserve">et. </w:t>
      </w:r>
      <w:r w:rsidR="00BB47C0" w:rsidRPr="00BB47C0">
        <w:t>Data sets are organised collections of data</w:t>
      </w:r>
      <w:r w:rsidR="00D6219A">
        <w:t xml:space="preserve"> that</w:t>
      </w:r>
      <w:r w:rsidR="00BB47C0" w:rsidRPr="00BB47C0">
        <w:t xml:space="preserve"> list values of variables for each element contained within the collection</w:t>
      </w:r>
      <w:r w:rsidR="00BB47C0">
        <w:rPr>
          <w:b/>
          <w:bCs/>
        </w:rPr>
        <w:t xml:space="preserve">. </w:t>
      </w:r>
    </w:p>
    <w:p w14:paraId="6C7014F6" w14:textId="4FD25222" w:rsidR="00BB47C0" w:rsidRPr="00270159" w:rsidRDefault="00BB47C0" w:rsidP="00270159">
      <w:pPr>
        <w:rPr>
          <w:b/>
          <w:bCs/>
        </w:rPr>
      </w:pPr>
    </w:p>
    <w:p w14:paraId="07DC0265" w14:textId="77777777" w:rsidR="00270159" w:rsidRPr="00270159" w:rsidRDefault="00270159" w:rsidP="00270159"/>
    <w:p w14:paraId="3E36C9EE" w14:textId="77777777" w:rsidR="0051258B" w:rsidRDefault="0051258B" w:rsidP="009532F4"/>
    <w:p w14:paraId="4C24890B" w14:textId="11A6C437" w:rsidR="003E1A31" w:rsidRDefault="003E1A31" w:rsidP="009532F4">
      <w:r>
        <w:br w:type="page"/>
      </w:r>
    </w:p>
    <w:sdt>
      <w:sdtPr>
        <w:rPr>
          <w:rFonts w:asciiTheme="minorHAnsi" w:eastAsiaTheme="minorEastAsia" w:hAnsiTheme="minorHAnsi" w:cstheme="minorBidi"/>
          <w:b w:val="0"/>
          <w:bCs w:val="0"/>
          <w:color w:val="auto"/>
          <w:kern w:val="2"/>
          <w:sz w:val="20"/>
          <w:szCs w:val="20"/>
          <w:lang w:val="en-AU"/>
          <w14:ligatures w14:val="standardContextual"/>
        </w:rPr>
        <w:id w:val="-856578586"/>
        <w:docPartObj>
          <w:docPartGallery w:val="Table of Contents"/>
          <w:docPartUnique/>
        </w:docPartObj>
      </w:sdtPr>
      <w:sdtEndPr>
        <w:rPr>
          <w:noProof/>
          <w:sz w:val="21"/>
          <w:szCs w:val="21"/>
        </w:rPr>
      </w:sdtEndPr>
      <w:sdtContent>
        <w:p w14:paraId="07B73603" w14:textId="77777777" w:rsidR="002378DB" w:rsidRPr="00BA406E" w:rsidRDefault="002378DB" w:rsidP="001B55F5">
          <w:pPr>
            <w:pStyle w:val="TOCHeading"/>
            <w:numPr>
              <w:ilvl w:val="0"/>
              <w:numId w:val="0"/>
            </w:numPr>
            <w:ind w:left="432" w:hanging="432"/>
            <w:rPr>
              <w:rFonts w:ascii="Arial" w:hAnsi="Arial" w:cs="Arial"/>
              <w:b w:val="0"/>
              <w:bCs w:val="0"/>
            </w:rPr>
          </w:pPr>
          <w:r w:rsidRPr="00BA406E">
            <w:rPr>
              <w:rFonts w:ascii="Arial" w:hAnsi="Arial" w:cs="Arial"/>
              <w:b w:val="0"/>
              <w:bCs w:val="0"/>
            </w:rPr>
            <w:t>Table of Contents</w:t>
          </w:r>
        </w:p>
        <w:p w14:paraId="024635C0" w14:textId="5F814CF8" w:rsidR="009A199D" w:rsidRDefault="00433AA6">
          <w:pPr>
            <w:pStyle w:val="TOC1"/>
            <w:tabs>
              <w:tab w:val="left" w:pos="400"/>
              <w:tab w:val="right" w:leader="dot" w:pos="9016"/>
            </w:tabs>
            <w:rPr>
              <w:rFonts w:eastAsiaTheme="minorEastAsia" w:cstheme="minorBidi"/>
              <w:b w:val="0"/>
              <w:bCs w:val="0"/>
              <w:noProof/>
              <w:sz w:val="24"/>
              <w:szCs w:val="24"/>
              <w:lang w:eastAsia="en-AU"/>
            </w:rPr>
          </w:pPr>
          <w:r>
            <w:rPr>
              <w:b w:val="0"/>
              <w:bCs w:val="0"/>
            </w:rPr>
            <w:fldChar w:fldCharType="begin"/>
          </w:r>
          <w:r>
            <w:rPr>
              <w:b w:val="0"/>
              <w:bCs w:val="0"/>
            </w:rPr>
            <w:instrText xml:space="preserve"> TOC \o "1-2" \h \z \u </w:instrText>
          </w:r>
          <w:r>
            <w:rPr>
              <w:b w:val="0"/>
              <w:bCs w:val="0"/>
            </w:rPr>
            <w:fldChar w:fldCharType="separate"/>
          </w:r>
          <w:hyperlink w:anchor="_Toc204787696" w:history="1">
            <w:r w:rsidR="009A199D" w:rsidRPr="00D42D9A">
              <w:rPr>
                <w:rStyle w:val="Hyperlink"/>
                <w:noProof/>
              </w:rPr>
              <w:t>1</w:t>
            </w:r>
            <w:r w:rsidR="009A199D">
              <w:rPr>
                <w:rFonts w:eastAsiaTheme="minorEastAsia" w:cstheme="minorBidi"/>
                <w:b w:val="0"/>
                <w:bCs w:val="0"/>
                <w:noProof/>
                <w:sz w:val="24"/>
                <w:szCs w:val="24"/>
                <w:lang w:eastAsia="en-AU"/>
              </w:rPr>
              <w:tab/>
            </w:r>
            <w:r w:rsidR="009A199D" w:rsidRPr="00D42D9A">
              <w:rPr>
                <w:rStyle w:val="Hyperlink"/>
                <w:noProof/>
              </w:rPr>
              <w:t>Overview</w:t>
            </w:r>
            <w:r w:rsidR="009A199D">
              <w:rPr>
                <w:noProof/>
                <w:webHidden/>
              </w:rPr>
              <w:tab/>
            </w:r>
            <w:r w:rsidR="009A199D">
              <w:rPr>
                <w:noProof/>
                <w:webHidden/>
              </w:rPr>
              <w:fldChar w:fldCharType="begin"/>
            </w:r>
            <w:r w:rsidR="009A199D">
              <w:rPr>
                <w:noProof/>
                <w:webHidden/>
              </w:rPr>
              <w:instrText xml:space="preserve"> PAGEREF _Toc204787696 \h </w:instrText>
            </w:r>
            <w:r w:rsidR="009A199D">
              <w:rPr>
                <w:noProof/>
                <w:webHidden/>
              </w:rPr>
            </w:r>
            <w:r w:rsidR="009A199D">
              <w:rPr>
                <w:noProof/>
                <w:webHidden/>
              </w:rPr>
              <w:fldChar w:fldCharType="separate"/>
            </w:r>
            <w:r w:rsidR="009A199D">
              <w:rPr>
                <w:noProof/>
                <w:webHidden/>
              </w:rPr>
              <w:t>5</w:t>
            </w:r>
            <w:r w:rsidR="009A199D">
              <w:rPr>
                <w:noProof/>
                <w:webHidden/>
              </w:rPr>
              <w:fldChar w:fldCharType="end"/>
            </w:r>
          </w:hyperlink>
        </w:p>
        <w:p w14:paraId="5A88A71E" w14:textId="10C44A99"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697" w:history="1">
            <w:r w:rsidRPr="00D42D9A">
              <w:rPr>
                <w:rStyle w:val="Hyperlink"/>
                <w:noProof/>
              </w:rPr>
              <w:t>1.1</w:t>
            </w:r>
            <w:r>
              <w:rPr>
                <w:rFonts w:eastAsiaTheme="minorEastAsia" w:cstheme="minorBidi"/>
                <w:i w:val="0"/>
                <w:iCs w:val="0"/>
                <w:noProof/>
                <w:sz w:val="24"/>
                <w:szCs w:val="24"/>
                <w:lang w:eastAsia="en-AU"/>
              </w:rPr>
              <w:tab/>
            </w:r>
            <w:r w:rsidRPr="00D42D9A">
              <w:rPr>
                <w:rStyle w:val="Hyperlink"/>
                <w:noProof/>
              </w:rPr>
              <w:t>National Sepsis Program Extension</w:t>
            </w:r>
            <w:r>
              <w:rPr>
                <w:noProof/>
                <w:webHidden/>
              </w:rPr>
              <w:tab/>
            </w:r>
            <w:r>
              <w:rPr>
                <w:noProof/>
                <w:webHidden/>
              </w:rPr>
              <w:fldChar w:fldCharType="begin"/>
            </w:r>
            <w:r>
              <w:rPr>
                <w:noProof/>
                <w:webHidden/>
              </w:rPr>
              <w:instrText xml:space="preserve"> PAGEREF _Toc204787697 \h </w:instrText>
            </w:r>
            <w:r>
              <w:rPr>
                <w:noProof/>
                <w:webHidden/>
              </w:rPr>
            </w:r>
            <w:r>
              <w:rPr>
                <w:noProof/>
                <w:webHidden/>
              </w:rPr>
              <w:fldChar w:fldCharType="separate"/>
            </w:r>
            <w:r>
              <w:rPr>
                <w:noProof/>
                <w:webHidden/>
              </w:rPr>
              <w:t>5</w:t>
            </w:r>
            <w:r>
              <w:rPr>
                <w:noProof/>
                <w:webHidden/>
              </w:rPr>
              <w:fldChar w:fldCharType="end"/>
            </w:r>
          </w:hyperlink>
        </w:p>
        <w:p w14:paraId="478015B9" w14:textId="0F60FD30"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698" w:history="1">
            <w:r w:rsidRPr="00D42D9A">
              <w:rPr>
                <w:rStyle w:val="Hyperlink"/>
                <w:noProof/>
              </w:rPr>
              <w:t>1.2</w:t>
            </w:r>
            <w:r>
              <w:rPr>
                <w:rFonts w:eastAsiaTheme="minorEastAsia" w:cstheme="minorBidi"/>
                <w:i w:val="0"/>
                <w:iCs w:val="0"/>
                <w:noProof/>
                <w:sz w:val="24"/>
                <w:szCs w:val="24"/>
                <w:lang w:eastAsia="en-AU"/>
              </w:rPr>
              <w:tab/>
            </w:r>
            <w:r w:rsidRPr="00D42D9A">
              <w:rPr>
                <w:rStyle w:val="Hyperlink"/>
                <w:noProof/>
              </w:rPr>
              <w:t>This report</w:t>
            </w:r>
            <w:r>
              <w:rPr>
                <w:noProof/>
                <w:webHidden/>
              </w:rPr>
              <w:tab/>
            </w:r>
            <w:r>
              <w:rPr>
                <w:noProof/>
                <w:webHidden/>
              </w:rPr>
              <w:fldChar w:fldCharType="begin"/>
            </w:r>
            <w:r>
              <w:rPr>
                <w:noProof/>
                <w:webHidden/>
              </w:rPr>
              <w:instrText xml:space="preserve"> PAGEREF _Toc204787698 \h </w:instrText>
            </w:r>
            <w:r>
              <w:rPr>
                <w:noProof/>
                <w:webHidden/>
              </w:rPr>
            </w:r>
            <w:r>
              <w:rPr>
                <w:noProof/>
                <w:webHidden/>
              </w:rPr>
              <w:fldChar w:fldCharType="separate"/>
            </w:r>
            <w:r>
              <w:rPr>
                <w:noProof/>
                <w:webHidden/>
              </w:rPr>
              <w:t>6</w:t>
            </w:r>
            <w:r>
              <w:rPr>
                <w:noProof/>
                <w:webHidden/>
              </w:rPr>
              <w:fldChar w:fldCharType="end"/>
            </w:r>
          </w:hyperlink>
        </w:p>
        <w:p w14:paraId="17CE334D" w14:textId="580E8636" w:rsidR="009A199D" w:rsidRDefault="009A199D">
          <w:pPr>
            <w:pStyle w:val="TOC1"/>
            <w:tabs>
              <w:tab w:val="left" w:pos="400"/>
              <w:tab w:val="right" w:leader="dot" w:pos="9016"/>
            </w:tabs>
            <w:rPr>
              <w:rFonts w:eastAsiaTheme="minorEastAsia" w:cstheme="minorBidi"/>
              <w:b w:val="0"/>
              <w:bCs w:val="0"/>
              <w:noProof/>
              <w:sz w:val="24"/>
              <w:szCs w:val="24"/>
              <w:lang w:eastAsia="en-AU"/>
            </w:rPr>
          </w:pPr>
          <w:hyperlink w:anchor="_Toc204787699" w:history="1">
            <w:r w:rsidRPr="00D42D9A">
              <w:rPr>
                <w:rStyle w:val="Hyperlink"/>
                <w:noProof/>
              </w:rPr>
              <w:t>2</w:t>
            </w:r>
            <w:r>
              <w:rPr>
                <w:rFonts w:eastAsiaTheme="minorEastAsia" w:cstheme="minorBidi"/>
                <w:b w:val="0"/>
                <w:bCs w:val="0"/>
                <w:noProof/>
                <w:sz w:val="24"/>
                <w:szCs w:val="24"/>
                <w:lang w:eastAsia="en-AU"/>
              </w:rPr>
              <w:tab/>
            </w:r>
            <w:r w:rsidRPr="00D42D9A">
              <w:rPr>
                <w:rStyle w:val="Hyperlink"/>
                <w:noProof/>
              </w:rPr>
              <w:t>A Vision for Sepsis Data</w:t>
            </w:r>
            <w:r>
              <w:rPr>
                <w:noProof/>
                <w:webHidden/>
              </w:rPr>
              <w:tab/>
            </w:r>
            <w:r>
              <w:rPr>
                <w:noProof/>
                <w:webHidden/>
              </w:rPr>
              <w:fldChar w:fldCharType="begin"/>
            </w:r>
            <w:r>
              <w:rPr>
                <w:noProof/>
                <w:webHidden/>
              </w:rPr>
              <w:instrText xml:space="preserve"> PAGEREF _Toc204787699 \h </w:instrText>
            </w:r>
            <w:r>
              <w:rPr>
                <w:noProof/>
                <w:webHidden/>
              </w:rPr>
            </w:r>
            <w:r>
              <w:rPr>
                <w:noProof/>
                <w:webHidden/>
              </w:rPr>
              <w:fldChar w:fldCharType="separate"/>
            </w:r>
            <w:r>
              <w:rPr>
                <w:noProof/>
                <w:webHidden/>
              </w:rPr>
              <w:t>8</w:t>
            </w:r>
            <w:r>
              <w:rPr>
                <w:noProof/>
                <w:webHidden/>
              </w:rPr>
              <w:fldChar w:fldCharType="end"/>
            </w:r>
          </w:hyperlink>
        </w:p>
        <w:p w14:paraId="5C92C353" w14:textId="64BB12D4"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00" w:history="1">
            <w:r w:rsidRPr="00D42D9A">
              <w:rPr>
                <w:rStyle w:val="Hyperlink"/>
                <w:noProof/>
              </w:rPr>
              <w:t>2.1</w:t>
            </w:r>
            <w:r>
              <w:rPr>
                <w:rFonts w:eastAsiaTheme="minorEastAsia" w:cstheme="minorBidi"/>
                <w:i w:val="0"/>
                <w:iCs w:val="0"/>
                <w:noProof/>
                <w:sz w:val="24"/>
                <w:szCs w:val="24"/>
                <w:lang w:eastAsia="en-AU"/>
              </w:rPr>
              <w:tab/>
            </w:r>
            <w:r w:rsidRPr="00D42D9A">
              <w:rPr>
                <w:rStyle w:val="Hyperlink"/>
                <w:noProof/>
              </w:rPr>
              <w:t>Why have a national data strategy?</w:t>
            </w:r>
            <w:r>
              <w:rPr>
                <w:noProof/>
                <w:webHidden/>
              </w:rPr>
              <w:tab/>
            </w:r>
            <w:r>
              <w:rPr>
                <w:noProof/>
                <w:webHidden/>
              </w:rPr>
              <w:fldChar w:fldCharType="begin"/>
            </w:r>
            <w:r>
              <w:rPr>
                <w:noProof/>
                <w:webHidden/>
              </w:rPr>
              <w:instrText xml:space="preserve"> PAGEREF _Toc204787700 \h </w:instrText>
            </w:r>
            <w:r>
              <w:rPr>
                <w:noProof/>
                <w:webHidden/>
              </w:rPr>
            </w:r>
            <w:r>
              <w:rPr>
                <w:noProof/>
                <w:webHidden/>
              </w:rPr>
              <w:fldChar w:fldCharType="separate"/>
            </w:r>
            <w:r>
              <w:rPr>
                <w:noProof/>
                <w:webHidden/>
              </w:rPr>
              <w:t>8</w:t>
            </w:r>
            <w:r>
              <w:rPr>
                <w:noProof/>
                <w:webHidden/>
              </w:rPr>
              <w:fldChar w:fldCharType="end"/>
            </w:r>
          </w:hyperlink>
        </w:p>
        <w:p w14:paraId="055C2365" w14:textId="3D46D11B" w:rsidR="009A199D" w:rsidRDefault="009A199D">
          <w:pPr>
            <w:pStyle w:val="TOC1"/>
            <w:tabs>
              <w:tab w:val="left" w:pos="400"/>
              <w:tab w:val="right" w:leader="dot" w:pos="9016"/>
            </w:tabs>
            <w:rPr>
              <w:rFonts w:eastAsiaTheme="minorEastAsia" w:cstheme="minorBidi"/>
              <w:b w:val="0"/>
              <w:bCs w:val="0"/>
              <w:noProof/>
              <w:sz w:val="24"/>
              <w:szCs w:val="24"/>
              <w:lang w:eastAsia="en-AU"/>
            </w:rPr>
          </w:pPr>
          <w:hyperlink w:anchor="_Toc204787701" w:history="1">
            <w:r w:rsidRPr="00D42D9A">
              <w:rPr>
                <w:rStyle w:val="Hyperlink"/>
                <w:noProof/>
              </w:rPr>
              <w:t>3</w:t>
            </w:r>
            <w:r>
              <w:rPr>
                <w:rFonts w:eastAsiaTheme="minorEastAsia" w:cstheme="minorBidi"/>
                <w:b w:val="0"/>
                <w:bCs w:val="0"/>
                <w:noProof/>
                <w:sz w:val="24"/>
                <w:szCs w:val="24"/>
                <w:lang w:eastAsia="en-AU"/>
              </w:rPr>
              <w:tab/>
            </w:r>
            <w:r w:rsidRPr="00D42D9A">
              <w:rPr>
                <w:rStyle w:val="Hyperlink"/>
                <w:noProof/>
              </w:rPr>
              <w:t>The current state of sepsis data</w:t>
            </w:r>
            <w:r>
              <w:rPr>
                <w:noProof/>
                <w:webHidden/>
              </w:rPr>
              <w:tab/>
            </w:r>
            <w:r>
              <w:rPr>
                <w:noProof/>
                <w:webHidden/>
              </w:rPr>
              <w:fldChar w:fldCharType="begin"/>
            </w:r>
            <w:r>
              <w:rPr>
                <w:noProof/>
                <w:webHidden/>
              </w:rPr>
              <w:instrText xml:space="preserve"> PAGEREF _Toc204787701 \h </w:instrText>
            </w:r>
            <w:r>
              <w:rPr>
                <w:noProof/>
                <w:webHidden/>
              </w:rPr>
            </w:r>
            <w:r>
              <w:rPr>
                <w:noProof/>
                <w:webHidden/>
              </w:rPr>
              <w:fldChar w:fldCharType="separate"/>
            </w:r>
            <w:r>
              <w:rPr>
                <w:noProof/>
                <w:webHidden/>
              </w:rPr>
              <w:t>10</w:t>
            </w:r>
            <w:r>
              <w:rPr>
                <w:noProof/>
                <w:webHidden/>
              </w:rPr>
              <w:fldChar w:fldCharType="end"/>
            </w:r>
          </w:hyperlink>
        </w:p>
        <w:p w14:paraId="3AC67DCF" w14:textId="47D768D6"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02" w:history="1">
            <w:r w:rsidRPr="00D42D9A">
              <w:rPr>
                <w:rStyle w:val="Hyperlink"/>
                <w:noProof/>
              </w:rPr>
              <w:t>3.1</w:t>
            </w:r>
            <w:r>
              <w:rPr>
                <w:rFonts w:eastAsiaTheme="minorEastAsia" w:cstheme="minorBidi"/>
                <w:i w:val="0"/>
                <w:iCs w:val="0"/>
                <w:noProof/>
                <w:sz w:val="24"/>
                <w:szCs w:val="24"/>
                <w:lang w:eastAsia="en-AU"/>
              </w:rPr>
              <w:tab/>
            </w:r>
            <w:r w:rsidRPr="00D42D9A">
              <w:rPr>
                <w:rStyle w:val="Hyperlink"/>
                <w:noProof/>
              </w:rPr>
              <w:t>Data collection</w:t>
            </w:r>
            <w:r>
              <w:rPr>
                <w:noProof/>
                <w:webHidden/>
              </w:rPr>
              <w:tab/>
            </w:r>
            <w:r>
              <w:rPr>
                <w:noProof/>
                <w:webHidden/>
              </w:rPr>
              <w:fldChar w:fldCharType="begin"/>
            </w:r>
            <w:r>
              <w:rPr>
                <w:noProof/>
                <w:webHidden/>
              </w:rPr>
              <w:instrText xml:space="preserve"> PAGEREF _Toc204787702 \h </w:instrText>
            </w:r>
            <w:r>
              <w:rPr>
                <w:noProof/>
                <w:webHidden/>
              </w:rPr>
            </w:r>
            <w:r>
              <w:rPr>
                <w:noProof/>
                <w:webHidden/>
              </w:rPr>
              <w:fldChar w:fldCharType="separate"/>
            </w:r>
            <w:r>
              <w:rPr>
                <w:noProof/>
                <w:webHidden/>
              </w:rPr>
              <w:t>10</w:t>
            </w:r>
            <w:r>
              <w:rPr>
                <w:noProof/>
                <w:webHidden/>
              </w:rPr>
              <w:fldChar w:fldCharType="end"/>
            </w:r>
          </w:hyperlink>
        </w:p>
        <w:p w14:paraId="6BD536CD" w14:textId="2DC366DA"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03" w:history="1">
            <w:r w:rsidRPr="00D42D9A">
              <w:rPr>
                <w:rStyle w:val="Hyperlink"/>
                <w:noProof/>
              </w:rPr>
              <w:t>3.2</w:t>
            </w:r>
            <w:r>
              <w:rPr>
                <w:rFonts w:eastAsiaTheme="minorEastAsia" w:cstheme="minorBidi"/>
                <w:i w:val="0"/>
                <w:iCs w:val="0"/>
                <w:noProof/>
                <w:sz w:val="24"/>
                <w:szCs w:val="24"/>
                <w:lang w:eastAsia="en-AU"/>
              </w:rPr>
              <w:tab/>
            </w:r>
            <w:r w:rsidRPr="00D42D9A">
              <w:rPr>
                <w:rStyle w:val="Hyperlink"/>
                <w:noProof/>
              </w:rPr>
              <w:t>Data sharing</w:t>
            </w:r>
            <w:r>
              <w:rPr>
                <w:noProof/>
                <w:webHidden/>
              </w:rPr>
              <w:tab/>
            </w:r>
            <w:r>
              <w:rPr>
                <w:noProof/>
                <w:webHidden/>
              </w:rPr>
              <w:fldChar w:fldCharType="begin"/>
            </w:r>
            <w:r>
              <w:rPr>
                <w:noProof/>
                <w:webHidden/>
              </w:rPr>
              <w:instrText xml:space="preserve"> PAGEREF _Toc204787703 \h </w:instrText>
            </w:r>
            <w:r>
              <w:rPr>
                <w:noProof/>
                <w:webHidden/>
              </w:rPr>
            </w:r>
            <w:r>
              <w:rPr>
                <w:noProof/>
                <w:webHidden/>
              </w:rPr>
              <w:fldChar w:fldCharType="separate"/>
            </w:r>
            <w:r>
              <w:rPr>
                <w:noProof/>
                <w:webHidden/>
              </w:rPr>
              <w:t>11</w:t>
            </w:r>
            <w:r>
              <w:rPr>
                <w:noProof/>
                <w:webHidden/>
              </w:rPr>
              <w:fldChar w:fldCharType="end"/>
            </w:r>
          </w:hyperlink>
        </w:p>
        <w:p w14:paraId="6DA4570C" w14:textId="07538ED7"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04" w:history="1">
            <w:r w:rsidRPr="00D42D9A">
              <w:rPr>
                <w:rStyle w:val="Hyperlink"/>
                <w:noProof/>
              </w:rPr>
              <w:t>3.3</w:t>
            </w:r>
            <w:r>
              <w:rPr>
                <w:rFonts w:eastAsiaTheme="minorEastAsia" w:cstheme="minorBidi"/>
                <w:i w:val="0"/>
                <w:iCs w:val="0"/>
                <w:noProof/>
                <w:sz w:val="24"/>
                <w:szCs w:val="24"/>
                <w:lang w:eastAsia="en-AU"/>
              </w:rPr>
              <w:tab/>
            </w:r>
            <w:r w:rsidRPr="00D42D9A">
              <w:rPr>
                <w:rStyle w:val="Hyperlink"/>
                <w:noProof/>
              </w:rPr>
              <w:t>Data usage</w:t>
            </w:r>
            <w:r>
              <w:rPr>
                <w:noProof/>
                <w:webHidden/>
              </w:rPr>
              <w:tab/>
            </w:r>
            <w:r>
              <w:rPr>
                <w:noProof/>
                <w:webHidden/>
              </w:rPr>
              <w:fldChar w:fldCharType="begin"/>
            </w:r>
            <w:r>
              <w:rPr>
                <w:noProof/>
                <w:webHidden/>
              </w:rPr>
              <w:instrText xml:space="preserve"> PAGEREF _Toc204787704 \h </w:instrText>
            </w:r>
            <w:r>
              <w:rPr>
                <w:noProof/>
                <w:webHidden/>
              </w:rPr>
            </w:r>
            <w:r>
              <w:rPr>
                <w:noProof/>
                <w:webHidden/>
              </w:rPr>
              <w:fldChar w:fldCharType="separate"/>
            </w:r>
            <w:r>
              <w:rPr>
                <w:noProof/>
                <w:webHidden/>
              </w:rPr>
              <w:t>11</w:t>
            </w:r>
            <w:r>
              <w:rPr>
                <w:noProof/>
                <w:webHidden/>
              </w:rPr>
              <w:fldChar w:fldCharType="end"/>
            </w:r>
          </w:hyperlink>
        </w:p>
        <w:p w14:paraId="54AC5BDF" w14:textId="0A22A7A5"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05" w:history="1">
            <w:r w:rsidRPr="00D42D9A">
              <w:rPr>
                <w:rStyle w:val="Hyperlink"/>
                <w:noProof/>
              </w:rPr>
              <w:t>3.4</w:t>
            </w:r>
            <w:r>
              <w:rPr>
                <w:rFonts w:eastAsiaTheme="minorEastAsia" w:cstheme="minorBidi"/>
                <w:i w:val="0"/>
                <w:iCs w:val="0"/>
                <w:noProof/>
                <w:sz w:val="24"/>
                <w:szCs w:val="24"/>
                <w:lang w:eastAsia="en-AU"/>
              </w:rPr>
              <w:tab/>
            </w:r>
            <w:r w:rsidRPr="00D42D9A">
              <w:rPr>
                <w:rStyle w:val="Hyperlink"/>
                <w:noProof/>
              </w:rPr>
              <w:t>Key findings</w:t>
            </w:r>
            <w:r>
              <w:rPr>
                <w:noProof/>
                <w:webHidden/>
              </w:rPr>
              <w:tab/>
            </w:r>
            <w:r>
              <w:rPr>
                <w:noProof/>
                <w:webHidden/>
              </w:rPr>
              <w:fldChar w:fldCharType="begin"/>
            </w:r>
            <w:r>
              <w:rPr>
                <w:noProof/>
                <w:webHidden/>
              </w:rPr>
              <w:instrText xml:space="preserve"> PAGEREF _Toc204787705 \h </w:instrText>
            </w:r>
            <w:r>
              <w:rPr>
                <w:noProof/>
                <w:webHidden/>
              </w:rPr>
            </w:r>
            <w:r>
              <w:rPr>
                <w:noProof/>
                <w:webHidden/>
              </w:rPr>
              <w:fldChar w:fldCharType="separate"/>
            </w:r>
            <w:r>
              <w:rPr>
                <w:noProof/>
                <w:webHidden/>
              </w:rPr>
              <w:t>12</w:t>
            </w:r>
            <w:r>
              <w:rPr>
                <w:noProof/>
                <w:webHidden/>
              </w:rPr>
              <w:fldChar w:fldCharType="end"/>
            </w:r>
          </w:hyperlink>
        </w:p>
        <w:p w14:paraId="734D653B" w14:textId="2BDBF618" w:rsidR="009A199D" w:rsidRDefault="009A199D">
          <w:pPr>
            <w:pStyle w:val="TOC1"/>
            <w:tabs>
              <w:tab w:val="left" w:pos="400"/>
              <w:tab w:val="right" w:leader="dot" w:pos="9016"/>
            </w:tabs>
            <w:rPr>
              <w:rFonts w:eastAsiaTheme="minorEastAsia" w:cstheme="minorBidi"/>
              <w:b w:val="0"/>
              <w:bCs w:val="0"/>
              <w:noProof/>
              <w:sz w:val="24"/>
              <w:szCs w:val="24"/>
              <w:lang w:eastAsia="en-AU"/>
            </w:rPr>
          </w:pPr>
          <w:hyperlink w:anchor="_Toc204787706" w:history="1">
            <w:r w:rsidRPr="00D42D9A">
              <w:rPr>
                <w:rStyle w:val="Hyperlink"/>
                <w:noProof/>
              </w:rPr>
              <w:t>4</w:t>
            </w:r>
            <w:r>
              <w:rPr>
                <w:rFonts w:eastAsiaTheme="minorEastAsia" w:cstheme="minorBidi"/>
                <w:b w:val="0"/>
                <w:bCs w:val="0"/>
                <w:noProof/>
                <w:sz w:val="24"/>
                <w:szCs w:val="24"/>
                <w:lang w:eastAsia="en-AU"/>
              </w:rPr>
              <w:tab/>
            </w:r>
            <w:r w:rsidRPr="00D42D9A">
              <w:rPr>
                <w:rStyle w:val="Hyperlink"/>
                <w:noProof/>
              </w:rPr>
              <w:t>Challenges to improving sepsis data</w:t>
            </w:r>
            <w:r>
              <w:rPr>
                <w:noProof/>
                <w:webHidden/>
              </w:rPr>
              <w:tab/>
            </w:r>
            <w:r>
              <w:rPr>
                <w:noProof/>
                <w:webHidden/>
              </w:rPr>
              <w:fldChar w:fldCharType="begin"/>
            </w:r>
            <w:r>
              <w:rPr>
                <w:noProof/>
                <w:webHidden/>
              </w:rPr>
              <w:instrText xml:space="preserve"> PAGEREF _Toc204787706 \h </w:instrText>
            </w:r>
            <w:r>
              <w:rPr>
                <w:noProof/>
                <w:webHidden/>
              </w:rPr>
            </w:r>
            <w:r>
              <w:rPr>
                <w:noProof/>
                <w:webHidden/>
              </w:rPr>
              <w:fldChar w:fldCharType="separate"/>
            </w:r>
            <w:r>
              <w:rPr>
                <w:noProof/>
                <w:webHidden/>
              </w:rPr>
              <w:t>13</w:t>
            </w:r>
            <w:r>
              <w:rPr>
                <w:noProof/>
                <w:webHidden/>
              </w:rPr>
              <w:fldChar w:fldCharType="end"/>
            </w:r>
          </w:hyperlink>
        </w:p>
        <w:p w14:paraId="7B3185DC" w14:textId="3BAAFA0A"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07" w:history="1">
            <w:r w:rsidRPr="00D42D9A">
              <w:rPr>
                <w:rStyle w:val="Hyperlink"/>
                <w:noProof/>
              </w:rPr>
              <w:t>4.1</w:t>
            </w:r>
            <w:r>
              <w:rPr>
                <w:rFonts w:eastAsiaTheme="minorEastAsia" w:cstheme="minorBidi"/>
                <w:i w:val="0"/>
                <w:iCs w:val="0"/>
                <w:noProof/>
                <w:sz w:val="24"/>
                <w:szCs w:val="24"/>
                <w:lang w:eastAsia="en-AU"/>
              </w:rPr>
              <w:tab/>
            </w:r>
            <w:r w:rsidRPr="00D42D9A">
              <w:rPr>
                <w:rStyle w:val="Hyperlink"/>
                <w:noProof/>
              </w:rPr>
              <w:t>Resourcing requirements and constraints</w:t>
            </w:r>
            <w:r>
              <w:rPr>
                <w:noProof/>
                <w:webHidden/>
              </w:rPr>
              <w:tab/>
            </w:r>
            <w:r>
              <w:rPr>
                <w:noProof/>
                <w:webHidden/>
              </w:rPr>
              <w:fldChar w:fldCharType="begin"/>
            </w:r>
            <w:r>
              <w:rPr>
                <w:noProof/>
                <w:webHidden/>
              </w:rPr>
              <w:instrText xml:space="preserve"> PAGEREF _Toc204787707 \h </w:instrText>
            </w:r>
            <w:r>
              <w:rPr>
                <w:noProof/>
                <w:webHidden/>
              </w:rPr>
            </w:r>
            <w:r>
              <w:rPr>
                <w:noProof/>
                <w:webHidden/>
              </w:rPr>
              <w:fldChar w:fldCharType="separate"/>
            </w:r>
            <w:r>
              <w:rPr>
                <w:noProof/>
                <w:webHidden/>
              </w:rPr>
              <w:t>13</w:t>
            </w:r>
            <w:r>
              <w:rPr>
                <w:noProof/>
                <w:webHidden/>
              </w:rPr>
              <w:fldChar w:fldCharType="end"/>
            </w:r>
          </w:hyperlink>
        </w:p>
        <w:p w14:paraId="35E94BD3" w14:textId="2BA343E3"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08" w:history="1">
            <w:r w:rsidRPr="00D42D9A">
              <w:rPr>
                <w:rStyle w:val="Hyperlink"/>
                <w:noProof/>
              </w:rPr>
              <w:t>4.2</w:t>
            </w:r>
            <w:r>
              <w:rPr>
                <w:rFonts w:eastAsiaTheme="minorEastAsia" w:cstheme="minorBidi"/>
                <w:i w:val="0"/>
                <w:iCs w:val="0"/>
                <w:noProof/>
                <w:sz w:val="24"/>
                <w:szCs w:val="24"/>
                <w:lang w:eastAsia="en-AU"/>
              </w:rPr>
              <w:tab/>
            </w:r>
            <w:r w:rsidRPr="00D42D9A">
              <w:rPr>
                <w:rStyle w:val="Hyperlink"/>
                <w:noProof/>
              </w:rPr>
              <w:t>Data Definitions, Documentation, Coding and Reporting</w:t>
            </w:r>
            <w:r>
              <w:rPr>
                <w:noProof/>
                <w:webHidden/>
              </w:rPr>
              <w:tab/>
            </w:r>
            <w:r>
              <w:rPr>
                <w:noProof/>
                <w:webHidden/>
              </w:rPr>
              <w:fldChar w:fldCharType="begin"/>
            </w:r>
            <w:r>
              <w:rPr>
                <w:noProof/>
                <w:webHidden/>
              </w:rPr>
              <w:instrText xml:space="preserve"> PAGEREF _Toc204787708 \h </w:instrText>
            </w:r>
            <w:r>
              <w:rPr>
                <w:noProof/>
                <w:webHidden/>
              </w:rPr>
            </w:r>
            <w:r>
              <w:rPr>
                <w:noProof/>
                <w:webHidden/>
              </w:rPr>
              <w:fldChar w:fldCharType="separate"/>
            </w:r>
            <w:r>
              <w:rPr>
                <w:noProof/>
                <w:webHidden/>
              </w:rPr>
              <w:t>14</w:t>
            </w:r>
            <w:r>
              <w:rPr>
                <w:noProof/>
                <w:webHidden/>
              </w:rPr>
              <w:fldChar w:fldCharType="end"/>
            </w:r>
          </w:hyperlink>
        </w:p>
        <w:p w14:paraId="520E9DB7" w14:textId="373E5414"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09" w:history="1">
            <w:r w:rsidRPr="00D42D9A">
              <w:rPr>
                <w:rStyle w:val="Hyperlink"/>
                <w:noProof/>
              </w:rPr>
              <w:t>4.3</w:t>
            </w:r>
            <w:r>
              <w:rPr>
                <w:rFonts w:eastAsiaTheme="minorEastAsia" w:cstheme="minorBidi"/>
                <w:i w:val="0"/>
                <w:iCs w:val="0"/>
                <w:noProof/>
                <w:sz w:val="24"/>
                <w:szCs w:val="24"/>
                <w:lang w:eastAsia="en-AU"/>
              </w:rPr>
              <w:tab/>
            </w:r>
            <w:r w:rsidRPr="00D42D9A">
              <w:rPr>
                <w:rStyle w:val="Hyperlink"/>
                <w:noProof/>
              </w:rPr>
              <w:t>Interoperability</w:t>
            </w:r>
            <w:r>
              <w:rPr>
                <w:noProof/>
                <w:webHidden/>
              </w:rPr>
              <w:tab/>
            </w:r>
            <w:r>
              <w:rPr>
                <w:noProof/>
                <w:webHidden/>
              </w:rPr>
              <w:fldChar w:fldCharType="begin"/>
            </w:r>
            <w:r>
              <w:rPr>
                <w:noProof/>
                <w:webHidden/>
              </w:rPr>
              <w:instrText xml:space="preserve"> PAGEREF _Toc204787709 \h </w:instrText>
            </w:r>
            <w:r>
              <w:rPr>
                <w:noProof/>
                <w:webHidden/>
              </w:rPr>
            </w:r>
            <w:r>
              <w:rPr>
                <w:noProof/>
                <w:webHidden/>
              </w:rPr>
              <w:fldChar w:fldCharType="separate"/>
            </w:r>
            <w:r>
              <w:rPr>
                <w:noProof/>
                <w:webHidden/>
              </w:rPr>
              <w:t>15</w:t>
            </w:r>
            <w:r>
              <w:rPr>
                <w:noProof/>
                <w:webHidden/>
              </w:rPr>
              <w:fldChar w:fldCharType="end"/>
            </w:r>
          </w:hyperlink>
        </w:p>
        <w:p w14:paraId="15C55AF0" w14:textId="5AF3DB5B"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10" w:history="1">
            <w:r w:rsidRPr="00D42D9A">
              <w:rPr>
                <w:rStyle w:val="Hyperlink"/>
                <w:noProof/>
              </w:rPr>
              <w:t>4.4</w:t>
            </w:r>
            <w:r>
              <w:rPr>
                <w:rFonts w:eastAsiaTheme="minorEastAsia" w:cstheme="minorBidi"/>
                <w:i w:val="0"/>
                <w:iCs w:val="0"/>
                <w:noProof/>
                <w:sz w:val="24"/>
                <w:szCs w:val="24"/>
                <w:lang w:eastAsia="en-AU"/>
              </w:rPr>
              <w:tab/>
            </w:r>
            <w:r w:rsidRPr="00D42D9A">
              <w:rPr>
                <w:rStyle w:val="Hyperlink"/>
                <w:noProof/>
              </w:rPr>
              <w:t>Governance, Legal, Ethical</w:t>
            </w:r>
            <w:r>
              <w:rPr>
                <w:noProof/>
                <w:webHidden/>
              </w:rPr>
              <w:tab/>
            </w:r>
            <w:r>
              <w:rPr>
                <w:noProof/>
                <w:webHidden/>
              </w:rPr>
              <w:fldChar w:fldCharType="begin"/>
            </w:r>
            <w:r>
              <w:rPr>
                <w:noProof/>
                <w:webHidden/>
              </w:rPr>
              <w:instrText xml:space="preserve"> PAGEREF _Toc204787710 \h </w:instrText>
            </w:r>
            <w:r>
              <w:rPr>
                <w:noProof/>
                <w:webHidden/>
              </w:rPr>
            </w:r>
            <w:r>
              <w:rPr>
                <w:noProof/>
                <w:webHidden/>
              </w:rPr>
              <w:fldChar w:fldCharType="separate"/>
            </w:r>
            <w:r>
              <w:rPr>
                <w:noProof/>
                <w:webHidden/>
              </w:rPr>
              <w:t>16</w:t>
            </w:r>
            <w:r>
              <w:rPr>
                <w:noProof/>
                <w:webHidden/>
              </w:rPr>
              <w:fldChar w:fldCharType="end"/>
            </w:r>
          </w:hyperlink>
        </w:p>
        <w:p w14:paraId="4F3E5A6A" w14:textId="3DAC1691" w:rsidR="009A199D" w:rsidRDefault="009A199D">
          <w:pPr>
            <w:pStyle w:val="TOC1"/>
            <w:tabs>
              <w:tab w:val="left" w:pos="400"/>
              <w:tab w:val="right" w:leader="dot" w:pos="9016"/>
            </w:tabs>
            <w:rPr>
              <w:rFonts w:eastAsiaTheme="minorEastAsia" w:cstheme="minorBidi"/>
              <w:b w:val="0"/>
              <w:bCs w:val="0"/>
              <w:noProof/>
              <w:sz w:val="24"/>
              <w:szCs w:val="24"/>
              <w:lang w:eastAsia="en-AU"/>
            </w:rPr>
          </w:pPr>
          <w:hyperlink w:anchor="_Toc204787711" w:history="1">
            <w:r w:rsidRPr="00D42D9A">
              <w:rPr>
                <w:rStyle w:val="Hyperlink"/>
                <w:noProof/>
              </w:rPr>
              <w:t>5</w:t>
            </w:r>
            <w:r>
              <w:rPr>
                <w:rFonts w:eastAsiaTheme="minorEastAsia" w:cstheme="minorBidi"/>
                <w:b w:val="0"/>
                <w:bCs w:val="0"/>
                <w:noProof/>
                <w:sz w:val="24"/>
                <w:szCs w:val="24"/>
                <w:lang w:eastAsia="en-AU"/>
              </w:rPr>
              <w:tab/>
            </w:r>
            <w:r w:rsidRPr="00D42D9A">
              <w:rPr>
                <w:rStyle w:val="Hyperlink"/>
                <w:noProof/>
              </w:rPr>
              <w:t>Opportunities for improving sepsis data</w:t>
            </w:r>
            <w:r>
              <w:rPr>
                <w:noProof/>
                <w:webHidden/>
              </w:rPr>
              <w:tab/>
            </w:r>
            <w:r>
              <w:rPr>
                <w:noProof/>
                <w:webHidden/>
              </w:rPr>
              <w:fldChar w:fldCharType="begin"/>
            </w:r>
            <w:r>
              <w:rPr>
                <w:noProof/>
                <w:webHidden/>
              </w:rPr>
              <w:instrText xml:space="preserve"> PAGEREF _Toc204787711 \h </w:instrText>
            </w:r>
            <w:r>
              <w:rPr>
                <w:noProof/>
                <w:webHidden/>
              </w:rPr>
            </w:r>
            <w:r>
              <w:rPr>
                <w:noProof/>
                <w:webHidden/>
              </w:rPr>
              <w:fldChar w:fldCharType="separate"/>
            </w:r>
            <w:r>
              <w:rPr>
                <w:noProof/>
                <w:webHidden/>
              </w:rPr>
              <w:t>17</w:t>
            </w:r>
            <w:r>
              <w:rPr>
                <w:noProof/>
                <w:webHidden/>
              </w:rPr>
              <w:fldChar w:fldCharType="end"/>
            </w:r>
          </w:hyperlink>
        </w:p>
        <w:p w14:paraId="261F7B50" w14:textId="798274F4"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12" w:history="1">
            <w:r w:rsidRPr="00D42D9A">
              <w:rPr>
                <w:rStyle w:val="Hyperlink"/>
                <w:noProof/>
              </w:rPr>
              <w:t>5.1</w:t>
            </w:r>
            <w:r>
              <w:rPr>
                <w:rFonts w:eastAsiaTheme="minorEastAsia" w:cstheme="minorBidi"/>
                <w:i w:val="0"/>
                <w:iCs w:val="0"/>
                <w:noProof/>
                <w:sz w:val="24"/>
                <w:szCs w:val="24"/>
                <w:lang w:eastAsia="en-AU"/>
              </w:rPr>
              <w:tab/>
            </w:r>
            <w:r w:rsidRPr="00D42D9A">
              <w:rPr>
                <w:rStyle w:val="Hyperlink"/>
                <w:noProof/>
              </w:rPr>
              <w:t>Standardisation of Definitions</w:t>
            </w:r>
            <w:r>
              <w:rPr>
                <w:noProof/>
                <w:webHidden/>
              </w:rPr>
              <w:tab/>
            </w:r>
            <w:r>
              <w:rPr>
                <w:noProof/>
                <w:webHidden/>
              </w:rPr>
              <w:fldChar w:fldCharType="begin"/>
            </w:r>
            <w:r>
              <w:rPr>
                <w:noProof/>
                <w:webHidden/>
              </w:rPr>
              <w:instrText xml:space="preserve"> PAGEREF _Toc204787712 \h </w:instrText>
            </w:r>
            <w:r>
              <w:rPr>
                <w:noProof/>
                <w:webHidden/>
              </w:rPr>
            </w:r>
            <w:r>
              <w:rPr>
                <w:noProof/>
                <w:webHidden/>
              </w:rPr>
              <w:fldChar w:fldCharType="separate"/>
            </w:r>
            <w:r>
              <w:rPr>
                <w:noProof/>
                <w:webHidden/>
              </w:rPr>
              <w:t>17</w:t>
            </w:r>
            <w:r>
              <w:rPr>
                <w:noProof/>
                <w:webHidden/>
              </w:rPr>
              <w:fldChar w:fldCharType="end"/>
            </w:r>
          </w:hyperlink>
        </w:p>
        <w:p w14:paraId="20CA67A2" w14:textId="17133D16"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13" w:history="1">
            <w:r w:rsidRPr="00D42D9A">
              <w:rPr>
                <w:rStyle w:val="Hyperlink"/>
                <w:noProof/>
              </w:rPr>
              <w:t>5.2</w:t>
            </w:r>
            <w:r>
              <w:rPr>
                <w:rFonts w:eastAsiaTheme="minorEastAsia" w:cstheme="minorBidi"/>
                <w:i w:val="0"/>
                <w:iCs w:val="0"/>
                <w:noProof/>
                <w:sz w:val="24"/>
                <w:szCs w:val="24"/>
                <w:lang w:eastAsia="en-AU"/>
              </w:rPr>
              <w:tab/>
            </w:r>
            <w:r w:rsidRPr="00D42D9A">
              <w:rPr>
                <w:rStyle w:val="Hyperlink"/>
                <w:noProof/>
              </w:rPr>
              <w:t>Improving Clinical Documentation</w:t>
            </w:r>
            <w:r>
              <w:rPr>
                <w:noProof/>
                <w:webHidden/>
              </w:rPr>
              <w:tab/>
            </w:r>
            <w:r>
              <w:rPr>
                <w:noProof/>
                <w:webHidden/>
              </w:rPr>
              <w:fldChar w:fldCharType="begin"/>
            </w:r>
            <w:r>
              <w:rPr>
                <w:noProof/>
                <w:webHidden/>
              </w:rPr>
              <w:instrText xml:space="preserve"> PAGEREF _Toc204787713 \h </w:instrText>
            </w:r>
            <w:r>
              <w:rPr>
                <w:noProof/>
                <w:webHidden/>
              </w:rPr>
            </w:r>
            <w:r>
              <w:rPr>
                <w:noProof/>
                <w:webHidden/>
              </w:rPr>
              <w:fldChar w:fldCharType="separate"/>
            </w:r>
            <w:r>
              <w:rPr>
                <w:noProof/>
                <w:webHidden/>
              </w:rPr>
              <w:t>17</w:t>
            </w:r>
            <w:r>
              <w:rPr>
                <w:noProof/>
                <w:webHidden/>
              </w:rPr>
              <w:fldChar w:fldCharType="end"/>
            </w:r>
          </w:hyperlink>
        </w:p>
        <w:p w14:paraId="0FF674D7" w14:textId="2595EDA3"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14" w:history="1">
            <w:r w:rsidRPr="00D42D9A">
              <w:rPr>
                <w:rStyle w:val="Hyperlink"/>
                <w:noProof/>
              </w:rPr>
              <w:t>5.3</w:t>
            </w:r>
            <w:r>
              <w:rPr>
                <w:rFonts w:eastAsiaTheme="minorEastAsia" w:cstheme="minorBidi"/>
                <w:i w:val="0"/>
                <w:iCs w:val="0"/>
                <w:noProof/>
                <w:sz w:val="24"/>
                <w:szCs w:val="24"/>
                <w:lang w:eastAsia="en-AU"/>
              </w:rPr>
              <w:tab/>
            </w:r>
            <w:r w:rsidRPr="00D42D9A">
              <w:rPr>
                <w:rStyle w:val="Hyperlink"/>
                <w:noProof/>
              </w:rPr>
              <w:t>Reviewing Coding Practices</w:t>
            </w:r>
            <w:r>
              <w:rPr>
                <w:noProof/>
                <w:webHidden/>
              </w:rPr>
              <w:tab/>
            </w:r>
            <w:r>
              <w:rPr>
                <w:noProof/>
                <w:webHidden/>
              </w:rPr>
              <w:fldChar w:fldCharType="begin"/>
            </w:r>
            <w:r>
              <w:rPr>
                <w:noProof/>
                <w:webHidden/>
              </w:rPr>
              <w:instrText xml:space="preserve"> PAGEREF _Toc204787714 \h </w:instrText>
            </w:r>
            <w:r>
              <w:rPr>
                <w:noProof/>
                <w:webHidden/>
              </w:rPr>
            </w:r>
            <w:r>
              <w:rPr>
                <w:noProof/>
                <w:webHidden/>
              </w:rPr>
              <w:fldChar w:fldCharType="separate"/>
            </w:r>
            <w:r>
              <w:rPr>
                <w:noProof/>
                <w:webHidden/>
              </w:rPr>
              <w:t>17</w:t>
            </w:r>
            <w:r>
              <w:rPr>
                <w:noProof/>
                <w:webHidden/>
              </w:rPr>
              <w:fldChar w:fldCharType="end"/>
            </w:r>
          </w:hyperlink>
        </w:p>
        <w:p w14:paraId="7CED1E6A" w14:textId="03D141E9"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15" w:history="1">
            <w:r w:rsidRPr="00D42D9A">
              <w:rPr>
                <w:rStyle w:val="Hyperlink"/>
                <w:noProof/>
              </w:rPr>
              <w:t>5.4</w:t>
            </w:r>
            <w:r>
              <w:rPr>
                <w:rFonts w:eastAsiaTheme="minorEastAsia" w:cstheme="minorBidi"/>
                <w:i w:val="0"/>
                <w:iCs w:val="0"/>
                <w:noProof/>
                <w:sz w:val="24"/>
                <w:szCs w:val="24"/>
                <w:lang w:eastAsia="en-AU"/>
              </w:rPr>
              <w:tab/>
            </w:r>
            <w:r w:rsidRPr="00D42D9A">
              <w:rPr>
                <w:rStyle w:val="Hyperlink"/>
                <w:noProof/>
              </w:rPr>
              <w:t>Leveraging Snapshot Audits</w:t>
            </w:r>
            <w:r>
              <w:rPr>
                <w:noProof/>
                <w:webHidden/>
              </w:rPr>
              <w:tab/>
            </w:r>
            <w:r>
              <w:rPr>
                <w:noProof/>
                <w:webHidden/>
              </w:rPr>
              <w:fldChar w:fldCharType="begin"/>
            </w:r>
            <w:r>
              <w:rPr>
                <w:noProof/>
                <w:webHidden/>
              </w:rPr>
              <w:instrText xml:space="preserve"> PAGEREF _Toc204787715 \h </w:instrText>
            </w:r>
            <w:r>
              <w:rPr>
                <w:noProof/>
                <w:webHidden/>
              </w:rPr>
            </w:r>
            <w:r>
              <w:rPr>
                <w:noProof/>
                <w:webHidden/>
              </w:rPr>
              <w:fldChar w:fldCharType="separate"/>
            </w:r>
            <w:r>
              <w:rPr>
                <w:noProof/>
                <w:webHidden/>
              </w:rPr>
              <w:t>18</w:t>
            </w:r>
            <w:r>
              <w:rPr>
                <w:noProof/>
                <w:webHidden/>
              </w:rPr>
              <w:fldChar w:fldCharType="end"/>
            </w:r>
          </w:hyperlink>
        </w:p>
        <w:p w14:paraId="2FB4BF32" w14:textId="0959F795"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16" w:history="1">
            <w:r w:rsidRPr="00D42D9A">
              <w:rPr>
                <w:rStyle w:val="Hyperlink"/>
                <w:noProof/>
              </w:rPr>
              <w:t>5.5</w:t>
            </w:r>
            <w:r>
              <w:rPr>
                <w:rFonts w:eastAsiaTheme="minorEastAsia" w:cstheme="minorBidi"/>
                <w:i w:val="0"/>
                <w:iCs w:val="0"/>
                <w:noProof/>
                <w:sz w:val="24"/>
                <w:szCs w:val="24"/>
                <w:lang w:eastAsia="en-AU"/>
              </w:rPr>
              <w:tab/>
            </w:r>
            <w:r w:rsidRPr="00D42D9A">
              <w:rPr>
                <w:rStyle w:val="Hyperlink"/>
                <w:noProof/>
              </w:rPr>
              <w:t>Moving towards data linkage</w:t>
            </w:r>
            <w:r>
              <w:rPr>
                <w:noProof/>
                <w:webHidden/>
              </w:rPr>
              <w:tab/>
            </w:r>
            <w:r>
              <w:rPr>
                <w:noProof/>
                <w:webHidden/>
              </w:rPr>
              <w:fldChar w:fldCharType="begin"/>
            </w:r>
            <w:r>
              <w:rPr>
                <w:noProof/>
                <w:webHidden/>
              </w:rPr>
              <w:instrText xml:space="preserve"> PAGEREF _Toc204787716 \h </w:instrText>
            </w:r>
            <w:r>
              <w:rPr>
                <w:noProof/>
                <w:webHidden/>
              </w:rPr>
            </w:r>
            <w:r>
              <w:rPr>
                <w:noProof/>
                <w:webHidden/>
              </w:rPr>
              <w:fldChar w:fldCharType="separate"/>
            </w:r>
            <w:r>
              <w:rPr>
                <w:noProof/>
                <w:webHidden/>
              </w:rPr>
              <w:t>19</w:t>
            </w:r>
            <w:r>
              <w:rPr>
                <w:noProof/>
                <w:webHidden/>
              </w:rPr>
              <w:fldChar w:fldCharType="end"/>
            </w:r>
          </w:hyperlink>
        </w:p>
        <w:p w14:paraId="4417B037" w14:textId="364461B7"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17" w:history="1">
            <w:r w:rsidRPr="00D42D9A">
              <w:rPr>
                <w:rStyle w:val="Hyperlink"/>
                <w:noProof/>
              </w:rPr>
              <w:t>5.6</w:t>
            </w:r>
            <w:r>
              <w:rPr>
                <w:rFonts w:eastAsiaTheme="minorEastAsia" w:cstheme="minorBidi"/>
                <w:i w:val="0"/>
                <w:iCs w:val="0"/>
                <w:noProof/>
                <w:sz w:val="24"/>
                <w:szCs w:val="24"/>
                <w:lang w:eastAsia="en-AU"/>
              </w:rPr>
              <w:tab/>
            </w:r>
            <w:r w:rsidRPr="00D42D9A">
              <w:rPr>
                <w:rStyle w:val="Hyperlink"/>
                <w:noProof/>
              </w:rPr>
              <w:t>Reviewing Existing Patient Measures and Identifying Gaps</w:t>
            </w:r>
            <w:r>
              <w:rPr>
                <w:noProof/>
                <w:webHidden/>
              </w:rPr>
              <w:tab/>
            </w:r>
            <w:r>
              <w:rPr>
                <w:noProof/>
                <w:webHidden/>
              </w:rPr>
              <w:fldChar w:fldCharType="begin"/>
            </w:r>
            <w:r>
              <w:rPr>
                <w:noProof/>
                <w:webHidden/>
              </w:rPr>
              <w:instrText xml:space="preserve"> PAGEREF _Toc204787717 \h </w:instrText>
            </w:r>
            <w:r>
              <w:rPr>
                <w:noProof/>
                <w:webHidden/>
              </w:rPr>
            </w:r>
            <w:r>
              <w:rPr>
                <w:noProof/>
                <w:webHidden/>
              </w:rPr>
              <w:fldChar w:fldCharType="separate"/>
            </w:r>
            <w:r>
              <w:rPr>
                <w:noProof/>
                <w:webHidden/>
              </w:rPr>
              <w:t>19</w:t>
            </w:r>
            <w:r>
              <w:rPr>
                <w:noProof/>
                <w:webHidden/>
              </w:rPr>
              <w:fldChar w:fldCharType="end"/>
            </w:r>
          </w:hyperlink>
        </w:p>
        <w:p w14:paraId="5BCFF9A8" w14:textId="66387751"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18" w:history="1">
            <w:r w:rsidRPr="00D42D9A">
              <w:rPr>
                <w:rStyle w:val="Hyperlink"/>
                <w:noProof/>
              </w:rPr>
              <w:t>5.7</w:t>
            </w:r>
            <w:r>
              <w:rPr>
                <w:rFonts w:eastAsiaTheme="minorEastAsia" w:cstheme="minorBidi"/>
                <w:i w:val="0"/>
                <w:iCs w:val="0"/>
                <w:noProof/>
                <w:sz w:val="24"/>
                <w:szCs w:val="24"/>
                <w:lang w:eastAsia="en-AU"/>
              </w:rPr>
              <w:tab/>
            </w:r>
            <w:r w:rsidRPr="00D42D9A">
              <w:rPr>
                <w:rStyle w:val="Hyperlink"/>
                <w:noProof/>
              </w:rPr>
              <w:t>Advanced Analytics</w:t>
            </w:r>
            <w:r>
              <w:rPr>
                <w:noProof/>
                <w:webHidden/>
              </w:rPr>
              <w:tab/>
            </w:r>
            <w:r>
              <w:rPr>
                <w:noProof/>
                <w:webHidden/>
              </w:rPr>
              <w:fldChar w:fldCharType="begin"/>
            </w:r>
            <w:r>
              <w:rPr>
                <w:noProof/>
                <w:webHidden/>
              </w:rPr>
              <w:instrText xml:space="preserve"> PAGEREF _Toc204787718 \h </w:instrText>
            </w:r>
            <w:r>
              <w:rPr>
                <w:noProof/>
                <w:webHidden/>
              </w:rPr>
            </w:r>
            <w:r>
              <w:rPr>
                <w:noProof/>
                <w:webHidden/>
              </w:rPr>
              <w:fldChar w:fldCharType="separate"/>
            </w:r>
            <w:r>
              <w:rPr>
                <w:noProof/>
                <w:webHidden/>
              </w:rPr>
              <w:t>20</w:t>
            </w:r>
            <w:r>
              <w:rPr>
                <w:noProof/>
                <w:webHidden/>
              </w:rPr>
              <w:fldChar w:fldCharType="end"/>
            </w:r>
          </w:hyperlink>
        </w:p>
        <w:p w14:paraId="54A98D67" w14:textId="67647248"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19" w:history="1">
            <w:r w:rsidRPr="00D42D9A">
              <w:rPr>
                <w:rStyle w:val="Hyperlink"/>
                <w:noProof/>
              </w:rPr>
              <w:t>5.8</w:t>
            </w:r>
            <w:r>
              <w:rPr>
                <w:rFonts w:eastAsiaTheme="minorEastAsia" w:cstheme="minorBidi"/>
                <w:i w:val="0"/>
                <w:iCs w:val="0"/>
                <w:noProof/>
                <w:sz w:val="24"/>
                <w:szCs w:val="24"/>
                <w:lang w:eastAsia="en-AU"/>
              </w:rPr>
              <w:tab/>
            </w:r>
            <w:r w:rsidRPr="00D42D9A">
              <w:rPr>
                <w:rStyle w:val="Hyperlink"/>
                <w:noProof/>
              </w:rPr>
              <w:t>Comparative Initiatives and National Datasets</w:t>
            </w:r>
            <w:r>
              <w:rPr>
                <w:noProof/>
                <w:webHidden/>
              </w:rPr>
              <w:tab/>
            </w:r>
            <w:r>
              <w:rPr>
                <w:noProof/>
                <w:webHidden/>
              </w:rPr>
              <w:fldChar w:fldCharType="begin"/>
            </w:r>
            <w:r>
              <w:rPr>
                <w:noProof/>
                <w:webHidden/>
              </w:rPr>
              <w:instrText xml:space="preserve"> PAGEREF _Toc204787719 \h </w:instrText>
            </w:r>
            <w:r>
              <w:rPr>
                <w:noProof/>
                <w:webHidden/>
              </w:rPr>
            </w:r>
            <w:r>
              <w:rPr>
                <w:noProof/>
                <w:webHidden/>
              </w:rPr>
              <w:fldChar w:fldCharType="separate"/>
            </w:r>
            <w:r>
              <w:rPr>
                <w:noProof/>
                <w:webHidden/>
              </w:rPr>
              <w:t>21</w:t>
            </w:r>
            <w:r>
              <w:rPr>
                <w:noProof/>
                <w:webHidden/>
              </w:rPr>
              <w:fldChar w:fldCharType="end"/>
            </w:r>
          </w:hyperlink>
        </w:p>
        <w:p w14:paraId="07A28D6D" w14:textId="5CF693C9"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20" w:history="1">
            <w:r w:rsidRPr="00D42D9A">
              <w:rPr>
                <w:rStyle w:val="Hyperlink"/>
                <w:noProof/>
              </w:rPr>
              <w:t>5.9</w:t>
            </w:r>
            <w:r>
              <w:rPr>
                <w:rFonts w:eastAsiaTheme="minorEastAsia" w:cstheme="minorBidi"/>
                <w:i w:val="0"/>
                <w:iCs w:val="0"/>
                <w:noProof/>
                <w:sz w:val="24"/>
                <w:szCs w:val="24"/>
                <w:lang w:eastAsia="en-AU"/>
              </w:rPr>
              <w:tab/>
            </w:r>
            <w:r w:rsidRPr="00D42D9A">
              <w:rPr>
                <w:rStyle w:val="Hyperlink"/>
                <w:noProof/>
              </w:rPr>
              <w:t>Realising Improved Data Maturity</w:t>
            </w:r>
            <w:r>
              <w:rPr>
                <w:noProof/>
                <w:webHidden/>
              </w:rPr>
              <w:tab/>
            </w:r>
            <w:r>
              <w:rPr>
                <w:noProof/>
                <w:webHidden/>
              </w:rPr>
              <w:fldChar w:fldCharType="begin"/>
            </w:r>
            <w:r>
              <w:rPr>
                <w:noProof/>
                <w:webHidden/>
              </w:rPr>
              <w:instrText xml:space="preserve"> PAGEREF _Toc204787720 \h </w:instrText>
            </w:r>
            <w:r>
              <w:rPr>
                <w:noProof/>
                <w:webHidden/>
              </w:rPr>
            </w:r>
            <w:r>
              <w:rPr>
                <w:noProof/>
                <w:webHidden/>
              </w:rPr>
              <w:fldChar w:fldCharType="separate"/>
            </w:r>
            <w:r>
              <w:rPr>
                <w:noProof/>
                <w:webHidden/>
              </w:rPr>
              <w:t>22</w:t>
            </w:r>
            <w:r>
              <w:rPr>
                <w:noProof/>
                <w:webHidden/>
              </w:rPr>
              <w:fldChar w:fldCharType="end"/>
            </w:r>
          </w:hyperlink>
        </w:p>
        <w:p w14:paraId="02183C62" w14:textId="10BD00F5" w:rsidR="009A199D" w:rsidRDefault="009A199D">
          <w:pPr>
            <w:pStyle w:val="TOC2"/>
            <w:tabs>
              <w:tab w:val="left" w:pos="1000"/>
              <w:tab w:val="right" w:leader="dot" w:pos="9016"/>
            </w:tabs>
            <w:rPr>
              <w:rFonts w:eastAsiaTheme="minorEastAsia" w:cstheme="minorBidi"/>
              <w:i w:val="0"/>
              <w:iCs w:val="0"/>
              <w:noProof/>
              <w:sz w:val="24"/>
              <w:szCs w:val="24"/>
              <w:lang w:eastAsia="en-AU"/>
            </w:rPr>
          </w:pPr>
          <w:hyperlink w:anchor="_Toc204787721" w:history="1">
            <w:r w:rsidRPr="00D42D9A">
              <w:rPr>
                <w:rStyle w:val="Hyperlink"/>
                <w:noProof/>
              </w:rPr>
              <w:t>5.10</w:t>
            </w:r>
            <w:r>
              <w:rPr>
                <w:rFonts w:eastAsiaTheme="minorEastAsia" w:cstheme="minorBidi"/>
                <w:i w:val="0"/>
                <w:iCs w:val="0"/>
                <w:noProof/>
                <w:sz w:val="24"/>
                <w:szCs w:val="24"/>
                <w:lang w:eastAsia="en-AU"/>
              </w:rPr>
              <w:tab/>
            </w:r>
            <w:r w:rsidRPr="00D42D9A">
              <w:rPr>
                <w:rStyle w:val="Hyperlink"/>
                <w:noProof/>
              </w:rPr>
              <w:t>Post-Sepsis</w:t>
            </w:r>
            <w:r>
              <w:rPr>
                <w:noProof/>
                <w:webHidden/>
              </w:rPr>
              <w:tab/>
            </w:r>
            <w:r>
              <w:rPr>
                <w:noProof/>
                <w:webHidden/>
              </w:rPr>
              <w:fldChar w:fldCharType="begin"/>
            </w:r>
            <w:r>
              <w:rPr>
                <w:noProof/>
                <w:webHidden/>
              </w:rPr>
              <w:instrText xml:space="preserve"> PAGEREF _Toc204787721 \h </w:instrText>
            </w:r>
            <w:r>
              <w:rPr>
                <w:noProof/>
                <w:webHidden/>
              </w:rPr>
            </w:r>
            <w:r>
              <w:rPr>
                <w:noProof/>
                <w:webHidden/>
              </w:rPr>
              <w:fldChar w:fldCharType="separate"/>
            </w:r>
            <w:r>
              <w:rPr>
                <w:noProof/>
                <w:webHidden/>
              </w:rPr>
              <w:t>23</w:t>
            </w:r>
            <w:r>
              <w:rPr>
                <w:noProof/>
                <w:webHidden/>
              </w:rPr>
              <w:fldChar w:fldCharType="end"/>
            </w:r>
          </w:hyperlink>
        </w:p>
        <w:p w14:paraId="76D12E66" w14:textId="010B2D26" w:rsidR="009A199D" w:rsidRDefault="009A199D">
          <w:pPr>
            <w:pStyle w:val="TOC1"/>
            <w:tabs>
              <w:tab w:val="left" w:pos="400"/>
              <w:tab w:val="right" w:leader="dot" w:pos="9016"/>
            </w:tabs>
            <w:rPr>
              <w:rFonts w:eastAsiaTheme="minorEastAsia" w:cstheme="minorBidi"/>
              <w:b w:val="0"/>
              <w:bCs w:val="0"/>
              <w:noProof/>
              <w:sz w:val="24"/>
              <w:szCs w:val="24"/>
              <w:lang w:eastAsia="en-AU"/>
            </w:rPr>
          </w:pPr>
          <w:hyperlink w:anchor="_Toc204787722" w:history="1">
            <w:r w:rsidRPr="00D42D9A">
              <w:rPr>
                <w:rStyle w:val="Hyperlink"/>
                <w:noProof/>
              </w:rPr>
              <w:t>6</w:t>
            </w:r>
            <w:r>
              <w:rPr>
                <w:rFonts w:eastAsiaTheme="minorEastAsia" w:cstheme="minorBidi"/>
                <w:b w:val="0"/>
                <w:bCs w:val="0"/>
                <w:noProof/>
                <w:sz w:val="24"/>
                <w:szCs w:val="24"/>
                <w:lang w:eastAsia="en-AU"/>
              </w:rPr>
              <w:tab/>
            </w:r>
            <w:r w:rsidRPr="00D42D9A">
              <w:rPr>
                <w:rStyle w:val="Hyperlink"/>
                <w:noProof/>
              </w:rPr>
              <w:t>The future of sepsis data</w:t>
            </w:r>
            <w:r>
              <w:rPr>
                <w:noProof/>
                <w:webHidden/>
              </w:rPr>
              <w:tab/>
            </w:r>
            <w:r>
              <w:rPr>
                <w:noProof/>
                <w:webHidden/>
              </w:rPr>
              <w:fldChar w:fldCharType="begin"/>
            </w:r>
            <w:r>
              <w:rPr>
                <w:noProof/>
                <w:webHidden/>
              </w:rPr>
              <w:instrText xml:space="preserve"> PAGEREF _Toc204787722 \h </w:instrText>
            </w:r>
            <w:r>
              <w:rPr>
                <w:noProof/>
                <w:webHidden/>
              </w:rPr>
            </w:r>
            <w:r>
              <w:rPr>
                <w:noProof/>
                <w:webHidden/>
              </w:rPr>
              <w:fldChar w:fldCharType="separate"/>
            </w:r>
            <w:r>
              <w:rPr>
                <w:noProof/>
                <w:webHidden/>
              </w:rPr>
              <w:t>25</w:t>
            </w:r>
            <w:r>
              <w:rPr>
                <w:noProof/>
                <w:webHidden/>
              </w:rPr>
              <w:fldChar w:fldCharType="end"/>
            </w:r>
          </w:hyperlink>
        </w:p>
        <w:p w14:paraId="51EE051A" w14:textId="52E5C942"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23" w:history="1">
            <w:r w:rsidRPr="00D42D9A">
              <w:rPr>
                <w:rStyle w:val="Hyperlink"/>
                <w:noProof/>
              </w:rPr>
              <w:t>6.1</w:t>
            </w:r>
            <w:r>
              <w:rPr>
                <w:rFonts w:eastAsiaTheme="minorEastAsia" w:cstheme="minorBidi"/>
                <w:i w:val="0"/>
                <w:iCs w:val="0"/>
                <w:noProof/>
                <w:sz w:val="24"/>
                <w:szCs w:val="24"/>
                <w:lang w:eastAsia="en-AU"/>
              </w:rPr>
              <w:tab/>
            </w:r>
            <w:r w:rsidRPr="00D42D9A">
              <w:rPr>
                <w:rStyle w:val="Hyperlink"/>
                <w:noProof/>
              </w:rPr>
              <w:t>Overview</w:t>
            </w:r>
            <w:r>
              <w:rPr>
                <w:noProof/>
                <w:webHidden/>
              </w:rPr>
              <w:tab/>
            </w:r>
            <w:r>
              <w:rPr>
                <w:noProof/>
                <w:webHidden/>
              </w:rPr>
              <w:fldChar w:fldCharType="begin"/>
            </w:r>
            <w:r>
              <w:rPr>
                <w:noProof/>
                <w:webHidden/>
              </w:rPr>
              <w:instrText xml:space="preserve"> PAGEREF _Toc204787723 \h </w:instrText>
            </w:r>
            <w:r>
              <w:rPr>
                <w:noProof/>
                <w:webHidden/>
              </w:rPr>
            </w:r>
            <w:r>
              <w:rPr>
                <w:noProof/>
                <w:webHidden/>
              </w:rPr>
              <w:fldChar w:fldCharType="separate"/>
            </w:r>
            <w:r>
              <w:rPr>
                <w:noProof/>
                <w:webHidden/>
              </w:rPr>
              <w:t>25</w:t>
            </w:r>
            <w:r>
              <w:rPr>
                <w:noProof/>
                <w:webHidden/>
              </w:rPr>
              <w:fldChar w:fldCharType="end"/>
            </w:r>
          </w:hyperlink>
        </w:p>
        <w:p w14:paraId="3346A591" w14:textId="0498F5B9"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24" w:history="1">
            <w:r w:rsidRPr="00D42D9A">
              <w:rPr>
                <w:rStyle w:val="Hyperlink"/>
                <w:noProof/>
              </w:rPr>
              <w:t>6.2</w:t>
            </w:r>
            <w:r>
              <w:rPr>
                <w:rFonts w:eastAsiaTheme="minorEastAsia" w:cstheme="minorBidi"/>
                <w:i w:val="0"/>
                <w:iCs w:val="0"/>
                <w:noProof/>
                <w:sz w:val="24"/>
                <w:szCs w:val="24"/>
                <w:lang w:eastAsia="en-AU"/>
              </w:rPr>
              <w:tab/>
            </w:r>
            <w:r w:rsidRPr="00D42D9A">
              <w:rPr>
                <w:rStyle w:val="Hyperlink"/>
                <w:noProof/>
              </w:rPr>
              <w:t>Strategic Pillars</w:t>
            </w:r>
            <w:r>
              <w:rPr>
                <w:noProof/>
                <w:webHidden/>
              </w:rPr>
              <w:tab/>
            </w:r>
            <w:r>
              <w:rPr>
                <w:noProof/>
                <w:webHidden/>
              </w:rPr>
              <w:fldChar w:fldCharType="begin"/>
            </w:r>
            <w:r>
              <w:rPr>
                <w:noProof/>
                <w:webHidden/>
              </w:rPr>
              <w:instrText xml:space="preserve"> PAGEREF _Toc204787724 \h </w:instrText>
            </w:r>
            <w:r>
              <w:rPr>
                <w:noProof/>
                <w:webHidden/>
              </w:rPr>
            </w:r>
            <w:r>
              <w:rPr>
                <w:noProof/>
                <w:webHidden/>
              </w:rPr>
              <w:fldChar w:fldCharType="separate"/>
            </w:r>
            <w:r>
              <w:rPr>
                <w:noProof/>
                <w:webHidden/>
              </w:rPr>
              <w:t>26</w:t>
            </w:r>
            <w:r>
              <w:rPr>
                <w:noProof/>
                <w:webHidden/>
              </w:rPr>
              <w:fldChar w:fldCharType="end"/>
            </w:r>
          </w:hyperlink>
        </w:p>
        <w:p w14:paraId="384A6D77" w14:textId="4BA6F1F4"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25" w:history="1">
            <w:r w:rsidRPr="00D42D9A">
              <w:rPr>
                <w:rStyle w:val="Hyperlink"/>
                <w:noProof/>
              </w:rPr>
              <w:t>6.3</w:t>
            </w:r>
            <w:r>
              <w:rPr>
                <w:rFonts w:eastAsiaTheme="minorEastAsia" w:cstheme="minorBidi"/>
                <w:i w:val="0"/>
                <w:iCs w:val="0"/>
                <w:noProof/>
                <w:sz w:val="24"/>
                <w:szCs w:val="24"/>
                <w:lang w:eastAsia="en-AU"/>
              </w:rPr>
              <w:tab/>
            </w:r>
            <w:r w:rsidRPr="00D42D9A">
              <w:rPr>
                <w:rStyle w:val="Hyperlink"/>
                <w:noProof/>
              </w:rPr>
              <w:t>Enabling Factors</w:t>
            </w:r>
            <w:r>
              <w:rPr>
                <w:noProof/>
                <w:webHidden/>
              </w:rPr>
              <w:tab/>
            </w:r>
            <w:r>
              <w:rPr>
                <w:noProof/>
                <w:webHidden/>
              </w:rPr>
              <w:fldChar w:fldCharType="begin"/>
            </w:r>
            <w:r>
              <w:rPr>
                <w:noProof/>
                <w:webHidden/>
              </w:rPr>
              <w:instrText xml:space="preserve"> PAGEREF _Toc204787725 \h </w:instrText>
            </w:r>
            <w:r>
              <w:rPr>
                <w:noProof/>
                <w:webHidden/>
              </w:rPr>
            </w:r>
            <w:r>
              <w:rPr>
                <w:noProof/>
                <w:webHidden/>
              </w:rPr>
              <w:fldChar w:fldCharType="separate"/>
            </w:r>
            <w:r>
              <w:rPr>
                <w:noProof/>
                <w:webHidden/>
              </w:rPr>
              <w:t>28</w:t>
            </w:r>
            <w:r>
              <w:rPr>
                <w:noProof/>
                <w:webHidden/>
              </w:rPr>
              <w:fldChar w:fldCharType="end"/>
            </w:r>
          </w:hyperlink>
        </w:p>
        <w:p w14:paraId="1A563424" w14:textId="48F6E286"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26" w:history="1">
            <w:r w:rsidRPr="00D42D9A">
              <w:rPr>
                <w:rStyle w:val="Hyperlink"/>
                <w:noProof/>
              </w:rPr>
              <w:t>6.4</w:t>
            </w:r>
            <w:r>
              <w:rPr>
                <w:rFonts w:eastAsiaTheme="minorEastAsia" w:cstheme="minorBidi"/>
                <w:i w:val="0"/>
                <w:iCs w:val="0"/>
                <w:noProof/>
                <w:sz w:val="24"/>
                <w:szCs w:val="24"/>
                <w:lang w:eastAsia="en-AU"/>
              </w:rPr>
              <w:tab/>
            </w:r>
            <w:r w:rsidRPr="00D42D9A">
              <w:rPr>
                <w:rStyle w:val="Hyperlink"/>
                <w:noProof/>
              </w:rPr>
              <w:t>Strategy Plan</w:t>
            </w:r>
            <w:r>
              <w:rPr>
                <w:noProof/>
                <w:webHidden/>
              </w:rPr>
              <w:tab/>
            </w:r>
            <w:r>
              <w:rPr>
                <w:noProof/>
                <w:webHidden/>
              </w:rPr>
              <w:fldChar w:fldCharType="begin"/>
            </w:r>
            <w:r>
              <w:rPr>
                <w:noProof/>
                <w:webHidden/>
              </w:rPr>
              <w:instrText xml:space="preserve"> PAGEREF _Toc204787726 \h </w:instrText>
            </w:r>
            <w:r>
              <w:rPr>
                <w:noProof/>
                <w:webHidden/>
              </w:rPr>
            </w:r>
            <w:r>
              <w:rPr>
                <w:noProof/>
                <w:webHidden/>
              </w:rPr>
              <w:fldChar w:fldCharType="separate"/>
            </w:r>
            <w:r>
              <w:rPr>
                <w:noProof/>
                <w:webHidden/>
              </w:rPr>
              <w:t>30</w:t>
            </w:r>
            <w:r>
              <w:rPr>
                <w:noProof/>
                <w:webHidden/>
              </w:rPr>
              <w:fldChar w:fldCharType="end"/>
            </w:r>
          </w:hyperlink>
        </w:p>
        <w:p w14:paraId="781B0E9C" w14:textId="08334FF0" w:rsidR="009A199D" w:rsidRDefault="009A199D">
          <w:pPr>
            <w:pStyle w:val="TOC1"/>
            <w:tabs>
              <w:tab w:val="left" w:pos="400"/>
              <w:tab w:val="right" w:leader="dot" w:pos="9016"/>
            </w:tabs>
            <w:rPr>
              <w:rFonts w:eastAsiaTheme="minorEastAsia" w:cstheme="minorBidi"/>
              <w:b w:val="0"/>
              <w:bCs w:val="0"/>
              <w:noProof/>
              <w:sz w:val="24"/>
              <w:szCs w:val="24"/>
              <w:lang w:eastAsia="en-AU"/>
            </w:rPr>
          </w:pPr>
          <w:hyperlink w:anchor="_Toc204787727" w:history="1">
            <w:r w:rsidRPr="00D42D9A">
              <w:rPr>
                <w:rStyle w:val="Hyperlink"/>
                <w:noProof/>
              </w:rPr>
              <w:t>7</w:t>
            </w:r>
            <w:r>
              <w:rPr>
                <w:rFonts w:eastAsiaTheme="minorEastAsia" w:cstheme="minorBidi"/>
                <w:b w:val="0"/>
                <w:bCs w:val="0"/>
                <w:noProof/>
                <w:sz w:val="24"/>
                <w:szCs w:val="24"/>
                <w:lang w:eastAsia="en-AU"/>
              </w:rPr>
              <w:tab/>
            </w:r>
            <w:r w:rsidRPr="00D42D9A">
              <w:rPr>
                <w:rStyle w:val="Hyperlink"/>
                <w:noProof/>
              </w:rPr>
              <w:t>Conclusion</w:t>
            </w:r>
            <w:r>
              <w:rPr>
                <w:noProof/>
                <w:webHidden/>
              </w:rPr>
              <w:tab/>
            </w:r>
            <w:r>
              <w:rPr>
                <w:noProof/>
                <w:webHidden/>
              </w:rPr>
              <w:fldChar w:fldCharType="begin"/>
            </w:r>
            <w:r>
              <w:rPr>
                <w:noProof/>
                <w:webHidden/>
              </w:rPr>
              <w:instrText xml:space="preserve"> PAGEREF _Toc204787727 \h </w:instrText>
            </w:r>
            <w:r>
              <w:rPr>
                <w:noProof/>
                <w:webHidden/>
              </w:rPr>
            </w:r>
            <w:r>
              <w:rPr>
                <w:noProof/>
                <w:webHidden/>
              </w:rPr>
              <w:fldChar w:fldCharType="separate"/>
            </w:r>
            <w:r>
              <w:rPr>
                <w:noProof/>
                <w:webHidden/>
              </w:rPr>
              <w:t>31</w:t>
            </w:r>
            <w:r>
              <w:rPr>
                <w:noProof/>
                <w:webHidden/>
              </w:rPr>
              <w:fldChar w:fldCharType="end"/>
            </w:r>
          </w:hyperlink>
        </w:p>
        <w:p w14:paraId="410C6617" w14:textId="77B793E9" w:rsidR="009A199D" w:rsidRDefault="009A199D">
          <w:pPr>
            <w:pStyle w:val="TOC1"/>
            <w:tabs>
              <w:tab w:val="left" w:pos="400"/>
              <w:tab w:val="right" w:leader="dot" w:pos="9016"/>
            </w:tabs>
            <w:rPr>
              <w:rFonts w:eastAsiaTheme="minorEastAsia" w:cstheme="minorBidi"/>
              <w:b w:val="0"/>
              <w:bCs w:val="0"/>
              <w:noProof/>
              <w:sz w:val="24"/>
              <w:szCs w:val="24"/>
              <w:lang w:eastAsia="en-AU"/>
            </w:rPr>
          </w:pPr>
          <w:hyperlink w:anchor="_Toc204787728" w:history="1">
            <w:r w:rsidRPr="00D42D9A">
              <w:rPr>
                <w:rStyle w:val="Hyperlink"/>
                <w:noProof/>
              </w:rPr>
              <w:t>8</w:t>
            </w:r>
            <w:r>
              <w:rPr>
                <w:rFonts w:eastAsiaTheme="minorEastAsia" w:cstheme="minorBidi"/>
                <w:b w:val="0"/>
                <w:bCs w:val="0"/>
                <w:noProof/>
                <w:sz w:val="24"/>
                <w:szCs w:val="24"/>
                <w:lang w:eastAsia="en-AU"/>
              </w:rPr>
              <w:tab/>
            </w:r>
            <w:r w:rsidRPr="00D42D9A">
              <w:rPr>
                <w:rStyle w:val="Hyperlink"/>
                <w:noProof/>
              </w:rPr>
              <w:t>Appendix A Methodology</w:t>
            </w:r>
            <w:r>
              <w:rPr>
                <w:noProof/>
                <w:webHidden/>
              </w:rPr>
              <w:tab/>
            </w:r>
            <w:r>
              <w:rPr>
                <w:noProof/>
                <w:webHidden/>
              </w:rPr>
              <w:fldChar w:fldCharType="begin"/>
            </w:r>
            <w:r>
              <w:rPr>
                <w:noProof/>
                <w:webHidden/>
              </w:rPr>
              <w:instrText xml:space="preserve"> PAGEREF _Toc204787728 \h </w:instrText>
            </w:r>
            <w:r>
              <w:rPr>
                <w:noProof/>
                <w:webHidden/>
              </w:rPr>
            </w:r>
            <w:r>
              <w:rPr>
                <w:noProof/>
                <w:webHidden/>
              </w:rPr>
              <w:fldChar w:fldCharType="separate"/>
            </w:r>
            <w:r>
              <w:rPr>
                <w:noProof/>
                <w:webHidden/>
              </w:rPr>
              <w:t>32</w:t>
            </w:r>
            <w:r>
              <w:rPr>
                <w:noProof/>
                <w:webHidden/>
              </w:rPr>
              <w:fldChar w:fldCharType="end"/>
            </w:r>
          </w:hyperlink>
        </w:p>
        <w:p w14:paraId="13B55E18" w14:textId="497120CE" w:rsidR="009A199D" w:rsidRDefault="009A199D">
          <w:pPr>
            <w:pStyle w:val="TOC1"/>
            <w:tabs>
              <w:tab w:val="left" w:pos="400"/>
              <w:tab w:val="right" w:leader="dot" w:pos="9016"/>
            </w:tabs>
            <w:rPr>
              <w:rFonts w:eastAsiaTheme="minorEastAsia" w:cstheme="minorBidi"/>
              <w:b w:val="0"/>
              <w:bCs w:val="0"/>
              <w:noProof/>
              <w:sz w:val="24"/>
              <w:szCs w:val="24"/>
              <w:lang w:eastAsia="en-AU"/>
            </w:rPr>
          </w:pPr>
          <w:hyperlink w:anchor="_Toc204787729" w:history="1">
            <w:r w:rsidRPr="00D42D9A">
              <w:rPr>
                <w:rStyle w:val="Hyperlink"/>
                <w:noProof/>
              </w:rPr>
              <w:t>9</w:t>
            </w:r>
            <w:r>
              <w:rPr>
                <w:rFonts w:eastAsiaTheme="minorEastAsia" w:cstheme="minorBidi"/>
                <w:b w:val="0"/>
                <w:bCs w:val="0"/>
                <w:noProof/>
                <w:sz w:val="24"/>
                <w:szCs w:val="24"/>
                <w:lang w:eastAsia="en-AU"/>
              </w:rPr>
              <w:tab/>
            </w:r>
            <w:r w:rsidRPr="00D42D9A">
              <w:rPr>
                <w:rStyle w:val="Hyperlink"/>
                <w:noProof/>
              </w:rPr>
              <w:t>Appendix B Data Gap Analysis</w:t>
            </w:r>
            <w:r>
              <w:rPr>
                <w:noProof/>
                <w:webHidden/>
              </w:rPr>
              <w:tab/>
            </w:r>
            <w:r>
              <w:rPr>
                <w:noProof/>
                <w:webHidden/>
              </w:rPr>
              <w:fldChar w:fldCharType="begin"/>
            </w:r>
            <w:r>
              <w:rPr>
                <w:noProof/>
                <w:webHidden/>
              </w:rPr>
              <w:instrText xml:space="preserve"> PAGEREF _Toc204787729 \h </w:instrText>
            </w:r>
            <w:r>
              <w:rPr>
                <w:noProof/>
                <w:webHidden/>
              </w:rPr>
            </w:r>
            <w:r>
              <w:rPr>
                <w:noProof/>
                <w:webHidden/>
              </w:rPr>
              <w:fldChar w:fldCharType="separate"/>
            </w:r>
            <w:r>
              <w:rPr>
                <w:noProof/>
                <w:webHidden/>
              </w:rPr>
              <w:t>34</w:t>
            </w:r>
            <w:r>
              <w:rPr>
                <w:noProof/>
                <w:webHidden/>
              </w:rPr>
              <w:fldChar w:fldCharType="end"/>
            </w:r>
          </w:hyperlink>
        </w:p>
        <w:p w14:paraId="2FE77B1D" w14:textId="085CF8E8"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30" w:history="1">
            <w:r w:rsidRPr="00D42D9A">
              <w:rPr>
                <w:rStyle w:val="Hyperlink"/>
                <w:noProof/>
              </w:rPr>
              <w:t>9.1</w:t>
            </w:r>
            <w:r>
              <w:rPr>
                <w:rFonts w:eastAsiaTheme="minorEastAsia" w:cstheme="minorBidi"/>
                <w:i w:val="0"/>
                <w:iCs w:val="0"/>
                <w:noProof/>
                <w:sz w:val="24"/>
                <w:szCs w:val="24"/>
                <w:lang w:eastAsia="en-AU"/>
              </w:rPr>
              <w:tab/>
            </w:r>
            <w:r w:rsidRPr="00D42D9A">
              <w:rPr>
                <w:rStyle w:val="Hyperlink"/>
                <w:noProof/>
              </w:rPr>
              <w:t>Purpose</w:t>
            </w:r>
            <w:r>
              <w:rPr>
                <w:noProof/>
                <w:webHidden/>
              </w:rPr>
              <w:tab/>
            </w:r>
            <w:r>
              <w:rPr>
                <w:noProof/>
                <w:webHidden/>
              </w:rPr>
              <w:fldChar w:fldCharType="begin"/>
            </w:r>
            <w:r>
              <w:rPr>
                <w:noProof/>
                <w:webHidden/>
              </w:rPr>
              <w:instrText xml:space="preserve"> PAGEREF _Toc204787730 \h </w:instrText>
            </w:r>
            <w:r>
              <w:rPr>
                <w:noProof/>
                <w:webHidden/>
              </w:rPr>
            </w:r>
            <w:r>
              <w:rPr>
                <w:noProof/>
                <w:webHidden/>
              </w:rPr>
              <w:fldChar w:fldCharType="separate"/>
            </w:r>
            <w:r>
              <w:rPr>
                <w:noProof/>
                <w:webHidden/>
              </w:rPr>
              <w:t>34</w:t>
            </w:r>
            <w:r>
              <w:rPr>
                <w:noProof/>
                <w:webHidden/>
              </w:rPr>
              <w:fldChar w:fldCharType="end"/>
            </w:r>
          </w:hyperlink>
        </w:p>
        <w:p w14:paraId="5E6ACA72" w14:textId="4564DD6A"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31" w:history="1">
            <w:r w:rsidRPr="00D42D9A">
              <w:rPr>
                <w:rStyle w:val="Hyperlink"/>
                <w:noProof/>
              </w:rPr>
              <w:t>9.2</w:t>
            </w:r>
            <w:r>
              <w:rPr>
                <w:rFonts w:eastAsiaTheme="minorEastAsia" w:cstheme="minorBidi"/>
                <w:i w:val="0"/>
                <w:iCs w:val="0"/>
                <w:noProof/>
                <w:sz w:val="24"/>
                <w:szCs w:val="24"/>
                <w:lang w:eastAsia="en-AU"/>
              </w:rPr>
              <w:tab/>
            </w:r>
            <w:r w:rsidRPr="00D42D9A">
              <w:rPr>
                <w:rStyle w:val="Hyperlink"/>
                <w:noProof/>
              </w:rPr>
              <w:t>Methodology</w:t>
            </w:r>
            <w:r>
              <w:rPr>
                <w:noProof/>
                <w:webHidden/>
              </w:rPr>
              <w:tab/>
            </w:r>
            <w:r>
              <w:rPr>
                <w:noProof/>
                <w:webHidden/>
              </w:rPr>
              <w:fldChar w:fldCharType="begin"/>
            </w:r>
            <w:r>
              <w:rPr>
                <w:noProof/>
                <w:webHidden/>
              </w:rPr>
              <w:instrText xml:space="preserve"> PAGEREF _Toc204787731 \h </w:instrText>
            </w:r>
            <w:r>
              <w:rPr>
                <w:noProof/>
                <w:webHidden/>
              </w:rPr>
            </w:r>
            <w:r>
              <w:rPr>
                <w:noProof/>
                <w:webHidden/>
              </w:rPr>
              <w:fldChar w:fldCharType="separate"/>
            </w:r>
            <w:r>
              <w:rPr>
                <w:noProof/>
                <w:webHidden/>
              </w:rPr>
              <w:t>34</w:t>
            </w:r>
            <w:r>
              <w:rPr>
                <w:noProof/>
                <w:webHidden/>
              </w:rPr>
              <w:fldChar w:fldCharType="end"/>
            </w:r>
          </w:hyperlink>
        </w:p>
        <w:p w14:paraId="41E5591F" w14:textId="0C93D29D"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32" w:history="1">
            <w:r w:rsidRPr="00D42D9A">
              <w:rPr>
                <w:rStyle w:val="Hyperlink"/>
                <w:noProof/>
              </w:rPr>
              <w:t>9.3</w:t>
            </w:r>
            <w:r>
              <w:rPr>
                <w:rFonts w:eastAsiaTheme="minorEastAsia" w:cstheme="minorBidi"/>
                <w:i w:val="0"/>
                <w:iCs w:val="0"/>
                <w:noProof/>
                <w:sz w:val="24"/>
                <w:szCs w:val="24"/>
                <w:lang w:eastAsia="en-AU"/>
              </w:rPr>
              <w:tab/>
            </w:r>
            <w:r w:rsidRPr="00D42D9A">
              <w:rPr>
                <w:rStyle w:val="Hyperlink"/>
                <w:noProof/>
              </w:rPr>
              <w:t>Future state</w:t>
            </w:r>
            <w:r>
              <w:rPr>
                <w:noProof/>
                <w:webHidden/>
              </w:rPr>
              <w:tab/>
            </w:r>
            <w:r>
              <w:rPr>
                <w:noProof/>
                <w:webHidden/>
              </w:rPr>
              <w:fldChar w:fldCharType="begin"/>
            </w:r>
            <w:r>
              <w:rPr>
                <w:noProof/>
                <w:webHidden/>
              </w:rPr>
              <w:instrText xml:space="preserve"> PAGEREF _Toc204787732 \h </w:instrText>
            </w:r>
            <w:r>
              <w:rPr>
                <w:noProof/>
                <w:webHidden/>
              </w:rPr>
            </w:r>
            <w:r>
              <w:rPr>
                <w:noProof/>
                <w:webHidden/>
              </w:rPr>
              <w:fldChar w:fldCharType="separate"/>
            </w:r>
            <w:r>
              <w:rPr>
                <w:noProof/>
                <w:webHidden/>
              </w:rPr>
              <w:t>34</w:t>
            </w:r>
            <w:r>
              <w:rPr>
                <w:noProof/>
                <w:webHidden/>
              </w:rPr>
              <w:fldChar w:fldCharType="end"/>
            </w:r>
          </w:hyperlink>
        </w:p>
        <w:p w14:paraId="1698CEB5" w14:textId="097AD632" w:rsidR="009A199D" w:rsidRDefault="009A199D">
          <w:pPr>
            <w:pStyle w:val="TOC2"/>
            <w:tabs>
              <w:tab w:val="left" w:pos="800"/>
              <w:tab w:val="right" w:leader="dot" w:pos="9016"/>
            </w:tabs>
            <w:rPr>
              <w:rFonts w:eastAsiaTheme="minorEastAsia" w:cstheme="minorBidi"/>
              <w:i w:val="0"/>
              <w:iCs w:val="0"/>
              <w:noProof/>
              <w:sz w:val="24"/>
              <w:szCs w:val="24"/>
              <w:lang w:eastAsia="en-AU"/>
            </w:rPr>
          </w:pPr>
          <w:hyperlink w:anchor="_Toc204787733" w:history="1">
            <w:r w:rsidRPr="00D42D9A">
              <w:rPr>
                <w:rStyle w:val="Hyperlink"/>
                <w:noProof/>
              </w:rPr>
              <w:t>9.4</w:t>
            </w:r>
            <w:r>
              <w:rPr>
                <w:rFonts w:eastAsiaTheme="minorEastAsia" w:cstheme="minorBidi"/>
                <w:i w:val="0"/>
                <w:iCs w:val="0"/>
                <w:noProof/>
                <w:sz w:val="24"/>
                <w:szCs w:val="24"/>
                <w:lang w:eastAsia="en-AU"/>
              </w:rPr>
              <w:tab/>
            </w:r>
            <w:r w:rsidRPr="00D42D9A">
              <w:rPr>
                <w:rStyle w:val="Hyperlink"/>
                <w:noProof/>
              </w:rPr>
              <w:t>Current sepsis data and gaps</w:t>
            </w:r>
            <w:r>
              <w:rPr>
                <w:noProof/>
                <w:webHidden/>
              </w:rPr>
              <w:tab/>
            </w:r>
            <w:r>
              <w:rPr>
                <w:noProof/>
                <w:webHidden/>
              </w:rPr>
              <w:fldChar w:fldCharType="begin"/>
            </w:r>
            <w:r>
              <w:rPr>
                <w:noProof/>
                <w:webHidden/>
              </w:rPr>
              <w:instrText xml:space="preserve"> PAGEREF _Toc204787733 \h </w:instrText>
            </w:r>
            <w:r>
              <w:rPr>
                <w:noProof/>
                <w:webHidden/>
              </w:rPr>
            </w:r>
            <w:r>
              <w:rPr>
                <w:noProof/>
                <w:webHidden/>
              </w:rPr>
              <w:fldChar w:fldCharType="separate"/>
            </w:r>
            <w:r>
              <w:rPr>
                <w:noProof/>
                <w:webHidden/>
              </w:rPr>
              <w:t>34</w:t>
            </w:r>
            <w:r>
              <w:rPr>
                <w:noProof/>
                <w:webHidden/>
              </w:rPr>
              <w:fldChar w:fldCharType="end"/>
            </w:r>
          </w:hyperlink>
        </w:p>
        <w:p w14:paraId="3D8B2DEB" w14:textId="3314959A" w:rsidR="002378DB" w:rsidRDefault="00433AA6" w:rsidP="00433AA6">
          <w:pPr>
            <w:spacing w:line="240" w:lineRule="auto"/>
          </w:pPr>
          <w:r>
            <w:rPr>
              <w:rFonts w:cstheme="minorHAnsi"/>
              <w:b/>
              <w:bCs/>
              <w:szCs w:val="20"/>
            </w:rPr>
            <w:fldChar w:fldCharType="end"/>
          </w:r>
        </w:p>
      </w:sdtContent>
    </w:sdt>
    <w:p w14:paraId="27238E7F" w14:textId="2349599D" w:rsidR="002378DB" w:rsidRPr="00BA406E" w:rsidRDefault="002378DB" w:rsidP="009532F4">
      <w:pPr>
        <w:pStyle w:val="Heading1"/>
        <w:rPr>
          <w:rFonts w:asciiTheme="minorHAnsi" w:hAnsiTheme="minorHAnsi" w:cstheme="minorHAnsi"/>
        </w:rPr>
      </w:pPr>
      <w:bookmarkStart w:id="3" w:name="_Toc204787696"/>
      <w:r w:rsidRPr="00BA406E">
        <w:rPr>
          <w:rFonts w:asciiTheme="minorHAnsi" w:hAnsiTheme="minorHAnsi" w:cstheme="minorHAnsi"/>
        </w:rPr>
        <w:lastRenderedPageBreak/>
        <w:t>Overview</w:t>
      </w:r>
      <w:bookmarkEnd w:id="3"/>
    </w:p>
    <w:p w14:paraId="0BFD1642" w14:textId="32420B2D" w:rsidR="00594FF1" w:rsidRDefault="7690D0E9" w:rsidP="00594FF1">
      <w:r>
        <w:t xml:space="preserve">Sepsis is a life-threatening condition </w:t>
      </w:r>
      <w:r w:rsidR="00F63CB5">
        <w:t xml:space="preserve">that is </w:t>
      </w:r>
      <w:r>
        <w:t>triggered when the body’s response to an infection damages its own tissues and organs.</w:t>
      </w:r>
    </w:p>
    <w:p w14:paraId="074B90BC" w14:textId="654894F2" w:rsidR="00594FF1" w:rsidRDefault="000F655D" w:rsidP="00594FF1">
      <w:r w:rsidRPr="00963CD8">
        <w:t xml:space="preserve">It is a major cause of morbidity and mortality in Australia, and globally. </w:t>
      </w:r>
      <w:r w:rsidR="00594FF1">
        <w:t>Beyond its human toll, sepsis imposes a significant financial burden, with direct hospital costs estimated at $700 million per year and indirect costs exceeding $4 billion.</w:t>
      </w:r>
    </w:p>
    <w:p w14:paraId="78FC3CF5" w14:textId="2378B8A3" w:rsidR="00594FF1" w:rsidRDefault="00594FF1" w:rsidP="00594FF1">
      <w:r>
        <w:t>Improving patient and clinical outcomes</w:t>
      </w:r>
      <w:r w:rsidR="00A676E8">
        <w:t xml:space="preserve"> </w:t>
      </w:r>
      <w:r>
        <w:t xml:space="preserve">for sepsis </w:t>
      </w:r>
      <w:r w:rsidR="00EE47EE">
        <w:t xml:space="preserve">– including maximising survival and minimising adverse outcomes – </w:t>
      </w:r>
      <w:r>
        <w:t xml:space="preserve">relies on early detection and effective care models. Despite this, efforts to measure and improve </w:t>
      </w:r>
      <w:r w:rsidR="006655D9">
        <w:t xml:space="preserve">outcomes for sepsis </w:t>
      </w:r>
      <w:r>
        <w:t>are hindered by data quality and availability and collecting reliable and consistent sepsis data at a national level remains a challenge.</w:t>
      </w:r>
    </w:p>
    <w:p w14:paraId="1486C85D" w14:textId="3ABA3673" w:rsidR="00594FF1" w:rsidRPr="00594FF1" w:rsidRDefault="00594FF1" w:rsidP="00594FF1">
      <w:pPr>
        <w:rPr>
          <w:highlight w:val="darkMagenta"/>
        </w:rPr>
      </w:pPr>
      <w:r>
        <w:t xml:space="preserve">Recognising this, in 2017 the </w:t>
      </w:r>
      <w:r w:rsidRPr="00594FF1">
        <w:rPr>
          <w:i/>
          <w:iCs/>
        </w:rPr>
        <w:t>Stopping Sepsis: A National</w:t>
      </w:r>
      <w:r w:rsidR="006470B2">
        <w:rPr>
          <w:i/>
          <w:iCs/>
        </w:rPr>
        <w:t xml:space="preserve"> </w:t>
      </w:r>
      <w:r w:rsidRPr="00594FF1">
        <w:rPr>
          <w:i/>
          <w:iCs/>
        </w:rPr>
        <w:t>Action Plan</w:t>
      </w:r>
      <w:r>
        <w:t xml:space="preserve"> called for the development of a National Minimum Data Set to address inconsistencies in documentation and coding practices</w:t>
      </w:r>
      <w:r w:rsidR="00ED54CF">
        <w:t>.</w:t>
      </w:r>
      <w:r w:rsidR="00ED54CF">
        <w:rPr>
          <w:rStyle w:val="FootnoteReference"/>
        </w:rPr>
        <w:footnoteReference w:id="3"/>
      </w:r>
    </w:p>
    <w:p w14:paraId="479AC652" w14:textId="748531D9" w:rsidR="00C539CB" w:rsidRPr="00382E6B" w:rsidRDefault="00C539CB" w:rsidP="006E2BEE">
      <w:pPr>
        <w:pStyle w:val="Heading2"/>
        <w:rPr>
          <w:rFonts w:ascii="Arial" w:hAnsi="Arial" w:cs="Arial"/>
          <w:sz w:val="30"/>
          <w:szCs w:val="30"/>
        </w:rPr>
      </w:pPr>
      <w:bookmarkStart w:id="4" w:name="_Toc204787697"/>
      <w:r w:rsidRPr="00382E6B">
        <w:rPr>
          <w:rFonts w:ascii="Arial" w:hAnsi="Arial" w:cs="Arial"/>
          <w:sz w:val="30"/>
          <w:szCs w:val="30"/>
        </w:rPr>
        <w:t>National Sepsis Program</w:t>
      </w:r>
      <w:r w:rsidR="00B749FF" w:rsidRPr="00382E6B">
        <w:rPr>
          <w:rFonts w:ascii="Arial" w:hAnsi="Arial" w:cs="Arial"/>
          <w:sz w:val="30"/>
          <w:szCs w:val="30"/>
        </w:rPr>
        <w:t xml:space="preserve"> Extension</w:t>
      </w:r>
      <w:bookmarkEnd w:id="4"/>
    </w:p>
    <w:p w14:paraId="4C850CAA" w14:textId="61047004" w:rsidR="00C539CB" w:rsidRDefault="00C539CB" w:rsidP="00C539CB">
      <w:r>
        <w:t xml:space="preserve">The </w:t>
      </w:r>
      <w:r w:rsidRPr="00175EC4">
        <w:rPr>
          <w:i/>
          <w:iCs/>
        </w:rPr>
        <w:t>National Sepsis Program Extension</w:t>
      </w:r>
      <w:r>
        <w:t xml:space="preserve"> is a federally funded initiative coordinated by the Australian Commission on Safety and Quality in Health Care (the Commission), in partnership with The George Institute for Global Health (TGI) and Sepsis Australia.</w:t>
      </w:r>
    </w:p>
    <w:p w14:paraId="4600E2DB" w14:textId="51E0B8EF" w:rsidR="00C539CB" w:rsidRDefault="00C539CB" w:rsidP="00C539CB">
      <w:r>
        <w:t xml:space="preserve">The </w:t>
      </w:r>
      <w:r w:rsidRPr="00967152">
        <w:rPr>
          <w:i/>
          <w:iCs/>
        </w:rPr>
        <w:t>National Sepsis Program Extension</w:t>
      </w:r>
      <w:r>
        <w:t xml:space="preserve"> builds on the foundational work of the </w:t>
      </w:r>
      <w:r w:rsidRPr="00967152">
        <w:rPr>
          <w:i/>
          <w:iCs/>
        </w:rPr>
        <w:t>National Sepsis Program</w:t>
      </w:r>
      <w:r>
        <w:t xml:space="preserve"> which </w:t>
      </w:r>
      <w:r w:rsidR="00522EDA" w:rsidRPr="001E1167">
        <w:t xml:space="preserve">between </w:t>
      </w:r>
      <w:r w:rsidR="00981953" w:rsidRPr="0027212D">
        <w:t>February</w:t>
      </w:r>
      <w:r w:rsidR="00522EDA" w:rsidRPr="0027212D">
        <w:t xml:space="preserve"> 2020 </w:t>
      </w:r>
      <w:r w:rsidR="00522EDA" w:rsidRPr="001E1167">
        <w:t xml:space="preserve">and </w:t>
      </w:r>
      <w:r w:rsidR="00981953" w:rsidRPr="0027212D">
        <w:t>June</w:t>
      </w:r>
      <w:r w:rsidR="00522EDA" w:rsidRPr="0027212D">
        <w:t xml:space="preserve"> 2022</w:t>
      </w:r>
      <w:r w:rsidR="00522EDA" w:rsidRPr="001E1167">
        <w:t xml:space="preserve"> </w:t>
      </w:r>
      <w:r w:rsidRPr="001E1167">
        <w:t>delivered</w:t>
      </w:r>
      <w:r>
        <w:t xml:space="preserve"> </w:t>
      </w:r>
      <w:r w:rsidR="005D7320">
        <w:t>eight (</w:t>
      </w:r>
      <w:r w:rsidR="00827D39">
        <w:t>8</w:t>
      </w:r>
      <w:r w:rsidR="005D7320">
        <w:t>)</w:t>
      </w:r>
      <w:r w:rsidR="00827D39">
        <w:t xml:space="preserve"> interrelated projects to support improved sepsis outcomes</w:t>
      </w:r>
      <w:r w:rsidR="00B5779B">
        <w:t xml:space="preserve">. </w:t>
      </w:r>
      <w:r w:rsidR="00045BF9">
        <w:t xml:space="preserve">The program </w:t>
      </w:r>
      <w:r w:rsidR="00EA44A6">
        <w:t>extension</w:t>
      </w:r>
      <w:r w:rsidR="00045BF9">
        <w:t xml:space="preserve"> </w:t>
      </w:r>
      <w:r>
        <w:t xml:space="preserve">was established following advocacy by </w:t>
      </w:r>
      <w:r w:rsidR="00B5779B">
        <w:t xml:space="preserve">TGI </w:t>
      </w:r>
      <w:r>
        <w:t xml:space="preserve">and Sepsis Australia, resulting in budget to continue implementing </w:t>
      </w:r>
      <w:bookmarkStart w:id="5" w:name="_Hlk203038421"/>
      <w:r>
        <w:t xml:space="preserve">the </w:t>
      </w:r>
      <w:r w:rsidRPr="00B5779B">
        <w:rPr>
          <w:i/>
          <w:iCs/>
        </w:rPr>
        <w:t>Stopping Sepsis</w:t>
      </w:r>
      <w:r w:rsidR="00500DEE">
        <w:rPr>
          <w:i/>
          <w:iCs/>
        </w:rPr>
        <w:t>: A</w:t>
      </w:r>
      <w:r w:rsidRPr="00B5779B">
        <w:rPr>
          <w:i/>
          <w:iCs/>
        </w:rPr>
        <w:t xml:space="preserve"> National Action Plan</w:t>
      </w:r>
      <w:bookmarkEnd w:id="5"/>
      <w:r>
        <w:t>.</w:t>
      </w:r>
      <w:r w:rsidR="00500DEE">
        <w:rPr>
          <w:rStyle w:val="FootnoteReference"/>
        </w:rPr>
        <w:footnoteReference w:id="4"/>
      </w:r>
    </w:p>
    <w:p w14:paraId="2500183A" w14:textId="1E1C7F4A" w:rsidR="00D36EB6" w:rsidRDefault="00D85DDD" w:rsidP="00C539CB">
      <w:r>
        <w:t xml:space="preserve">The </w:t>
      </w:r>
      <w:r w:rsidRPr="00967152">
        <w:rPr>
          <w:i/>
          <w:iCs/>
        </w:rPr>
        <w:t>National Sepsis Program Extension</w:t>
      </w:r>
      <w:r>
        <w:t xml:space="preserve"> seeks to deliver </w:t>
      </w:r>
      <w:r w:rsidR="00D36EB6">
        <w:t xml:space="preserve">against five (5) key focus areas, including: </w:t>
      </w:r>
    </w:p>
    <w:p w14:paraId="38F23470" w14:textId="77777777" w:rsidR="00D36EB6" w:rsidRDefault="00D36EB6" w:rsidP="00002244">
      <w:pPr>
        <w:pStyle w:val="ListParagraph"/>
        <w:numPr>
          <w:ilvl w:val="0"/>
          <w:numId w:val="23"/>
        </w:numPr>
      </w:pPr>
      <w:r>
        <w:t>Developing a national awareness campaign about sepsis</w:t>
      </w:r>
    </w:p>
    <w:p w14:paraId="3ED26E1A" w14:textId="77777777" w:rsidR="00D36EB6" w:rsidRDefault="00D36EB6" w:rsidP="00002244">
      <w:pPr>
        <w:pStyle w:val="ListParagraph"/>
        <w:numPr>
          <w:ilvl w:val="0"/>
          <w:numId w:val="23"/>
        </w:numPr>
      </w:pPr>
      <w:r>
        <w:t>Developing sepsis education resources for health programs and health professionals</w:t>
      </w:r>
    </w:p>
    <w:p w14:paraId="29D6A4E0" w14:textId="77777777" w:rsidR="00D36EB6" w:rsidRDefault="00D36EB6" w:rsidP="00002244">
      <w:pPr>
        <w:pStyle w:val="ListParagraph"/>
        <w:numPr>
          <w:ilvl w:val="0"/>
          <w:numId w:val="23"/>
        </w:numPr>
      </w:pPr>
      <w:r>
        <w:t>Building capacity and supporting appropriate care for sepsis survivors</w:t>
      </w:r>
    </w:p>
    <w:p w14:paraId="2A7FFF84" w14:textId="77777777" w:rsidR="00D36EB6" w:rsidRDefault="00D36EB6" w:rsidP="00002244">
      <w:pPr>
        <w:pStyle w:val="ListParagraph"/>
        <w:numPr>
          <w:ilvl w:val="0"/>
          <w:numId w:val="23"/>
        </w:numPr>
      </w:pPr>
      <w:r>
        <w:t>Developing and publishing data collection tools for hospitals and healthcare services to drive improvements to sepsis care models</w:t>
      </w:r>
    </w:p>
    <w:p w14:paraId="648E037F" w14:textId="685BA040" w:rsidR="00C83269" w:rsidRDefault="00D36EB6" w:rsidP="00002244">
      <w:pPr>
        <w:pStyle w:val="ListParagraph"/>
        <w:numPr>
          <w:ilvl w:val="0"/>
          <w:numId w:val="23"/>
        </w:numPr>
      </w:pPr>
      <w:r>
        <w:t>Improving awareness and recognition of risk, identification and response to sepsis for First Nations peoples.</w:t>
      </w:r>
    </w:p>
    <w:p w14:paraId="62970203" w14:textId="77777777" w:rsidR="00C83269" w:rsidRDefault="00C83269">
      <w:pPr>
        <w:snapToGrid/>
        <w:spacing w:before="0" w:after="0" w:line="240" w:lineRule="auto"/>
      </w:pPr>
      <w:r>
        <w:br w:type="page"/>
      </w:r>
    </w:p>
    <w:p w14:paraId="27935F9C" w14:textId="77777777" w:rsidR="000B138A" w:rsidRPr="00382E6B" w:rsidRDefault="000B138A" w:rsidP="00175EC4">
      <w:pPr>
        <w:pStyle w:val="Heading2"/>
        <w:rPr>
          <w:rFonts w:ascii="Arial" w:hAnsi="Arial" w:cs="Arial"/>
          <w:sz w:val="30"/>
          <w:szCs w:val="30"/>
        </w:rPr>
      </w:pPr>
      <w:bookmarkStart w:id="6" w:name="_Toc204787698"/>
      <w:r w:rsidRPr="00382E6B">
        <w:rPr>
          <w:rFonts w:ascii="Arial" w:hAnsi="Arial" w:cs="Arial"/>
          <w:sz w:val="30"/>
          <w:szCs w:val="30"/>
        </w:rPr>
        <w:lastRenderedPageBreak/>
        <w:t>This report</w:t>
      </w:r>
      <w:bookmarkEnd w:id="6"/>
    </w:p>
    <w:p w14:paraId="218F4EB3" w14:textId="4B533794" w:rsidR="006B5909" w:rsidRDefault="002E3856" w:rsidP="006B5909">
      <w:r>
        <w:t xml:space="preserve">This report contributes to the fourth focus area of the </w:t>
      </w:r>
      <w:r w:rsidRPr="00175EC4">
        <w:rPr>
          <w:i/>
          <w:iCs/>
        </w:rPr>
        <w:t>National Sepsis Program</w:t>
      </w:r>
      <w:r w:rsidR="00EA44A6">
        <w:rPr>
          <w:i/>
          <w:iCs/>
        </w:rPr>
        <w:t xml:space="preserve"> </w:t>
      </w:r>
      <w:r w:rsidR="00EA44A6" w:rsidRPr="00175EC4">
        <w:rPr>
          <w:i/>
          <w:iCs/>
        </w:rPr>
        <w:t>Extension</w:t>
      </w:r>
      <w:r>
        <w:t>:</w:t>
      </w:r>
      <w:r w:rsidR="001A1451">
        <w:rPr>
          <w:rStyle w:val="FootnoteReference"/>
        </w:rPr>
        <w:footnoteReference w:id="5"/>
      </w:r>
    </w:p>
    <w:p w14:paraId="4D68D43B" w14:textId="20C36DC2" w:rsidR="002E3856" w:rsidRDefault="002E3856" w:rsidP="006B5909">
      <w:pPr>
        <w:pStyle w:val="ListParagraph"/>
        <w:numPr>
          <w:ilvl w:val="0"/>
          <w:numId w:val="25"/>
        </w:numPr>
      </w:pPr>
      <w:r>
        <w:t>Developing and publishing data collection tools for hospitals and healthcare services to drive improvements to sepsis care models</w:t>
      </w:r>
      <w:r w:rsidR="00057CD0">
        <w:t>.</w:t>
      </w:r>
    </w:p>
    <w:p w14:paraId="3FF27DFA" w14:textId="3B064628" w:rsidR="00A20863" w:rsidRDefault="00833FF7" w:rsidP="006B5909">
      <w:pPr>
        <w:tabs>
          <w:tab w:val="left" w:pos="3255"/>
        </w:tabs>
      </w:pPr>
      <w:r>
        <w:t>It</w:t>
      </w:r>
      <w:r w:rsidR="009F3FF0">
        <w:t xml:space="preserve"> </w:t>
      </w:r>
      <w:r w:rsidR="00F45216">
        <w:t xml:space="preserve">uses information collected through a national data request and stakeholder consultation to </w:t>
      </w:r>
      <w:r w:rsidR="008C05BA">
        <w:t xml:space="preserve">provide a high-level assessment of </w:t>
      </w:r>
      <w:r w:rsidR="00C14E0A">
        <w:t xml:space="preserve">the current state </w:t>
      </w:r>
      <w:r w:rsidR="00FA4D4D">
        <w:t>of sepsis data, the challenge</w:t>
      </w:r>
      <w:r w:rsidR="001C443F">
        <w:t>s</w:t>
      </w:r>
      <w:r w:rsidR="00FB4D4F">
        <w:t xml:space="preserve"> </w:t>
      </w:r>
      <w:r w:rsidR="00AE2759">
        <w:t xml:space="preserve">to improve sepsis data and the </w:t>
      </w:r>
      <w:r w:rsidR="000C0C2E">
        <w:t xml:space="preserve">opportunities to </w:t>
      </w:r>
      <w:r w:rsidR="00AE2759">
        <w:t>do so</w:t>
      </w:r>
      <w:r w:rsidR="00FB4D4F">
        <w:t xml:space="preserve">. It </w:t>
      </w:r>
      <w:r w:rsidR="00C2383B">
        <w:t>culminate</w:t>
      </w:r>
      <w:r w:rsidR="00FB4D4F">
        <w:t>s</w:t>
      </w:r>
      <w:r w:rsidR="00C2383B">
        <w:t xml:space="preserve"> in a </w:t>
      </w:r>
      <w:r w:rsidR="00831106">
        <w:t xml:space="preserve">proposed </w:t>
      </w:r>
      <w:r w:rsidR="00C2383B">
        <w:t xml:space="preserve">strategy </w:t>
      </w:r>
      <w:r w:rsidR="00691CD9">
        <w:t xml:space="preserve">to realise the desired </w:t>
      </w:r>
      <w:r w:rsidR="000C0C2E">
        <w:t>future state of sepsis data</w:t>
      </w:r>
      <w:r w:rsidR="00C2383B">
        <w:t xml:space="preserve"> </w:t>
      </w:r>
      <w:r w:rsidR="00691CD9">
        <w:t xml:space="preserve">and </w:t>
      </w:r>
      <w:r w:rsidR="00FB4D4F">
        <w:t>support</w:t>
      </w:r>
      <w:r w:rsidR="00F75C67">
        <w:t xml:space="preserve"> the development of</w:t>
      </w:r>
      <w:r w:rsidR="00C2383B">
        <w:t xml:space="preserve"> minimum national data</w:t>
      </w:r>
      <w:r w:rsidR="00506D75">
        <w:t xml:space="preserve"> collection.</w:t>
      </w:r>
    </w:p>
    <w:p w14:paraId="2C5BB701" w14:textId="1103ECDC" w:rsidR="001935EF" w:rsidRDefault="001935EF" w:rsidP="001935EF">
      <w:pPr>
        <w:pStyle w:val="Heading3"/>
      </w:pPr>
      <w:bookmarkStart w:id="7" w:name="_Hlk205993471"/>
      <w:r w:rsidRPr="001935EF">
        <w:t>Key findings</w:t>
      </w:r>
    </w:p>
    <w:p w14:paraId="14C51C55" w14:textId="116C33A6" w:rsidR="00A667FC" w:rsidRDefault="00324279" w:rsidP="00FB4D4F">
      <w:r>
        <w:rPr>
          <w:noProof/>
        </w:rPr>
        <w:drawing>
          <wp:anchor distT="0" distB="0" distL="114300" distR="114300" simplePos="0" relativeHeight="251658249" behindDoc="1" locked="0" layoutInCell="1" allowOverlap="1" wp14:anchorId="70E1EED6" wp14:editId="4FFF098A">
            <wp:simplePos x="0" y="0"/>
            <wp:positionH relativeFrom="column">
              <wp:posOffset>1905</wp:posOffset>
            </wp:positionH>
            <wp:positionV relativeFrom="paragraph">
              <wp:posOffset>3565997</wp:posOffset>
            </wp:positionV>
            <wp:extent cx="370840" cy="370840"/>
            <wp:effectExtent l="0" t="0" r="0" b="0"/>
            <wp:wrapNone/>
            <wp:docPr id="431340022" name="Graphic 1"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40022" name="Graphic 431340022" descr="Playbook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70840" cy="370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3B985A20" wp14:editId="44212EE6">
            <wp:simplePos x="0" y="0"/>
            <wp:positionH relativeFrom="column">
              <wp:posOffset>-26833</wp:posOffset>
            </wp:positionH>
            <wp:positionV relativeFrom="paragraph">
              <wp:posOffset>2856230</wp:posOffset>
            </wp:positionV>
            <wp:extent cx="439420" cy="439420"/>
            <wp:effectExtent l="0" t="0" r="0" b="0"/>
            <wp:wrapNone/>
            <wp:docPr id="683162912" name="Graphic 3" descr="Board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62912" name="Graphic 683162912" descr="Boardroom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439420" cy="439420"/>
                    </a:xfrm>
                    <a:prstGeom prst="rect">
                      <a:avLst/>
                    </a:prstGeom>
                  </pic:spPr>
                </pic:pic>
              </a:graphicData>
            </a:graphic>
            <wp14:sizeRelH relativeFrom="margin">
              <wp14:pctWidth>0</wp14:pctWidth>
            </wp14:sizeRelH>
            <wp14:sizeRelV relativeFrom="margin">
              <wp14:pctHeight>0</wp14:pctHeight>
            </wp14:sizeRelV>
          </wp:anchor>
        </w:drawing>
      </w:r>
      <w:r w:rsidR="00FB4D4F">
        <w:t xml:space="preserve">This report makes several key findings </w:t>
      </w:r>
      <w:r w:rsidR="00182A73">
        <w:t>in relation to sepsis data</w:t>
      </w:r>
      <w:r w:rsidR="00A667FC">
        <w:t>:</w:t>
      </w:r>
    </w:p>
    <w:tbl>
      <w:tblPr>
        <w:tblStyle w:val="TableGrid"/>
        <w:tblW w:w="0" w:type="auto"/>
        <w:tblBorders>
          <w:top w:val="none" w:sz="0" w:space="0" w:color="auto"/>
          <w:left w:val="none" w:sz="0" w:space="0" w:color="auto"/>
          <w:bottom w:val="none" w:sz="0" w:space="0" w:color="auto"/>
          <w:right w:val="none" w:sz="0" w:space="0" w:color="auto"/>
          <w:insideH w:val="single" w:sz="48" w:space="0" w:color="FFFFFF" w:themeColor="background1"/>
          <w:insideV w:val="single" w:sz="36" w:space="0" w:color="FADE00" w:themeColor="accent2"/>
        </w:tblBorders>
        <w:tblLook w:val="04A0" w:firstRow="1" w:lastRow="0" w:firstColumn="1" w:lastColumn="0" w:noHBand="0" w:noVBand="1"/>
      </w:tblPr>
      <w:tblGrid>
        <w:gridCol w:w="709"/>
        <w:gridCol w:w="8307"/>
      </w:tblGrid>
      <w:tr w:rsidR="00740C44" w14:paraId="26BAC211" w14:textId="77777777" w:rsidTr="00A676E8">
        <w:trPr>
          <w:trHeight w:val="266"/>
        </w:trPr>
        <w:tc>
          <w:tcPr>
            <w:tcW w:w="709" w:type="dxa"/>
          </w:tcPr>
          <w:p w14:paraId="6EC4F3FA" w14:textId="102F1CFD" w:rsidR="00740C44" w:rsidRDefault="00FD74FD" w:rsidP="00C539CB">
            <w:r>
              <w:rPr>
                <w:noProof/>
              </w:rPr>
              <w:drawing>
                <wp:anchor distT="0" distB="0" distL="114300" distR="114300" simplePos="0" relativeHeight="251658246" behindDoc="0" locked="0" layoutInCell="1" allowOverlap="1" wp14:anchorId="7A77D140" wp14:editId="3EECEEA3">
                  <wp:simplePos x="0" y="0"/>
                  <wp:positionH relativeFrom="column">
                    <wp:posOffset>3521</wp:posOffset>
                  </wp:positionH>
                  <wp:positionV relativeFrom="paragraph">
                    <wp:posOffset>145415</wp:posOffset>
                  </wp:positionV>
                  <wp:extent cx="477143" cy="477143"/>
                  <wp:effectExtent l="0" t="0" r="0" b="0"/>
                  <wp:wrapNone/>
                  <wp:docPr id="1114877639" name="Graphic 1" descr="Australi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77639" name="Graphic 1114877639" descr="Australia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477143" cy="477143"/>
                          </a:xfrm>
                          <a:prstGeom prst="rect">
                            <a:avLst/>
                          </a:prstGeom>
                        </pic:spPr>
                      </pic:pic>
                    </a:graphicData>
                  </a:graphic>
                  <wp14:sizeRelH relativeFrom="margin">
                    <wp14:pctWidth>0</wp14:pctWidth>
                  </wp14:sizeRelH>
                  <wp14:sizeRelV relativeFrom="margin">
                    <wp14:pctHeight>0</wp14:pctHeight>
                  </wp14:sizeRelV>
                </wp:anchor>
              </w:drawing>
            </w:r>
          </w:p>
        </w:tc>
        <w:tc>
          <w:tcPr>
            <w:tcW w:w="8307" w:type="dxa"/>
          </w:tcPr>
          <w:p w14:paraId="14D0BBA1" w14:textId="0A96EBE3" w:rsidR="00740C44" w:rsidRDefault="00136749" w:rsidP="00C539CB">
            <w:r>
              <w:t>C</w:t>
            </w:r>
            <w:r w:rsidR="00680232" w:rsidRPr="00680232">
              <w:t xml:space="preserve">onsistent collection practices, </w:t>
            </w:r>
            <w:r w:rsidR="00047356">
              <w:t xml:space="preserve">less </w:t>
            </w:r>
            <w:r w:rsidR="00680232" w:rsidRPr="00680232">
              <w:t xml:space="preserve">restrictive sharing and siloing, and </w:t>
            </w:r>
            <w:r w:rsidR="00047356">
              <w:t>strategic investment</w:t>
            </w:r>
            <w:r>
              <w:t xml:space="preserve"> is required to improve the quality and cohesion of Australian sepsis data</w:t>
            </w:r>
            <w:r w:rsidR="00047356">
              <w:t>.</w:t>
            </w:r>
          </w:p>
        </w:tc>
      </w:tr>
      <w:tr w:rsidR="00740C44" w14:paraId="65A19993" w14:textId="77777777" w:rsidTr="00A676E8">
        <w:tc>
          <w:tcPr>
            <w:tcW w:w="709" w:type="dxa"/>
          </w:tcPr>
          <w:p w14:paraId="2F304997" w14:textId="51E9D8A7" w:rsidR="00740C44" w:rsidRDefault="00530BFD" w:rsidP="00C539CB">
            <w:r>
              <w:rPr>
                <w:noProof/>
              </w:rPr>
              <w:drawing>
                <wp:anchor distT="0" distB="0" distL="114300" distR="114300" simplePos="0" relativeHeight="251658247" behindDoc="1" locked="0" layoutInCell="1" allowOverlap="1" wp14:anchorId="13294DC0" wp14:editId="228BC214">
                  <wp:simplePos x="0" y="0"/>
                  <wp:positionH relativeFrom="column">
                    <wp:posOffset>-83512</wp:posOffset>
                  </wp:positionH>
                  <wp:positionV relativeFrom="paragraph">
                    <wp:posOffset>241407</wp:posOffset>
                  </wp:positionV>
                  <wp:extent cx="424815" cy="424815"/>
                  <wp:effectExtent l="0" t="0" r="0" b="0"/>
                  <wp:wrapNone/>
                  <wp:docPr id="463953123" name="Graphic 1" descr="Social 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53123" name="Graphic 463953123" descr="Social network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424815" cy="424815"/>
                          </a:xfrm>
                          <a:prstGeom prst="rect">
                            <a:avLst/>
                          </a:prstGeom>
                        </pic:spPr>
                      </pic:pic>
                    </a:graphicData>
                  </a:graphic>
                  <wp14:sizeRelH relativeFrom="margin">
                    <wp14:pctWidth>0</wp14:pctWidth>
                  </wp14:sizeRelH>
                  <wp14:sizeRelV relativeFrom="margin">
                    <wp14:pctHeight>0</wp14:pctHeight>
                  </wp14:sizeRelV>
                </wp:anchor>
              </w:drawing>
            </w:r>
          </w:p>
        </w:tc>
        <w:tc>
          <w:tcPr>
            <w:tcW w:w="8307" w:type="dxa"/>
          </w:tcPr>
          <w:p w14:paraId="6A840430" w14:textId="3C39442D" w:rsidR="00740C44" w:rsidRDefault="00B37C14" w:rsidP="00C539CB">
            <w:r>
              <w:t xml:space="preserve">Successful national data sets, such as that developed by ANZICS, </w:t>
            </w:r>
            <w:r w:rsidR="00136749">
              <w:t>demonstrates</w:t>
            </w:r>
            <w:r>
              <w:t xml:space="preserve"> that the </w:t>
            </w:r>
            <w:r w:rsidR="00136749">
              <w:t xml:space="preserve">complex </w:t>
            </w:r>
            <w:r>
              <w:t>challenges associated with inter-jurisdictional</w:t>
            </w:r>
            <w:r w:rsidR="00136749">
              <w:t xml:space="preserve"> </w:t>
            </w:r>
            <w:r w:rsidR="00AB1E5B">
              <w:t>contexts</w:t>
            </w:r>
            <w:r w:rsidR="00136749">
              <w:t xml:space="preserve"> and</w:t>
            </w:r>
            <w:r w:rsidR="00AB1E5B">
              <w:t xml:space="preserve"> systems</w:t>
            </w:r>
            <w:r w:rsidR="00136749">
              <w:t xml:space="preserve"> matur</w:t>
            </w:r>
            <w:r w:rsidR="00AB1E5B">
              <w:t xml:space="preserve">ity </w:t>
            </w:r>
            <w:r>
              <w:t>are surmountable to re</w:t>
            </w:r>
            <w:r w:rsidR="00AB1E5B">
              <w:t>alise</w:t>
            </w:r>
            <w:r>
              <w:t xml:space="preserve"> an effective national data strategy.</w:t>
            </w:r>
          </w:p>
        </w:tc>
      </w:tr>
      <w:tr w:rsidR="00740C44" w14:paraId="3EEB2729" w14:textId="77777777" w:rsidTr="00A676E8">
        <w:tc>
          <w:tcPr>
            <w:tcW w:w="709" w:type="dxa"/>
          </w:tcPr>
          <w:p w14:paraId="038D8B13" w14:textId="6AC2C5A8" w:rsidR="00740C44" w:rsidRPr="002B4667" w:rsidRDefault="00324279" w:rsidP="00C539CB">
            <w:pPr>
              <w:rPr>
                <w:highlight w:val="yellow"/>
              </w:rPr>
            </w:pPr>
            <w:r>
              <w:rPr>
                <w:noProof/>
              </w:rPr>
              <w:drawing>
                <wp:anchor distT="0" distB="0" distL="114300" distR="114300" simplePos="0" relativeHeight="251658248" behindDoc="1" locked="0" layoutInCell="1" allowOverlap="1" wp14:anchorId="433BB00C" wp14:editId="66A12B17">
                  <wp:simplePos x="0" y="0"/>
                  <wp:positionH relativeFrom="column">
                    <wp:posOffset>-50165</wp:posOffset>
                  </wp:positionH>
                  <wp:positionV relativeFrom="paragraph">
                    <wp:posOffset>136997</wp:posOffset>
                  </wp:positionV>
                  <wp:extent cx="355600" cy="355600"/>
                  <wp:effectExtent l="0" t="0" r="6350" b="6350"/>
                  <wp:wrapNone/>
                  <wp:docPr id="1520717045" name="Graphic 2" descr="Bluepri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17045" name="Graphic 1520717045" descr="Blueprint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p>
        </w:tc>
        <w:tc>
          <w:tcPr>
            <w:tcW w:w="8307" w:type="dxa"/>
          </w:tcPr>
          <w:p w14:paraId="681D163E" w14:textId="2451599C" w:rsidR="00740C44" w:rsidRPr="002B4667" w:rsidRDefault="00C91421" w:rsidP="00C539CB">
            <w:pPr>
              <w:rPr>
                <w:highlight w:val="yellow"/>
              </w:rPr>
            </w:pPr>
            <w:r>
              <w:t>P</w:t>
            </w:r>
            <w:r w:rsidR="00EE0FA0" w:rsidRPr="00E3390E">
              <w:t xml:space="preserve">rogress is being </w:t>
            </w:r>
            <w:r w:rsidR="005C63B3" w:rsidRPr="00E3390E">
              <w:t xml:space="preserve">realised at a </w:t>
            </w:r>
            <w:r>
              <w:t>local</w:t>
            </w:r>
            <w:r w:rsidRPr="00E3390E">
              <w:t xml:space="preserve"> </w:t>
            </w:r>
            <w:r w:rsidR="005C63B3" w:rsidRPr="00E3390E">
              <w:t>level</w:t>
            </w:r>
            <w:r w:rsidR="00CF7BE0">
              <w:t>,</w:t>
            </w:r>
            <w:r w:rsidR="00EE0FA0" w:rsidRPr="00E3390E">
              <w:t xml:space="preserve"> indicating an appetite among medical professionals to see and drive change. This progress must be effectively funded to realise </w:t>
            </w:r>
            <w:r w:rsidR="00E3390E" w:rsidRPr="00E3390E">
              <w:t>national change.</w:t>
            </w:r>
          </w:p>
        </w:tc>
      </w:tr>
      <w:tr w:rsidR="00740C44" w14:paraId="45589C65" w14:textId="77777777" w:rsidTr="00A676E8">
        <w:tc>
          <w:tcPr>
            <w:tcW w:w="709" w:type="dxa"/>
          </w:tcPr>
          <w:p w14:paraId="5E4A132E" w14:textId="63C876F1" w:rsidR="00740C44" w:rsidRPr="002B4667" w:rsidRDefault="00740C44" w:rsidP="00C539CB">
            <w:pPr>
              <w:rPr>
                <w:highlight w:val="yellow"/>
              </w:rPr>
            </w:pPr>
          </w:p>
        </w:tc>
        <w:tc>
          <w:tcPr>
            <w:tcW w:w="8307" w:type="dxa"/>
          </w:tcPr>
          <w:p w14:paraId="5ACEA9E5" w14:textId="6EB28B18" w:rsidR="00740C44" w:rsidRPr="002B4667" w:rsidRDefault="00E3390E" w:rsidP="00C539CB">
            <w:pPr>
              <w:rPr>
                <w:highlight w:val="yellow"/>
              </w:rPr>
            </w:pPr>
            <w:r>
              <w:t xml:space="preserve">There is a significant gap in </w:t>
            </w:r>
            <w:r w:rsidR="00C437C1">
              <w:t xml:space="preserve">the collection of qualitative experience and outcomes </w:t>
            </w:r>
            <w:r w:rsidR="00EB723B">
              <w:t>measures</w:t>
            </w:r>
            <w:r w:rsidR="003C4963">
              <w:t xml:space="preserve"> in the data ecosystem, and as a result, data </w:t>
            </w:r>
            <w:r w:rsidR="003B4ACF">
              <w:t xml:space="preserve">on the lived experience of sepsis is often </w:t>
            </w:r>
            <w:r w:rsidR="00295CAF">
              <w:t>omitted</w:t>
            </w:r>
            <w:r w:rsidR="00216303">
              <w:t xml:space="preserve"> from </w:t>
            </w:r>
            <w:r w:rsidR="00E93AFD">
              <w:t>analysis</w:t>
            </w:r>
            <w:r w:rsidR="00C474DA">
              <w:t>.</w:t>
            </w:r>
          </w:p>
        </w:tc>
      </w:tr>
      <w:tr w:rsidR="0029232D" w14:paraId="2ED4A0AE" w14:textId="77777777" w:rsidTr="00A676E8">
        <w:tc>
          <w:tcPr>
            <w:tcW w:w="709" w:type="dxa"/>
          </w:tcPr>
          <w:p w14:paraId="4EC55127" w14:textId="6BC20008" w:rsidR="0029232D" w:rsidRDefault="0029232D" w:rsidP="00C539CB">
            <w:pPr>
              <w:rPr>
                <w:noProof/>
              </w:rPr>
            </w:pPr>
          </w:p>
        </w:tc>
        <w:tc>
          <w:tcPr>
            <w:tcW w:w="8307" w:type="dxa"/>
          </w:tcPr>
          <w:p w14:paraId="02C731F8" w14:textId="2303D033" w:rsidR="0029232D" w:rsidRDefault="00C437C1" w:rsidP="00C539CB">
            <w:r>
              <w:t>I</w:t>
            </w:r>
            <w:r w:rsidR="00393282">
              <w:t>nter</w:t>
            </w:r>
            <w:r w:rsidR="00646456">
              <w:t>-</w:t>
            </w:r>
            <w:r w:rsidR="00393282">
              <w:t>jurisdiction</w:t>
            </w:r>
            <w:r w:rsidR="00C81630">
              <w:t xml:space="preserve">al commitment, </w:t>
            </w:r>
            <w:r w:rsidR="00690C0C">
              <w:t xml:space="preserve">strategic sponsorship and investment, and the participation of those with lived experience of sepsis, </w:t>
            </w:r>
            <w:r>
              <w:t>is required to improve national quality and safety data for sepsis.</w:t>
            </w:r>
          </w:p>
        </w:tc>
      </w:tr>
    </w:tbl>
    <w:bookmarkEnd w:id="7"/>
    <w:p w14:paraId="164B863B" w14:textId="2F43353C" w:rsidR="001935EF" w:rsidRDefault="001935EF" w:rsidP="001935EF">
      <w:pPr>
        <w:pStyle w:val="Heading3"/>
      </w:pPr>
      <w:r>
        <w:t>Limitations</w:t>
      </w:r>
    </w:p>
    <w:p w14:paraId="374AB409" w14:textId="6A6CFDB4" w:rsidR="001F41B2" w:rsidRPr="00D85C84" w:rsidRDefault="001F41B2" w:rsidP="00E80B78">
      <w:r w:rsidRPr="00D85C84">
        <w:t xml:space="preserve">This exercise </w:t>
      </w:r>
      <w:r w:rsidR="004F6AFB" w:rsidRPr="00D85C84">
        <w:t xml:space="preserve">represents a high-level assessment of </w:t>
      </w:r>
      <w:r w:rsidR="00637F17" w:rsidRPr="00D85C84">
        <w:t xml:space="preserve">sepsis </w:t>
      </w:r>
      <w:r w:rsidR="00A833B6" w:rsidRPr="00D85C84">
        <w:t xml:space="preserve">data </w:t>
      </w:r>
      <w:r w:rsidR="00637F17" w:rsidRPr="00D85C84">
        <w:t xml:space="preserve">collection in </w:t>
      </w:r>
      <w:r w:rsidR="00A833B6" w:rsidRPr="00D85C84">
        <w:t>healthcare setting</w:t>
      </w:r>
      <w:r w:rsidR="00481B9B" w:rsidRPr="00D85C84">
        <w:t xml:space="preserve">s and </w:t>
      </w:r>
      <w:r w:rsidR="00A833B6" w:rsidRPr="00D85C84">
        <w:t>its usage.</w:t>
      </w:r>
    </w:p>
    <w:p w14:paraId="0B3ECE78" w14:textId="3022F308" w:rsidR="00A833B6" w:rsidRPr="00D85C84" w:rsidRDefault="00C356CB" w:rsidP="001F41B2">
      <w:r w:rsidRPr="00D85C84">
        <w:t>D</w:t>
      </w:r>
      <w:r w:rsidR="001F41B2" w:rsidRPr="00D85C84">
        <w:t xml:space="preserve">ue to privacy and access restrictions, the exercise </w:t>
      </w:r>
      <w:r w:rsidR="00E80B78" w:rsidRPr="00D85C84">
        <w:t xml:space="preserve">underpinning this report </w:t>
      </w:r>
      <w:r w:rsidR="001F41B2" w:rsidRPr="00D85C84">
        <w:t xml:space="preserve">did not include direct access to patient-level data or electronic medical record (EMR) configurations. </w:t>
      </w:r>
      <w:r w:rsidR="008C150F" w:rsidRPr="00D85C84">
        <w:t xml:space="preserve">As a result, it does not include a </w:t>
      </w:r>
      <w:r w:rsidRPr="00D85C84">
        <w:t>technical assessment of</w:t>
      </w:r>
      <w:r w:rsidR="008C150F" w:rsidRPr="00D85C84">
        <w:t xml:space="preserve"> system interoperability, system architecture, or other </w:t>
      </w:r>
      <w:r w:rsidRPr="00D85C84">
        <w:t>data standards</w:t>
      </w:r>
      <w:r w:rsidR="008C150F" w:rsidRPr="00D85C84">
        <w:t>.</w:t>
      </w:r>
      <w:r w:rsidR="00E224E1">
        <w:t xml:space="preserve"> This, in turn, limited the ability to assess the </w:t>
      </w:r>
      <w:r w:rsidR="00CB0129">
        <w:t xml:space="preserve">costs of a technical uplift project. </w:t>
      </w:r>
      <w:r w:rsidR="005878D6" w:rsidRPr="00D85C84">
        <w:t xml:space="preserve">Later in </w:t>
      </w:r>
      <w:r w:rsidR="005878D6" w:rsidRPr="00D85C84">
        <w:lastRenderedPageBreak/>
        <w:t>this report, it is recommended that a f</w:t>
      </w:r>
      <w:r w:rsidR="008C150F" w:rsidRPr="00D85C84">
        <w:t xml:space="preserve">uture exercise </w:t>
      </w:r>
      <w:r w:rsidR="00C7020E" w:rsidRPr="00D85C84">
        <w:t xml:space="preserve">may benefit from a </w:t>
      </w:r>
      <w:r w:rsidR="00D85C84" w:rsidRPr="00D85C84">
        <w:t xml:space="preserve">more </w:t>
      </w:r>
      <w:r w:rsidR="00C7020E" w:rsidRPr="00D85C84">
        <w:t xml:space="preserve">technical </w:t>
      </w:r>
      <w:r w:rsidR="00D85C84" w:rsidRPr="00D85C84">
        <w:t xml:space="preserve">focus while </w:t>
      </w:r>
      <w:r w:rsidR="00C7020E" w:rsidRPr="00D85C84">
        <w:t xml:space="preserve">referencing the </w:t>
      </w:r>
      <w:r w:rsidR="00D85C84" w:rsidRPr="00D85C84">
        <w:t xml:space="preserve">system-level </w:t>
      </w:r>
      <w:r w:rsidR="00C7020E" w:rsidRPr="00D85C84">
        <w:t xml:space="preserve">challenges </w:t>
      </w:r>
      <w:r w:rsidR="00D85C84" w:rsidRPr="00D85C84">
        <w:t xml:space="preserve">identified </w:t>
      </w:r>
      <w:r w:rsidR="00C7020E" w:rsidRPr="00D85C84">
        <w:t>within this document.</w:t>
      </w:r>
    </w:p>
    <w:p w14:paraId="2306482B" w14:textId="12C308A6" w:rsidR="004C4C34" w:rsidRPr="00503D93" w:rsidRDefault="7783ACA1" w:rsidP="001F41B2">
      <w:r w:rsidRPr="00503D93">
        <w:t>Due to time and resourcing constraints, s</w:t>
      </w:r>
      <w:r w:rsidR="4A538709" w:rsidRPr="00503D93">
        <w:t>takeholder consultation was limited to a select group of participants</w:t>
      </w:r>
      <w:r w:rsidR="357BAA64" w:rsidRPr="00503D93">
        <w:t>,</w:t>
      </w:r>
      <w:r w:rsidR="00D85C84" w:rsidRPr="00503D93">
        <w:rPr>
          <w:rStyle w:val="FootnoteReference"/>
        </w:rPr>
        <w:footnoteReference w:id="6"/>
      </w:r>
      <w:r w:rsidR="4A538709" w:rsidRPr="00503D93">
        <w:t xml:space="preserve"> </w:t>
      </w:r>
      <w:r w:rsidR="60CE2935" w:rsidRPr="00503D93">
        <w:t xml:space="preserve">including </w:t>
      </w:r>
      <w:r w:rsidR="00AE2BFA">
        <w:t>representatives</w:t>
      </w:r>
      <w:r w:rsidR="00AE2BFA" w:rsidRPr="00503D93">
        <w:t xml:space="preserve"> </w:t>
      </w:r>
      <w:r w:rsidR="60CE2935" w:rsidRPr="00503D93">
        <w:t xml:space="preserve">from each state and territory. </w:t>
      </w:r>
      <w:r w:rsidR="00D1EFFC" w:rsidRPr="00503D93">
        <w:t xml:space="preserve">Future </w:t>
      </w:r>
      <w:r w:rsidR="13A14B04" w:rsidRPr="00503D93">
        <w:t xml:space="preserve">exercises </w:t>
      </w:r>
      <w:r w:rsidR="3A6F0DF1" w:rsidRPr="00503D93">
        <w:t xml:space="preserve">may benefit from </w:t>
      </w:r>
      <w:r w:rsidR="711287BF" w:rsidRPr="00503D93">
        <w:t xml:space="preserve">additional </w:t>
      </w:r>
      <w:r w:rsidR="67871BC6">
        <w:t>breadth and de</w:t>
      </w:r>
      <w:r w:rsidR="16C917CA">
        <w:t>e</w:t>
      </w:r>
      <w:r w:rsidR="67871BC6">
        <w:t>p</w:t>
      </w:r>
      <w:r w:rsidR="184D0141">
        <w:t>er</w:t>
      </w:r>
      <w:r w:rsidR="67871BC6">
        <w:t xml:space="preserve"> </w:t>
      </w:r>
      <w:r w:rsidR="4A538709" w:rsidRPr="00503D93">
        <w:t>engagement</w:t>
      </w:r>
      <w:r w:rsidR="67871BC6">
        <w:t xml:space="preserve">, consulting directly with </w:t>
      </w:r>
      <w:r w:rsidR="3A6F0DF1" w:rsidRPr="00503D93">
        <w:t xml:space="preserve">healthcare settings </w:t>
      </w:r>
      <w:r w:rsidR="67871BC6">
        <w:t xml:space="preserve">not represented in this report (e.g. </w:t>
      </w:r>
      <w:r w:rsidR="44E75984" w:rsidRPr="00503D93">
        <w:t>Urgent Care</w:t>
      </w:r>
      <w:r w:rsidR="67871BC6">
        <w:t xml:space="preserve"> Clinics), or consulting </w:t>
      </w:r>
      <w:r w:rsidR="4CCF719C">
        <w:t xml:space="preserve">further with specialisations that involve more complex presentations of </w:t>
      </w:r>
      <w:r w:rsidR="00D1EFFC" w:rsidRPr="00503D93">
        <w:t>sepsis</w:t>
      </w:r>
      <w:r w:rsidR="4CCF719C">
        <w:t xml:space="preserve"> (e.g. </w:t>
      </w:r>
      <w:r w:rsidR="578AC3B8" w:rsidRPr="00503D93">
        <w:t>neonatologists</w:t>
      </w:r>
      <w:r w:rsidR="4CCF719C">
        <w:t>)</w:t>
      </w:r>
      <w:r w:rsidR="578AC3B8" w:rsidRPr="00503D93">
        <w:t>.</w:t>
      </w:r>
    </w:p>
    <w:p w14:paraId="47206A23" w14:textId="1406A02E" w:rsidR="00FA4438" w:rsidRDefault="0039500C" w:rsidP="001F41B2">
      <w:pPr>
        <w:rPr>
          <w:highlight w:val="lightGray"/>
        </w:rPr>
      </w:pPr>
      <w:r w:rsidRPr="005077F6">
        <w:t xml:space="preserve">While not an explicit limitation of this exercise, </w:t>
      </w:r>
      <w:r w:rsidR="001C3307">
        <w:t xml:space="preserve">this report </w:t>
      </w:r>
      <w:r w:rsidRPr="005077F6">
        <w:t>note</w:t>
      </w:r>
      <w:r w:rsidR="001C3307">
        <w:t>s</w:t>
      </w:r>
      <w:r w:rsidRPr="005077F6">
        <w:t xml:space="preserve"> that varying degrees of d</w:t>
      </w:r>
      <w:r w:rsidR="004C4C34" w:rsidRPr="005077F6">
        <w:t xml:space="preserve">ata maturity </w:t>
      </w:r>
      <w:r w:rsidRPr="005077F6">
        <w:t xml:space="preserve">across </w:t>
      </w:r>
      <w:r w:rsidR="00FA4438" w:rsidRPr="005077F6">
        <w:t>jurisdictions</w:t>
      </w:r>
      <w:r w:rsidRPr="005077F6">
        <w:t xml:space="preserve"> </w:t>
      </w:r>
      <w:r w:rsidR="00FA4438" w:rsidRPr="005077F6">
        <w:t xml:space="preserve">necessitated a higher-level </w:t>
      </w:r>
      <w:r w:rsidR="004C4C34" w:rsidRPr="005077F6">
        <w:t>discussion on how data is collected and used, rather than more technical discussion</w:t>
      </w:r>
      <w:r w:rsidR="00FA4438" w:rsidRPr="005077F6">
        <w:t xml:space="preserve"> on data structure. Future exercises may</w:t>
      </w:r>
      <w:r w:rsidR="005077F6" w:rsidRPr="005077F6">
        <w:t xml:space="preserve"> consider further preparatory material, provided in advance, to support more technical discussions.</w:t>
      </w:r>
    </w:p>
    <w:p w14:paraId="25A3BC13" w14:textId="1E50C9EE" w:rsidR="00B6258A" w:rsidRDefault="00A833B6" w:rsidP="002A53BB">
      <w:r w:rsidRPr="005826BB">
        <w:t>Finally, a</w:t>
      </w:r>
      <w:r w:rsidR="001F41B2" w:rsidRPr="005826BB">
        <w:t xml:space="preserve"> decision was made to exclude researchers from the consultation process.</w:t>
      </w:r>
      <w:r w:rsidR="00E66B1A" w:rsidRPr="005826BB">
        <w:rPr>
          <w:rStyle w:val="FootnoteReference"/>
        </w:rPr>
        <w:footnoteReference w:id="7"/>
      </w:r>
      <w:r w:rsidR="001F41B2" w:rsidRPr="005826BB">
        <w:t xml:space="preserve"> </w:t>
      </w:r>
      <w:r w:rsidR="00D63BEE" w:rsidRPr="005826BB">
        <w:t xml:space="preserve">Exclusion from this exercise </w:t>
      </w:r>
      <w:r w:rsidR="005826BB" w:rsidRPr="005826BB">
        <w:t xml:space="preserve">considered that </w:t>
      </w:r>
      <w:r w:rsidR="001F41B2" w:rsidRPr="005826BB">
        <w:t>the development</w:t>
      </w:r>
      <w:r w:rsidR="00506D75">
        <w:t xml:space="preserve"> and implementation</w:t>
      </w:r>
      <w:r w:rsidR="001F41B2" w:rsidRPr="005826BB">
        <w:t xml:space="preserve"> of an effective national </w:t>
      </w:r>
      <w:r w:rsidR="00506D75">
        <w:t>strategy</w:t>
      </w:r>
      <w:r w:rsidR="001F41B2" w:rsidRPr="005826BB">
        <w:t xml:space="preserve"> should inherently support research needs, rather than be designed specifically for </w:t>
      </w:r>
      <w:r w:rsidR="00AE2BFA">
        <w:t>research needs</w:t>
      </w:r>
      <w:r w:rsidR="001F41B2" w:rsidRPr="005826BB">
        <w:t>.</w:t>
      </w:r>
    </w:p>
    <w:p w14:paraId="46BA3333" w14:textId="77777777" w:rsidR="00AE2BFA" w:rsidRDefault="00AE2BFA" w:rsidP="002A53BB"/>
    <w:p w14:paraId="268EF7F7" w14:textId="255BE791" w:rsidR="002378DB" w:rsidRPr="00BA406E" w:rsidRDefault="002378DB" w:rsidP="009532F4">
      <w:pPr>
        <w:pStyle w:val="Heading1"/>
        <w:rPr>
          <w:rFonts w:ascii="Arial" w:hAnsi="Arial" w:cs="Arial"/>
        </w:rPr>
      </w:pPr>
      <w:bookmarkStart w:id="8" w:name="_Toc204787699"/>
      <w:r w:rsidRPr="00BA406E">
        <w:rPr>
          <w:rFonts w:ascii="Arial" w:hAnsi="Arial" w:cs="Arial"/>
        </w:rPr>
        <w:lastRenderedPageBreak/>
        <w:t xml:space="preserve">A </w:t>
      </w:r>
      <w:r w:rsidR="00801C9E" w:rsidRPr="00BA406E">
        <w:rPr>
          <w:rFonts w:ascii="Arial" w:hAnsi="Arial" w:cs="Arial"/>
        </w:rPr>
        <w:t>V</w:t>
      </w:r>
      <w:r w:rsidRPr="00BA406E">
        <w:rPr>
          <w:rFonts w:ascii="Arial" w:hAnsi="Arial" w:cs="Arial"/>
        </w:rPr>
        <w:t>ision for Sepsis Data</w:t>
      </w:r>
      <w:bookmarkEnd w:id="8"/>
    </w:p>
    <w:p w14:paraId="2F440590" w14:textId="4418A01F" w:rsidR="001F2C5D" w:rsidRPr="001F2C5D" w:rsidRDefault="001F2C5D" w:rsidP="001F2C5D">
      <w:r w:rsidRPr="009532F4">
        <w:t xml:space="preserve">This section considers the </w:t>
      </w:r>
      <w:r w:rsidR="006F2956">
        <w:t xml:space="preserve">vision for </w:t>
      </w:r>
      <w:r w:rsidRPr="009532F4">
        <w:t xml:space="preserve">sepsis data </w:t>
      </w:r>
      <w:r w:rsidR="006F2956">
        <w:t>that underpins this report, the importance of high-quality data, and the development of the vision statement.</w:t>
      </w:r>
    </w:p>
    <w:p w14:paraId="0AA2ECA4" w14:textId="57EF7CE3" w:rsidR="00820AFC" w:rsidRPr="00382E6B" w:rsidRDefault="00820AFC" w:rsidP="00774C3C">
      <w:pPr>
        <w:pStyle w:val="Heading2"/>
        <w:rPr>
          <w:rFonts w:ascii="Arial" w:hAnsi="Arial" w:cs="Arial"/>
          <w:sz w:val="30"/>
          <w:szCs w:val="30"/>
        </w:rPr>
      </w:pPr>
      <w:bookmarkStart w:id="9" w:name="_Toc204787700"/>
      <w:r w:rsidRPr="00382E6B">
        <w:rPr>
          <w:rFonts w:ascii="Arial" w:hAnsi="Arial" w:cs="Arial"/>
          <w:sz w:val="30"/>
          <w:szCs w:val="30"/>
        </w:rPr>
        <w:t xml:space="preserve">Why have a national </w:t>
      </w:r>
      <w:r w:rsidR="00F0124F" w:rsidRPr="00382E6B">
        <w:rPr>
          <w:rFonts w:ascii="Arial" w:hAnsi="Arial" w:cs="Arial"/>
          <w:sz w:val="30"/>
          <w:szCs w:val="30"/>
        </w:rPr>
        <w:t xml:space="preserve">data </w:t>
      </w:r>
      <w:r w:rsidR="00506D75" w:rsidRPr="00382E6B">
        <w:rPr>
          <w:rFonts w:ascii="Arial" w:hAnsi="Arial" w:cs="Arial"/>
          <w:sz w:val="30"/>
          <w:szCs w:val="30"/>
        </w:rPr>
        <w:t>strategy</w:t>
      </w:r>
      <w:r w:rsidRPr="00382E6B">
        <w:rPr>
          <w:rFonts w:ascii="Arial" w:hAnsi="Arial" w:cs="Arial"/>
          <w:sz w:val="30"/>
          <w:szCs w:val="30"/>
        </w:rPr>
        <w:t>?</w:t>
      </w:r>
      <w:bookmarkEnd w:id="9"/>
    </w:p>
    <w:p w14:paraId="60CE6D3D" w14:textId="71EF4B00" w:rsidR="003D2236" w:rsidRDefault="00DB1594" w:rsidP="00196678">
      <w:r>
        <w:t xml:space="preserve">A national data </w:t>
      </w:r>
      <w:r w:rsidR="00506D75">
        <w:t>strategy</w:t>
      </w:r>
      <w:r w:rsidR="005565E1">
        <w:t xml:space="preserve"> </w:t>
      </w:r>
      <w:r w:rsidR="00506D75">
        <w:t xml:space="preserve">will </w:t>
      </w:r>
      <w:r w:rsidR="005565E1">
        <w:t xml:space="preserve">enhance the size, </w:t>
      </w:r>
      <w:r w:rsidR="005E53CD">
        <w:t xml:space="preserve">quality </w:t>
      </w:r>
      <w:r w:rsidR="005565E1">
        <w:t xml:space="preserve">and </w:t>
      </w:r>
      <w:r w:rsidR="003E5507">
        <w:t>richness</w:t>
      </w:r>
      <w:r w:rsidR="005565E1">
        <w:t xml:space="preserve"> of sepsis data available in Australia</w:t>
      </w:r>
      <w:r w:rsidR="0013384D">
        <w:t xml:space="preserve">, </w:t>
      </w:r>
      <w:r w:rsidR="00264327">
        <w:t>enabling</w:t>
      </w:r>
      <w:r w:rsidR="000C5625">
        <w:t xml:space="preserve"> </w:t>
      </w:r>
      <w:r w:rsidR="000A23F2">
        <w:t>access to consistent</w:t>
      </w:r>
      <w:r w:rsidR="009F3E03">
        <w:t>, high-quality</w:t>
      </w:r>
      <w:r w:rsidR="000A23F2">
        <w:t xml:space="preserve"> </w:t>
      </w:r>
      <w:r w:rsidR="000C5625">
        <w:t xml:space="preserve">sepsis data </w:t>
      </w:r>
      <w:r w:rsidR="000A23F2">
        <w:t xml:space="preserve">integrated </w:t>
      </w:r>
      <w:r w:rsidR="000C5625">
        <w:t>at a national level</w:t>
      </w:r>
      <w:r w:rsidR="0022063E">
        <w:t>.</w:t>
      </w:r>
      <w:r w:rsidR="005B4550">
        <w:t xml:space="preserve"> </w:t>
      </w:r>
      <w:r w:rsidR="005C06DE">
        <w:t xml:space="preserve">A national data </w:t>
      </w:r>
      <w:r w:rsidR="00506D75">
        <w:t>plan</w:t>
      </w:r>
      <w:r w:rsidR="00A1131A">
        <w:t xml:space="preserve"> </w:t>
      </w:r>
      <w:r w:rsidR="005B4550">
        <w:t xml:space="preserve">would </w:t>
      </w:r>
      <w:r w:rsidR="00A1131A">
        <w:t xml:space="preserve">deliver a range of </w:t>
      </w:r>
      <w:r w:rsidR="001022C9">
        <w:t>benefits, including</w:t>
      </w:r>
      <w:r w:rsidR="00FA718E">
        <w:t>:</w:t>
      </w:r>
    </w:p>
    <w:p w14:paraId="72C5F807" w14:textId="385E895D" w:rsidR="00FA718E" w:rsidRPr="008F0D49" w:rsidRDefault="001022C9" w:rsidP="00FA718E">
      <w:pPr>
        <w:pStyle w:val="ListParagraph"/>
        <w:numPr>
          <w:ilvl w:val="0"/>
          <w:numId w:val="22"/>
        </w:numPr>
      </w:pPr>
      <w:r>
        <w:t>Improved u</w:t>
      </w:r>
      <w:r w:rsidR="00FA718E" w:rsidRPr="00290488">
        <w:t>nderstanding</w:t>
      </w:r>
      <w:r w:rsidR="00FA718E">
        <w:t xml:space="preserve"> of </w:t>
      </w:r>
      <w:r w:rsidR="00FA718E" w:rsidRPr="00290488">
        <w:t xml:space="preserve">sepsis </w:t>
      </w:r>
      <w:r w:rsidR="00FA718E" w:rsidRPr="00774C3C">
        <w:t>prevalence</w:t>
      </w:r>
      <w:r>
        <w:t xml:space="preserve">, </w:t>
      </w:r>
      <w:r>
        <w:rPr>
          <w:bCs/>
        </w:rPr>
        <w:t xml:space="preserve">supporting </w:t>
      </w:r>
      <w:r w:rsidR="00FA718E">
        <w:t>s</w:t>
      </w:r>
      <w:r w:rsidR="00FA718E" w:rsidRPr="008F0D49">
        <w:t>ystem activity monitoring and</w:t>
      </w:r>
      <w:r w:rsidR="00172694">
        <w:t xml:space="preserve"> more accurate quantification of</w:t>
      </w:r>
      <w:r w:rsidR="00FA718E">
        <w:t xml:space="preserve"> the</w:t>
      </w:r>
      <w:r w:rsidR="00FA718E" w:rsidRPr="008F0D49">
        <w:t xml:space="preserve"> burden of disease</w:t>
      </w:r>
    </w:p>
    <w:p w14:paraId="096EC01C" w14:textId="02929980" w:rsidR="38AFCB9C" w:rsidRDefault="3B1EA6B1" w:rsidP="190CC2F4">
      <w:pPr>
        <w:pStyle w:val="ListParagraph"/>
        <w:numPr>
          <w:ilvl w:val="0"/>
          <w:numId w:val="22"/>
        </w:numPr>
      </w:pPr>
      <w:r w:rsidRPr="190CC2F4">
        <w:t>Improved quality of care through more effective implementation and evaluation of the Sepsis Clinical Care Standard, including assessment of compliance and achievement of key clinical indicators</w:t>
      </w:r>
    </w:p>
    <w:p w14:paraId="5203CB99" w14:textId="3B0697BC" w:rsidR="00FA718E" w:rsidRDefault="00FA718E" w:rsidP="00FA718E">
      <w:pPr>
        <w:pStyle w:val="ListParagraph"/>
        <w:numPr>
          <w:ilvl w:val="0"/>
          <w:numId w:val="22"/>
        </w:numPr>
      </w:pPr>
      <w:r>
        <w:t xml:space="preserve">Benchmarking </w:t>
      </w:r>
      <w:r w:rsidR="00172694">
        <w:t>capabilities, allowing compa</w:t>
      </w:r>
      <w:r w:rsidR="00312A76">
        <w:t>r</w:t>
      </w:r>
      <w:r w:rsidR="00172694">
        <w:t xml:space="preserve">isons across </w:t>
      </w:r>
      <w:r>
        <w:t xml:space="preserve">health services and </w:t>
      </w:r>
      <w:r w:rsidR="00312A76">
        <w:t>jurisdictions to identify best practice and areas for improvement</w:t>
      </w:r>
    </w:p>
    <w:p w14:paraId="76A69B2C" w14:textId="1DC885C9" w:rsidR="00FA718E" w:rsidRPr="008F0D49" w:rsidRDefault="00312A76" w:rsidP="00FA718E">
      <w:pPr>
        <w:pStyle w:val="ListParagraph"/>
        <w:numPr>
          <w:ilvl w:val="0"/>
          <w:numId w:val="22"/>
        </w:numPr>
      </w:pPr>
      <w:r>
        <w:rPr>
          <w:bCs/>
        </w:rPr>
        <w:t>Better p</w:t>
      </w:r>
      <w:r w:rsidR="00FA718E" w:rsidRPr="00290488">
        <w:rPr>
          <w:bCs/>
        </w:rPr>
        <w:t>atient experience</w:t>
      </w:r>
      <w:r>
        <w:rPr>
          <w:bCs/>
        </w:rPr>
        <w:t>, through access to more comprehensive and informative data to support patient communication and care planning</w:t>
      </w:r>
    </w:p>
    <w:p w14:paraId="29F8A5D7" w14:textId="5EF07D81" w:rsidR="00BB45C4" w:rsidRPr="008F0D49" w:rsidRDefault="00312A76" w:rsidP="006C4B33">
      <w:pPr>
        <w:pStyle w:val="ListParagraph"/>
        <w:numPr>
          <w:ilvl w:val="0"/>
          <w:numId w:val="22"/>
        </w:numPr>
      </w:pPr>
      <w:r>
        <w:rPr>
          <w:bCs/>
        </w:rPr>
        <w:t>Stronger r</w:t>
      </w:r>
      <w:r w:rsidR="00FA718E" w:rsidRPr="00223B47">
        <w:t xml:space="preserve">esearch and </w:t>
      </w:r>
      <w:r w:rsidR="00FA718E" w:rsidRPr="00290488">
        <w:rPr>
          <w:bCs/>
        </w:rPr>
        <w:t>p</w:t>
      </w:r>
      <w:r w:rsidR="00FA718E" w:rsidRPr="00774C3C">
        <w:rPr>
          <w:bCs/>
        </w:rPr>
        <w:t>olicy</w:t>
      </w:r>
      <w:r w:rsidR="00FA718E" w:rsidRPr="00290488">
        <w:rPr>
          <w:bCs/>
        </w:rPr>
        <w:t xml:space="preserve"> </w:t>
      </w:r>
      <w:r>
        <w:rPr>
          <w:bCs/>
        </w:rPr>
        <w:t>development, by expanding access to high-quality, national data</w:t>
      </w:r>
      <w:r w:rsidR="00FA718E">
        <w:rPr>
          <w:bCs/>
        </w:rPr>
        <w:t>.</w:t>
      </w:r>
    </w:p>
    <w:p w14:paraId="19402074" w14:textId="14187105" w:rsidR="00801C9E" w:rsidRPr="00223B47" w:rsidRDefault="00801C9E" w:rsidP="009532F4">
      <w:pPr>
        <w:pStyle w:val="Heading3"/>
      </w:pPr>
      <w:r w:rsidRPr="00223B47">
        <w:t>The vision statement</w:t>
      </w:r>
    </w:p>
    <w:p w14:paraId="7BCA95BE" w14:textId="5013E406" w:rsidR="000D54EA" w:rsidRDefault="00506D75" w:rsidP="00591DB0">
      <w:r w:rsidRPr="006A7630">
        <w:t>Establishing national</w:t>
      </w:r>
      <w:r w:rsidR="006A7630" w:rsidRPr="006A7630">
        <w:t xml:space="preserve"> data requires a clearly defined and agreed-upon scope to guide when, how, and why data is collected, reported, integrated, and used. </w:t>
      </w:r>
      <w:r w:rsidR="000D54EA">
        <w:t>However, p</w:t>
      </w:r>
      <w:r w:rsidR="006A7630" w:rsidRPr="006A7630">
        <w:t>reliminary stakeholder consultations</w:t>
      </w:r>
      <w:r w:rsidR="00534D01">
        <w:t xml:space="preserve"> with the Technical Advisory Group (TAG)</w:t>
      </w:r>
      <w:r w:rsidR="00534D01">
        <w:rPr>
          <w:rStyle w:val="FootnoteReference"/>
        </w:rPr>
        <w:footnoteReference w:id="8"/>
      </w:r>
      <w:r w:rsidR="006A7630" w:rsidRPr="006A7630">
        <w:t xml:space="preserve"> revealed </w:t>
      </w:r>
      <w:r w:rsidR="00534D01">
        <w:t xml:space="preserve">differing </w:t>
      </w:r>
      <w:r w:rsidR="006A7630" w:rsidRPr="006A7630">
        <w:t>understanding</w:t>
      </w:r>
      <w:r w:rsidR="00534D01">
        <w:t>s</w:t>
      </w:r>
      <w:r w:rsidR="0025498C">
        <w:t xml:space="preserve"> of </w:t>
      </w:r>
      <w:r w:rsidR="006A7630" w:rsidRPr="006A7630">
        <w:t>what should be included</w:t>
      </w:r>
      <w:r>
        <w:t>:</w:t>
      </w:r>
    </w:p>
    <w:p w14:paraId="7CD34AB9" w14:textId="4E955C1B" w:rsidR="00845241" w:rsidRDefault="000D54EA" w:rsidP="00591DB0">
      <w:r>
        <w:t>To bridge this, a</w:t>
      </w:r>
      <w:r w:rsidR="001C3307">
        <w:t>n</w:t>
      </w:r>
      <w:r w:rsidR="003A749E">
        <w:t xml:space="preserve"> initial</w:t>
      </w:r>
      <w:r w:rsidR="006A7630" w:rsidRPr="006A7630">
        <w:t xml:space="preserve"> vision statement </w:t>
      </w:r>
      <w:r w:rsidR="001C3307">
        <w:t>was developed</w:t>
      </w:r>
      <w:r w:rsidR="006A7630" w:rsidRPr="006A7630">
        <w:t xml:space="preserve"> to provide a clear, concise, and comprehensive definition of the desired future state for sepsis data in Australia.</w:t>
      </w:r>
      <w:r>
        <w:t xml:space="preserve"> </w:t>
      </w:r>
      <w:r w:rsidR="003A749E">
        <w:t xml:space="preserve">The initial vision statement was refined </w:t>
      </w:r>
      <w:r>
        <w:t xml:space="preserve">further </w:t>
      </w:r>
      <w:r w:rsidR="003A749E">
        <w:t>in</w:t>
      </w:r>
      <w:r w:rsidR="00845241">
        <w:t xml:space="preserve"> consultation with the </w:t>
      </w:r>
      <w:r w:rsidR="00534D01">
        <w:t>TAG</w:t>
      </w:r>
      <w:r>
        <w:t>, resulting in</w:t>
      </w:r>
      <w:r w:rsidR="003A749E">
        <w:t>:</w:t>
      </w:r>
    </w:p>
    <w:p w14:paraId="675BD926" w14:textId="77777777" w:rsidR="005C3498" w:rsidRPr="00901789" w:rsidRDefault="005C3498" w:rsidP="00210C37">
      <w:pPr>
        <w:ind w:left="720"/>
        <w:rPr>
          <w:rFonts w:ascii="Arial" w:eastAsia="Arial" w:hAnsi="Arial" w:cs="Times New Roman"/>
          <w:i/>
        </w:rPr>
      </w:pPr>
      <w:bookmarkStart w:id="10" w:name="_Hlk204183586"/>
      <w:r w:rsidRPr="00901789">
        <w:rPr>
          <w:rFonts w:ascii="Arial" w:eastAsia="Arial" w:hAnsi="Arial" w:cs="Times New Roman"/>
          <w:i/>
        </w:rPr>
        <w:t>Australia will have a robust standardised national data set that is contemporaneous and longitudinal. This will harmonise how sepsis is recorded, coded, reported and how that data is used. The national data set will establish the foundation for understanding sepsis prevalence, health system impact and outcomes to enhance clinical decision making and care, patient safety, quality improvement, and health services planning. It will also support and inform research priorities.</w:t>
      </w:r>
    </w:p>
    <w:bookmarkEnd w:id="10"/>
    <w:p w14:paraId="2E8F0A32" w14:textId="63ECF7DB" w:rsidR="007D6480" w:rsidRDefault="000D54EA" w:rsidP="00901789">
      <w:r>
        <w:t>Throughout</w:t>
      </w:r>
      <w:r w:rsidRPr="006B489D">
        <w:t xml:space="preserve"> </w:t>
      </w:r>
      <w:r w:rsidR="008376C0" w:rsidRPr="006B489D">
        <w:t xml:space="preserve">consultations with stakeholders </w:t>
      </w:r>
      <w:r w:rsidR="00506D75">
        <w:t>about</w:t>
      </w:r>
      <w:r w:rsidR="008376C0" w:rsidRPr="006B489D">
        <w:t xml:space="preserve"> national data, the vision statement was used to provide stakeholders with a clear framing of what </w:t>
      </w:r>
      <w:r w:rsidR="00506D75">
        <w:t>a</w:t>
      </w:r>
      <w:r w:rsidR="008376C0" w:rsidRPr="006B489D">
        <w:t xml:space="preserve"> national data </w:t>
      </w:r>
      <w:r w:rsidR="00506D75">
        <w:t>plan</w:t>
      </w:r>
      <w:r w:rsidR="00506D75" w:rsidRPr="006B489D">
        <w:t xml:space="preserve"> </w:t>
      </w:r>
      <w:r w:rsidR="008376C0" w:rsidRPr="006B489D">
        <w:t>is and aims to achieve.</w:t>
      </w:r>
    </w:p>
    <w:p w14:paraId="72A23206" w14:textId="70274340" w:rsidR="00CD3E51" w:rsidRPr="006B489D" w:rsidRDefault="008376C0" w:rsidP="00901789">
      <w:pPr>
        <w:rPr>
          <w:rFonts w:ascii="Arial" w:eastAsia="Arial" w:hAnsi="Arial" w:cs="Times New Roman"/>
          <w:iCs/>
        </w:rPr>
      </w:pPr>
      <w:r w:rsidRPr="006B489D">
        <w:t>Stakeholder</w:t>
      </w:r>
      <w:r w:rsidR="005208B7" w:rsidRPr="006B489D">
        <w:t>s</w:t>
      </w:r>
      <w:r w:rsidRPr="006B489D">
        <w:t xml:space="preserve"> </w:t>
      </w:r>
      <w:r w:rsidRPr="006B489D">
        <w:rPr>
          <w:rFonts w:ascii="Arial" w:eastAsia="Arial" w:hAnsi="Arial" w:cs="Times New Roman"/>
          <w:iCs/>
        </w:rPr>
        <w:t>generally agreed with the vision, however, cautioned that some aspects would be difficult to achieve.</w:t>
      </w:r>
      <w:r w:rsidR="00027933" w:rsidRPr="006B489D">
        <w:rPr>
          <w:rFonts w:ascii="Arial" w:eastAsia="Arial" w:hAnsi="Arial" w:cs="Times New Roman"/>
          <w:iCs/>
        </w:rPr>
        <w:t xml:space="preserve"> </w:t>
      </w:r>
      <w:r w:rsidR="0014788D" w:rsidRPr="006B489D">
        <w:rPr>
          <w:rFonts w:ascii="Arial" w:eastAsia="Arial" w:hAnsi="Arial" w:cs="Times New Roman"/>
          <w:iCs/>
        </w:rPr>
        <w:t xml:space="preserve">Stakeholders </w:t>
      </w:r>
      <w:r w:rsidR="51A35DEE">
        <w:t>noted</w:t>
      </w:r>
      <w:r w:rsidR="0014788D" w:rsidRPr="48972E25">
        <w:rPr>
          <w:rFonts w:ascii="Arial" w:eastAsia="Arial" w:hAnsi="Arial" w:cs="Times New Roman"/>
        </w:rPr>
        <w:t xml:space="preserve"> </w:t>
      </w:r>
      <w:r w:rsidR="351DB5C2" w:rsidRPr="48972E25">
        <w:rPr>
          <w:rFonts w:ascii="Arial" w:eastAsia="Arial" w:hAnsi="Arial" w:cs="Times New Roman"/>
        </w:rPr>
        <w:t>several</w:t>
      </w:r>
      <w:r w:rsidR="0014788D" w:rsidRPr="006B489D">
        <w:rPr>
          <w:rFonts w:ascii="Arial" w:eastAsia="Arial" w:hAnsi="Arial" w:cs="Times New Roman"/>
          <w:iCs/>
        </w:rPr>
        <w:t xml:space="preserve"> challenges in accurately and consistently reporting sepsis data </w:t>
      </w:r>
      <w:r w:rsidR="005C46F1" w:rsidRPr="006B489D">
        <w:rPr>
          <w:rFonts w:ascii="Arial" w:eastAsia="Arial" w:hAnsi="Arial" w:cs="Times New Roman"/>
          <w:iCs/>
        </w:rPr>
        <w:t xml:space="preserve">due to the complexity of the </w:t>
      </w:r>
      <w:r w:rsidR="000433B3">
        <w:rPr>
          <w:rFonts w:ascii="Arial" w:eastAsia="Arial" w:hAnsi="Arial" w:cs="Times New Roman"/>
          <w:iCs/>
        </w:rPr>
        <w:t>condition</w:t>
      </w:r>
      <w:r w:rsidR="00DF5626" w:rsidRPr="006B489D">
        <w:rPr>
          <w:rFonts w:ascii="Arial" w:eastAsia="Arial" w:hAnsi="Arial" w:cs="Times New Roman"/>
          <w:iCs/>
        </w:rPr>
        <w:t xml:space="preserve">. </w:t>
      </w:r>
      <w:r w:rsidR="001A2A3C" w:rsidRPr="006B489D">
        <w:rPr>
          <w:rFonts w:ascii="Arial" w:eastAsia="Arial" w:hAnsi="Arial" w:cs="Times New Roman"/>
          <w:iCs/>
        </w:rPr>
        <w:t xml:space="preserve">It was further identified that </w:t>
      </w:r>
      <w:r w:rsidR="2A16803B" w:rsidRPr="48972E25">
        <w:rPr>
          <w:rFonts w:ascii="Arial" w:eastAsia="Arial" w:hAnsi="Arial" w:cs="Times New Roman"/>
        </w:rPr>
        <w:t>in</w:t>
      </w:r>
      <w:r w:rsidR="000A5C31" w:rsidRPr="48972E25">
        <w:rPr>
          <w:rFonts w:ascii="Arial" w:eastAsia="Arial" w:hAnsi="Arial" w:cs="Times New Roman"/>
        </w:rPr>
        <w:t>consistent</w:t>
      </w:r>
      <w:r w:rsidR="000A5C31" w:rsidRPr="006B489D">
        <w:rPr>
          <w:rFonts w:ascii="Arial" w:eastAsia="Arial" w:hAnsi="Arial" w:cs="Times New Roman"/>
          <w:iCs/>
        </w:rPr>
        <w:t xml:space="preserve"> record </w:t>
      </w:r>
      <w:r w:rsidR="000A5C31" w:rsidRPr="006B489D">
        <w:rPr>
          <w:rFonts w:ascii="Arial" w:eastAsia="Arial" w:hAnsi="Arial" w:cs="Times New Roman"/>
          <w:iCs/>
        </w:rPr>
        <w:lastRenderedPageBreak/>
        <w:t>keeping</w:t>
      </w:r>
      <w:r w:rsidR="62DB0280" w:rsidRPr="48972E25">
        <w:rPr>
          <w:rFonts w:ascii="Arial" w:eastAsia="Arial" w:hAnsi="Arial" w:cs="Times New Roman"/>
        </w:rPr>
        <w:t>,</w:t>
      </w:r>
      <w:r w:rsidR="000A5C31" w:rsidRPr="006B489D">
        <w:rPr>
          <w:rFonts w:ascii="Arial" w:eastAsia="Arial" w:hAnsi="Arial" w:cs="Times New Roman"/>
          <w:iCs/>
        </w:rPr>
        <w:t xml:space="preserve"> and limited ICT systems</w:t>
      </w:r>
      <w:r w:rsidR="0B94A5E9" w:rsidRPr="48972E25">
        <w:rPr>
          <w:rFonts w:ascii="Arial" w:eastAsia="Arial" w:hAnsi="Arial" w:cs="Times New Roman"/>
        </w:rPr>
        <w:t xml:space="preserve"> are barriers to maintaining contemporaneous data.</w:t>
      </w:r>
      <w:r w:rsidR="000A5C31" w:rsidRPr="006B489D">
        <w:rPr>
          <w:rFonts w:ascii="Arial" w:eastAsia="Arial" w:hAnsi="Arial" w:cs="Times New Roman"/>
          <w:iCs/>
        </w:rPr>
        <w:t xml:space="preserve"> Stakeholder</w:t>
      </w:r>
      <w:r w:rsidR="00481229" w:rsidRPr="006B489D">
        <w:rPr>
          <w:rFonts w:ascii="Arial" w:eastAsia="Arial" w:hAnsi="Arial" w:cs="Times New Roman"/>
          <w:iCs/>
        </w:rPr>
        <w:t>s</w:t>
      </w:r>
      <w:r w:rsidR="000A5C31" w:rsidRPr="006B489D">
        <w:rPr>
          <w:rFonts w:ascii="Arial" w:eastAsia="Arial" w:hAnsi="Arial" w:cs="Times New Roman"/>
          <w:iCs/>
        </w:rPr>
        <w:t xml:space="preserve"> </w:t>
      </w:r>
      <w:r w:rsidR="667F1908" w:rsidRPr="48972E25">
        <w:rPr>
          <w:rFonts w:ascii="Arial" w:eastAsia="Arial" w:hAnsi="Arial" w:cs="Times New Roman"/>
        </w:rPr>
        <w:t xml:space="preserve">generally </w:t>
      </w:r>
      <w:r w:rsidR="000A5C31" w:rsidRPr="48972E25">
        <w:rPr>
          <w:rFonts w:ascii="Arial" w:eastAsia="Arial" w:hAnsi="Arial" w:cs="Times New Roman"/>
        </w:rPr>
        <w:t>acknowledge</w:t>
      </w:r>
      <w:r w:rsidR="5F3D2059" w:rsidRPr="48972E25">
        <w:rPr>
          <w:rFonts w:ascii="Arial" w:eastAsia="Arial" w:hAnsi="Arial" w:cs="Times New Roman"/>
        </w:rPr>
        <w:t>d</w:t>
      </w:r>
      <w:r w:rsidR="000A5C31" w:rsidRPr="006B489D">
        <w:rPr>
          <w:rFonts w:ascii="Arial" w:eastAsia="Arial" w:hAnsi="Arial" w:cs="Times New Roman"/>
          <w:iCs/>
        </w:rPr>
        <w:t xml:space="preserve"> that these challenges can be addressed and </w:t>
      </w:r>
      <w:r w:rsidR="7787E09E" w:rsidRPr="48972E25">
        <w:rPr>
          <w:rFonts w:ascii="Arial" w:eastAsia="Arial" w:hAnsi="Arial" w:cs="Times New Roman"/>
        </w:rPr>
        <w:t>that</w:t>
      </w:r>
      <w:r w:rsidR="000A5C31" w:rsidRPr="48972E25">
        <w:rPr>
          <w:rFonts w:ascii="Arial" w:eastAsia="Arial" w:hAnsi="Arial" w:cs="Times New Roman"/>
        </w:rPr>
        <w:t xml:space="preserve"> </w:t>
      </w:r>
      <w:r w:rsidR="000A5C31" w:rsidRPr="006B489D">
        <w:rPr>
          <w:rFonts w:ascii="Arial" w:eastAsia="Arial" w:hAnsi="Arial" w:cs="Times New Roman"/>
          <w:iCs/>
        </w:rPr>
        <w:t>improve</w:t>
      </w:r>
      <w:r w:rsidR="00736BEC" w:rsidRPr="006B489D">
        <w:rPr>
          <w:rFonts w:ascii="Arial" w:eastAsia="Arial" w:hAnsi="Arial" w:cs="Times New Roman"/>
          <w:iCs/>
        </w:rPr>
        <w:t>ments</w:t>
      </w:r>
      <w:r w:rsidR="000A5C31" w:rsidRPr="006B489D">
        <w:rPr>
          <w:rFonts w:ascii="Arial" w:eastAsia="Arial" w:hAnsi="Arial" w:cs="Times New Roman"/>
          <w:iCs/>
        </w:rPr>
        <w:t xml:space="preserve"> in these areas would be valuable.</w:t>
      </w:r>
    </w:p>
    <w:p w14:paraId="113FDCB0" w14:textId="65ABC8F2" w:rsidR="00801C9E" w:rsidRPr="00CD3E51" w:rsidRDefault="00801C9E" w:rsidP="00CD3E51">
      <w:pPr>
        <w:pStyle w:val="Heading3"/>
        <w:ind w:left="1440"/>
      </w:pPr>
      <w:r w:rsidRPr="00CD3E51">
        <w:t xml:space="preserve">What should a national data </w:t>
      </w:r>
      <w:r w:rsidR="00506D75">
        <w:t>strategy</w:t>
      </w:r>
      <w:r w:rsidR="00506D75" w:rsidRPr="00CD3E51">
        <w:t xml:space="preserve"> </w:t>
      </w:r>
      <w:r w:rsidRPr="00CD3E51">
        <w:t>measure?</w:t>
      </w:r>
    </w:p>
    <w:p w14:paraId="6A31F167" w14:textId="24A6E458" w:rsidR="009355F0" w:rsidRPr="00EB1AB5" w:rsidRDefault="30B5B00C" w:rsidP="00CE04E9">
      <w:r>
        <w:t xml:space="preserve">To align national data to the National Sepsis </w:t>
      </w:r>
      <w:r w:rsidR="00E47DF8">
        <w:t xml:space="preserve">Program </w:t>
      </w:r>
      <w:r>
        <w:t>Extension and its goal to drive improvements in sepsis care models, indicators that capture the prevalence of sepsis, the quality of care provided</w:t>
      </w:r>
      <w:r w:rsidR="1D855C16">
        <w:t>,</w:t>
      </w:r>
      <w:r>
        <w:t xml:space="preserve"> and </w:t>
      </w:r>
      <w:r w:rsidR="0A93998B">
        <w:t xml:space="preserve">patient </w:t>
      </w:r>
      <w:r>
        <w:t>outcome</w:t>
      </w:r>
      <w:r w:rsidR="00024202">
        <w:t>s</w:t>
      </w:r>
      <w:r>
        <w:t xml:space="preserve"> should be measured. In this way, the data should capture the incidences of sepsis, </w:t>
      </w:r>
      <w:r w:rsidR="070A6867">
        <w:t xml:space="preserve">time to recognition and management, </w:t>
      </w:r>
      <w:r>
        <w:t xml:space="preserve">treatment measures, health system impact, patient experience and finally </w:t>
      </w:r>
      <w:r w:rsidR="152C3A02">
        <w:t>health</w:t>
      </w:r>
      <w:r>
        <w:t xml:space="preserve"> outcomes, including rates of readmission, and mortality.</w:t>
      </w:r>
    </w:p>
    <w:p w14:paraId="1AF1286C" w14:textId="14BFBB76" w:rsidR="006F19A2" w:rsidRPr="00EB1AB5" w:rsidRDefault="00A14777" w:rsidP="00CE04E9">
      <w:r w:rsidRPr="00EB1AB5">
        <w:rPr>
          <w:rFonts w:ascii="Arial" w:eastAsia="Arial" w:hAnsi="Arial" w:cs="Times New Roman"/>
          <w:iCs/>
        </w:rPr>
        <w:t xml:space="preserve">The design of a </w:t>
      </w:r>
      <w:r w:rsidR="00DB5A32" w:rsidRPr="00EB1AB5">
        <w:rPr>
          <w:rFonts w:ascii="Arial" w:eastAsia="Arial" w:hAnsi="Arial" w:cs="Times New Roman"/>
          <w:iCs/>
        </w:rPr>
        <w:t xml:space="preserve">national data </w:t>
      </w:r>
      <w:r w:rsidR="008B17F8">
        <w:rPr>
          <w:rFonts w:ascii="Arial" w:eastAsia="Arial" w:hAnsi="Arial" w:cs="Times New Roman"/>
          <w:iCs/>
        </w:rPr>
        <w:t xml:space="preserve">strategy </w:t>
      </w:r>
      <w:r w:rsidR="00DB5A32" w:rsidRPr="00EB1AB5">
        <w:rPr>
          <w:rFonts w:ascii="Arial" w:eastAsia="Arial" w:hAnsi="Arial" w:cs="Times New Roman"/>
          <w:iCs/>
        </w:rPr>
        <w:t>should build upon existing data measures</w:t>
      </w:r>
      <w:r w:rsidR="00331102" w:rsidRPr="00EB1AB5">
        <w:rPr>
          <w:rFonts w:ascii="Arial" w:eastAsia="Arial" w:hAnsi="Arial" w:cs="Times New Roman"/>
          <w:iCs/>
        </w:rPr>
        <w:t xml:space="preserve"> </w:t>
      </w:r>
      <w:r w:rsidR="00AB02A3" w:rsidRPr="00EB1AB5">
        <w:rPr>
          <w:rFonts w:ascii="Arial" w:eastAsia="Arial" w:hAnsi="Arial" w:cs="Times New Roman"/>
          <w:iCs/>
        </w:rPr>
        <w:t xml:space="preserve">as much as </w:t>
      </w:r>
      <w:r w:rsidR="00ED3CFF" w:rsidRPr="00EB1AB5">
        <w:rPr>
          <w:rFonts w:ascii="Arial" w:eastAsia="Arial" w:hAnsi="Arial" w:cs="Times New Roman"/>
          <w:iCs/>
        </w:rPr>
        <w:t>possible and</w:t>
      </w:r>
      <w:r w:rsidR="00AE2E8B" w:rsidRPr="00EB1AB5">
        <w:rPr>
          <w:rFonts w:ascii="Arial" w:eastAsia="Arial" w:hAnsi="Arial" w:cs="Times New Roman"/>
          <w:iCs/>
        </w:rPr>
        <w:t xml:space="preserve"> align existing efforts</w:t>
      </w:r>
      <w:r w:rsidR="00024202">
        <w:rPr>
          <w:rFonts w:ascii="Arial" w:eastAsia="Arial" w:hAnsi="Arial" w:cs="Times New Roman"/>
          <w:iCs/>
        </w:rPr>
        <w:t>,</w:t>
      </w:r>
      <w:r w:rsidR="00AB02A3" w:rsidRPr="00EB1AB5">
        <w:rPr>
          <w:rFonts w:ascii="Arial" w:eastAsia="Arial" w:hAnsi="Arial" w:cs="Times New Roman"/>
          <w:iCs/>
        </w:rPr>
        <w:t xml:space="preserve"> by</w:t>
      </w:r>
      <w:r w:rsidR="00331102" w:rsidRPr="00EB1AB5">
        <w:rPr>
          <w:rFonts w:ascii="Arial" w:eastAsia="Arial" w:hAnsi="Arial" w:cs="Times New Roman"/>
          <w:iCs/>
        </w:rPr>
        <w:t xml:space="preserve"> </w:t>
      </w:r>
      <w:r w:rsidR="00FD750D" w:rsidRPr="00EB1AB5">
        <w:t xml:space="preserve">expanding and improving the epidemiological data </w:t>
      </w:r>
      <w:r w:rsidR="00331102" w:rsidRPr="00EB1AB5">
        <w:t>on</w:t>
      </w:r>
      <w:r w:rsidR="00FD750D" w:rsidRPr="00EB1AB5">
        <w:t xml:space="preserve"> </w:t>
      </w:r>
      <w:r w:rsidR="00AB02A3" w:rsidRPr="00EB1AB5">
        <w:t>the prevalence</w:t>
      </w:r>
      <w:r w:rsidR="00331102" w:rsidRPr="00EB1AB5">
        <w:t xml:space="preserve"> of sepsis</w:t>
      </w:r>
      <w:r w:rsidR="00F96B1C" w:rsidRPr="00EB1AB5">
        <w:t>,</w:t>
      </w:r>
      <w:r w:rsidR="00025CF6" w:rsidRPr="00EB1AB5">
        <w:t xml:space="preserve"> </w:t>
      </w:r>
      <w:r w:rsidR="001B2343" w:rsidRPr="00EB1AB5">
        <w:t xml:space="preserve">who is experiencing </w:t>
      </w:r>
      <w:r w:rsidR="00AB22BF" w:rsidRPr="00EB1AB5">
        <w:t>it</w:t>
      </w:r>
      <w:r w:rsidR="002F15B3" w:rsidRPr="00EB1AB5">
        <w:t xml:space="preserve"> </w:t>
      </w:r>
      <w:r w:rsidR="00AB22BF" w:rsidRPr="00EB1AB5">
        <w:t xml:space="preserve">and </w:t>
      </w:r>
      <w:r w:rsidR="009362CF" w:rsidRPr="00EB1AB5">
        <w:t>of what severity</w:t>
      </w:r>
      <w:r w:rsidR="00FD750D" w:rsidRPr="00EB1AB5">
        <w:t>.</w:t>
      </w:r>
      <w:r w:rsidR="00B61DDA" w:rsidRPr="00EB1AB5">
        <w:t xml:space="preserve"> </w:t>
      </w:r>
      <w:r w:rsidR="00F14849" w:rsidRPr="00EB1AB5">
        <w:t>Likewise, t</w:t>
      </w:r>
      <w:r w:rsidR="009F7780" w:rsidRPr="00EB1AB5">
        <w:t xml:space="preserve">he Sepsis Clinical Care Standards Indicators </w:t>
      </w:r>
      <w:r w:rsidR="008B275A">
        <w:t xml:space="preserve">can </w:t>
      </w:r>
      <w:r w:rsidR="004E5B72" w:rsidRPr="00EB1AB5">
        <w:t>serve as a</w:t>
      </w:r>
      <w:r w:rsidR="002E5334" w:rsidRPr="00EB1AB5">
        <w:t xml:space="preserve"> starting point </w:t>
      </w:r>
      <w:r w:rsidR="000433B3">
        <w:t>for</w:t>
      </w:r>
      <w:r w:rsidR="002E5334" w:rsidRPr="00EB1AB5">
        <w:t xml:space="preserve"> a</w:t>
      </w:r>
      <w:r w:rsidR="000622B5" w:rsidRPr="00EB1AB5">
        <w:t xml:space="preserve"> comprehensive and</w:t>
      </w:r>
      <w:r w:rsidR="006711F7" w:rsidRPr="00EB1AB5">
        <w:t xml:space="preserve"> nationally aligned</w:t>
      </w:r>
      <w:r w:rsidR="004E5B72" w:rsidRPr="00EB1AB5">
        <w:t xml:space="preserve"> </w:t>
      </w:r>
      <w:r w:rsidR="0003031D" w:rsidRPr="00EB1AB5">
        <w:t>set</w:t>
      </w:r>
      <w:r w:rsidR="004E5B72" w:rsidRPr="00EB1AB5">
        <w:t xml:space="preserve"> </w:t>
      </w:r>
      <w:r w:rsidR="006711F7" w:rsidRPr="00EB1AB5">
        <w:t xml:space="preserve">of measures </w:t>
      </w:r>
      <w:r w:rsidR="00DA1F1D" w:rsidRPr="00EB1AB5">
        <w:t xml:space="preserve">to </w:t>
      </w:r>
      <w:r w:rsidR="001D411A" w:rsidRPr="00EB1AB5">
        <w:t>track and</w:t>
      </w:r>
      <w:r w:rsidR="00DA1F1D" w:rsidRPr="00EB1AB5">
        <w:t xml:space="preserve"> improve </w:t>
      </w:r>
      <w:r w:rsidR="00316C6A" w:rsidRPr="00EB1AB5">
        <w:t xml:space="preserve">the </w:t>
      </w:r>
      <w:r w:rsidR="001D411A" w:rsidRPr="00EB1AB5">
        <w:t>provision of care</w:t>
      </w:r>
      <w:r w:rsidR="00316C6A" w:rsidRPr="00EB1AB5">
        <w:t xml:space="preserve"> for patients </w:t>
      </w:r>
      <w:r w:rsidR="001D411A" w:rsidRPr="00EB1AB5">
        <w:t xml:space="preserve">with </w:t>
      </w:r>
      <w:r w:rsidR="00B25CED" w:rsidRPr="00EB1AB5">
        <w:t>sepsis</w:t>
      </w:r>
      <w:r w:rsidR="002A188E" w:rsidRPr="00EB1AB5">
        <w:t>.</w:t>
      </w:r>
      <w:r w:rsidR="006E78ED" w:rsidRPr="00EB1AB5">
        <w:t xml:space="preserve"> </w:t>
      </w:r>
      <w:r w:rsidR="005D63AA" w:rsidRPr="00EB1AB5">
        <w:t>The standard</w:t>
      </w:r>
      <w:r w:rsidR="009362CF" w:rsidRPr="00EB1AB5">
        <w:t>s</w:t>
      </w:r>
      <w:r w:rsidR="002E5334" w:rsidRPr="00EB1AB5">
        <w:t xml:space="preserve"> include </w:t>
      </w:r>
      <w:r w:rsidR="006C0366" w:rsidRPr="00EB1AB5">
        <w:t>measures such as the</w:t>
      </w:r>
      <w:r w:rsidR="00E457EA" w:rsidRPr="00EB1AB5">
        <w:t xml:space="preserve"> time to treat</w:t>
      </w:r>
      <w:r w:rsidR="00FF1EB9" w:rsidRPr="00EB1AB5">
        <w:t>ment with antibiotics</w:t>
      </w:r>
      <w:r w:rsidR="00E457EA" w:rsidRPr="00EB1AB5">
        <w:t>,</w:t>
      </w:r>
      <w:r w:rsidR="00484266" w:rsidRPr="00EB1AB5">
        <w:t xml:space="preserve"> and </w:t>
      </w:r>
      <w:r w:rsidR="002D68A3" w:rsidRPr="00EB1AB5">
        <w:t xml:space="preserve">patient </w:t>
      </w:r>
      <w:r w:rsidR="006C0366" w:rsidRPr="00EB1AB5">
        <w:t>experience</w:t>
      </w:r>
      <w:r w:rsidR="00047E0D" w:rsidRPr="00EB1AB5">
        <w:t xml:space="preserve"> metrics</w:t>
      </w:r>
      <w:r w:rsidR="002D68A3" w:rsidRPr="00EB1AB5">
        <w:t>.</w:t>
      </w:r>
    </w:p>
    <w:p w14:paraId="78B093E5" w14:textId="64481137" w:rsidR="0071762D" w:rsidRDefault="0071762D" w:rsidP="004A54BB">
      <w:pPr>
        <w:rPr>
          <w:rFonts w:asciiTheme="majorHAnsi" w:eastAsiaTheme="majorEastAsia" w:hAnsiTheme="majorHAnsi" w:cstheme="majorBidi"/>
          <w:color w:val="3E3E3E" w:themeColor="accent1" w:themeShade="BF"/>
          <w:sz w:val="40"/>
          <w:szCs w:val="40"/>
        </w:rPr>
      </w:pPr>
      <w:r>
        <w:br w:type="page"/>
      </w:r>
    </w:p>
    <w:p w14:paraId="0DC3CDDF" w14:textId="72B72FC5" w:rsidR="002378DB" w:rsidRPr="00BA406E" w:rsidRDefault="002378DB" w:rsidP="009532F4">
      <w:pPr>
        <w:pStyle w:val="Heading1"/>
        <w:rPr>
          <w:rFonts w:ascii="Arial" w:hAnsi="Arial" w:cs="Arial"/>
        </w:rPr>
      </w:pPr>
      <w:bookmarkStart w:id="11" w:name="_Toc204787701"/>
      <w:r w:rsidRPr="00BA406E">
        <w:rPr>
          <w:rFonts w:ascii="Arial" w:hAnsi="Arial" w:cs="Arial"/>
        </w:rPr>
        <w:lastRenderedPageBreak/>
        <w:t>The current state of sepsis data</w:t>
      </w:r>
      <w:bookmarkEnd w:id="11"/>
    </w:p>
    <w:p w14:paraId="6C7B9278" w14:textId="76143908" w:rsidR="00602D9E" w:rsidRPr="009532F4" w:rsidRDefault="005720C6" w:rsidP="009532F4">
      <w:r w:rsidRPr="009532F4">
        <w:t xml:space="preserve">This section considers the current state of </w:t>
      </w:r>
      <w:r w:rsidR="00C7382C" w:rsidRPr="009532F4">
        <w:t>s</w:t>
      </w:r>
      <w:r w:rsidRPr="009532F4">
        <w:t>epsis data within Australia</w:t>
      </w:r>
      <w:r w:rsidR="001918DC" w:rsidRPr="009532F4">
        <w:t xml:space="preserve">, its collection, sharing, </w:t>
      </w:r>
      <w:r w:rsidRPr="009532F4">
        <w:t>and usage</w:t>
      </w:r>
      <w:r w:rsidR="00214364" w:rsidRPr="009532F4">
        <w:t>. It finds that</w:t>
      </w:r>
      <w:r w:rsidR="004D3C73" w:rsidRPr="009532F4">
        <w:t xml:space="preserve"> with some exceptions, sepsis data is</w:t>
      </w:r>
      <w:r w:rsidR="00E86C7E" w:rsidRPr="009532F4">
        <w:t xml:space="preserve"> subject to inconsistent collection and coding practices,</w:t>
      </w:r>
      <w:r w:rsidR="00602D9E" w:rsidRPr="009532F4">
        <w:t xml:space="preserve"> </w:t>
      </w:r>
      <w:r w:rsidR="00DC353A" w:rsidRPr="009532F4">
        <w:t xml:space="preserve">restrictive sharing </w:t>
      </w:r>
      <w:r w:rsidR="00602D9E" w:rsidRPr="009532F4">
        <w:t xml:space="preserve">and </w:t>
      </w:r>
      <w:r w:rsidR="00A72009" w:rsidRPr="009532F4">
        <w:t>siloing</w:t>
      </w:r>
      <w:r w:rsidR="00DC353A" w:rsidRPr="009532F4">
        <w:t xml:space="preserve">, and </w:t>
      </w:r>
      <w:r w:rsidR="0050536F" w:rsidRPr="009532F4">
        <w:t>resourcing vulnerability and underfunding</w:t>
      </w:r>
      <w:r w:rsidR="00EB5187">
        <w:t>. This</w:t>
      </w:r>
      <w:r w:rsidR="00C7382C" w:rsidRPr="009532F4">
        <w:t xml:space="preserve"> resul</w:t>
      </w:r>
      <w:r w:rsidR="00015BC0">
        <w:t>ts</w:t>
      </w:r>
      <w:r w:rsidR="00C7382C" w:rsidRPr="009532F4">
        <w:t xml:space="preserve"> in fragmented data sets of varying q</w:t>
      </w:r>
      <w:r w:rsidR="00C7382C" w:rsidRPr="00DE2428">
        <w:t>uality.</w:t>
      </w:r>
      <w:r w:rsidR="00602D9E" w:rsidRPr="00DE2428">
        <w:t xml:space="preserve"> </w:t>
      </w:r>
      <w:r w:rsidR="00AD5D6B" w:rsidRPr="00DE2428">
        <w:t>Further,</w:t>
      </w:r>
      <w:r w:rsidR="006B6A06">
        <w:t xml:space="preserve"> it confirms</w:t>
      </w:r>
      <w:r w:rsidR="00AD5D6B" w:rsidRPr="00DE2428">
        <w:t xml:space="preserve"> that clear gaps in data collection – such as </w:t>
      </w:r>
      <w:r w:rsidR="00DE2428" w:rsidRPr="00DE2428">
        <w:t xml:space="preserve">patient-recorded experience and outcome measures </w:t>
      </w:r>
      <w:r w:rsidR="00AD5D6B" w:rsidRPr="00DE2428">
        <w:t>– are well known.</w:t>
      </w:r>
      <w:r w:rsidR="00956B3C">
        <w:rPr>
          <w:rStyle w:val="FootnoteReference"/>
        </w:rPr>
        <w:footnoteReference w:id="9"/>
      </w:r>
    </w:p>
    <w:p w14:paraId="7EFEAA09" w14:textId="2C2BDF5C" w:rsidR="00796A57" w:rsidRDefault="00AD5D6B" w:rsidP="009532F4">
      <w:r w:rsidRPr="002B5782">
        <w:t xml:space="preserve">Despite this, </w:t>
      </w:r>
      <w:r w:rsidR="00DE2428" w:rsidRPr="002B5782">
        <w:t xml:space="preserve">it is well recognised that high-quality </w:t>
      </w:r>
      <w:r w:rsidRPr="002B5782">
        <w:t xml:space="preserve">data </w:t>
      </w:r>
      <w:r w:rsidR="00DE2428" w:rsidRPr="002B5782">
        <w:t xml:space="preserve">plays </w:t>
      </w:r>
      <w:r w:rsidR="008465D0" w:rsidRPr="002B5782">
        <w:t xml:space="preserve">a critical role in the uplift of clinical care and professional development, </w:t>
      </w:r>
      <w:r w:rsidR="00C15594" w:rsidRPr="002B5782">
        <w:t xml:space="preserve">including the </w:t>
      </w:r>
      <w:r w:rsidR="008465D0" w:rsidRPr="002B5782">
        <w:t>development of sepsis pathways</w:t>
      </w:r>
      <w:r w:rsidR="00C15594" w:rsidRPr="002B5782">
        <w:t xml:space="preserve">. </w:t>
      </w:r>
      <w:r w:rsidR="00015BC0">
        <w:t>W</w:t>
      </w:r>
      <w:r w:rsidR="00B25EE5" w:rsidRPr="002B5782">
        <w:t>ithout</w:t>
      </w:r>
      <w:r w:rsidR="007D574D">
        <w:t xml:space="preserve"> access to</w:t>
      </w:r>
      <w:r w:rsidR="00B25EE5" w:rsidRPr="002B5782">
        <w:t xml:space="preserve"> more effective datasets, efforts to reduce the lived</w:t>
      </w:r>
      <w:r w:rsidR="00015BC0">
        <w:t xml:space="preserve">, </w:t>
      </w:r>
      <w:r w:rsidR="00B25EE5" w:rsidRPr="002B5782">
        <w:t xml:space="preserve">and financial burden of sepsis will continue to be </w:t>
      </w:r>
      <w:r w:rsidR="002B5782" w:rsidRPr="002B5782">
        <w:t>impeded.</w:t>
      </w:r>
    </w:p>
    <w:p w14:paraId="21E35B66" w14:textId="3D79198B" w:rsidR="002378DB" w:rsidRPr="00382E6B" w:rsidRDefault="00801C9E" w:rsidP="00F30156">
      <w:pPr>
        <w:pStyle w:val="Heading2"/>
        <w:rPr>
          <w:rFonts w:ascii="Arial" w:hAnsi="Arial" w:cs="Arial"/>
          <w:sz w:val="30"/>
          <w:szCs w:val="30"/>
        </w:rPr>
      </w:pPr>
      <w:bookmarkStart w:id="12" w:name="_Toc204787702"/>
      <w:r w:rsidRPr="00382E6B">
        <w:rPr>
          <w:rFonts w:ascii="Arial" w:hAnsi="Arial" w:cs="Arial"/>
          <w:sz w:val="30"/>
          <w:szCs w:val="30"/>
        </w:rPr>
        <w:t>Data collection</w:t>
      </w:r>
      <w:bookmarkEnd w:id="12"/>
    </w:p>
    <w:p w14:paraId="13F3C02C" w14:textId="6839180F" w:rsidR="002123BA" w:rsidRDefault="00A0735D" w:rsidP="009532F4">
      <w:r>
        <w:t xml:space="preserve">The </w:t>
      </w:r>
      <w:r w:rsidR="002123BA">
        <w:t xml:space="preserve">current state of </w:t>
      </w:r>
      <w:r>
        <w:t xml:space="preserve">Australian </w:t>
      </w:r>
      <w:r w:rsidR="002123BA">
        <w:t>sepsis data collection is marked by significant variability</w:t>
      </w:r>
      <w:r w:rsidR="003C2EE4">
        <w:t xml:space="preserve"> and </w:t>
      </w:r>
      <w:r w:rsidR="002123BA">
        <w:t>fragmentation</w:t>
      </w:r>
      <w:r w:rsidR="003C2EE4">
        <w:t xml:space="preserve"> </w:t>
      </w:r>
      <w:r w:rsidR="00AC34EF">
        <w:t xml:space="preserve">broadly attributable to </w:t>
      </w:r>
      <w:r w:rsidR="00720004">
        <w:t>inconsistent definitions, resourc</w:t>
      </w:r>
      <w:r w:rsidR="005D5295">
        <w:t xml:space="preserve">ing </w:t>
      </w:r>
      <w:r w:rsidR="00720004">
        <w:t xml:space="preserve">constraints, and </w:t>
      </w:r>
      <w:r w:rsidR="005D5295">
        <w:t xml:space="preserve">the </w:t>
      </w:r>
      <w:r w:rsidR="00A37D22">
        <w:t>persistence of manual processes</w:t>
      </w:r>
      <w:r w:rsidR="005D5295">
        <w:t xml:space="preserve"> for data entry</w:t>
      </w:r>
      <w:r w:rsidR="00A37D22">
        <w:t>.</w:t>
      </w:r>
    </w:p>
    <w:p w14:paraId="65E80506" w14:textId="18A7C239" w:rsidR="002123BA" w:rsidRDefault="00973BA1" w:rsidP="009532F4">
      <w:r w:rsidRPr="00430D04">
        <w:t xml:space="preserve">Within each </w:t>
      </w:r>
      <w:r w:rsidR="005D5295" w:rsidRPr="00430D04">
        <w:t xml:space="preserve">consultation, </w:t>
      </w:r>
      <w:r w:rsidR="00A95447" w:rsidRPr="00430D04">
        <w:t xml:space="preserve">concerns </w:t>
      </w:r>
      <w:r w:rsidR="009D107B">
        <w:t>about</w:t>
      </w:r>
      <w:r w:rsidR="00A95447" w:rsidRPr="00430D04">
        <w:t xml:space="preserve"> the consistency </w:t>
      </w:r>
      <w:r w:rsidR="002123BA" w:rsidRPr="00430D04">
        <w:t>of sepsis</w:t>
      </w:r>
      <w:r w:rsidR="00A95447" w:rsidRPr="00430D04">
        <w:t xml:space="preserve"> definitions</w:t>
      </w:r>
      <w:r w:rsidR="5489F1FB">
        <w:t xml:space="preserve"> were heard</w:t>
      </w:r>
      <w:r w:rsidR="002123BA" w:rsidRPr="00430D04">
        <w:t>.</w:t>
      </w:r>
      <w:r w:rsidR="00430D04" w:rsidRPr="007900A8">
        <w:rPr>
          <w:rStyle w:val="FootnoteReference"/>
        </w:rPr>
        <w:footnoteReference w:id="10"/>
      </w:r>
      <w:r w:rsidR="00430D04">
        <w:t xml:space="preserve"> </w:t>
      </w:r>
      <w:r w:rsidR="00066756" w:rsidRPr="00430D04">
        <w:t xml:space="preserve">For instance, clinicians may document a primary infection (e.g., pneumonia) without explicitly noting </w:t>
      </w:r>
      <w:r w:rsidR="00430D04" w:rsidRPr="00430D04">
        <w:t>‘sepsis’,</w:t>
      </w:r>
      <w:r w:rsidR="00066756" w:rsidRPr="00430D04">
        <w:t xml:space="preserve"> leading to underreporting in administrative datasets. This </w:t>
      </w:r>
      <w:bookmarkStart w:id="13" w:name="_Int_sMN5zk29"/>
      <w:r w:rsidR="00066756" w:rsidRPr="00430D04">
        <w:t>disconnect</w:t>
      </w:r>
      <w:bookmarkEnd w:id="13"/>
      <w:r w:rsidR="00066756" w:rsidRPr="00430D04">
        <w:t xml:space="preserve"> between clinical reality and coded data significantly hampers the ability to track sepsis incidence and outcomes accurately.</w:t>
      </w:r>
      <w:r w:rsidR="00066756">
        <w:t xml:space="preserve"> </w:t>
      </w:r>
      <w:r w:rsidR="00A95447" w:rsidRPr="007900A8">
        <w:t xml:space="preserve">At a national level, </w:t>
      </w:r>
      <w:r w:rsidR="00DF7781" w:rsidRPr="007900A8">
        <w:t xml:space="preserve">these inconsistencies </w:t>
      </w:r>
      <w:r w:rsidR="002123BA" w:rsidRPr="007900A8">
        <w:t xml:space="preserve">undermine the comparability of data across jurisdictions and limit the </w:t>
      </w:r>
      <w:r w:rsidR="00A95447" w:rsidRPr="007900A8">
        <w:t xml:space="preserve">ability </w:t>
      </w:r>
      <w:r w:rsidR="00854296" w:rsidRPr="007900A8">
        <w:t xml:space="preserve">to rely on </w:t>
      </w:r>
      <w:r w:rsidR="007C1D75" w:rsidRPr="007900A8">
        <w:t xml:space="preserve">inter-jurisdictional </w:t>
      </w:r>
      <w:r w:rsidR="00854296" w:rsidRPr="007900A8">
        <w:t xml:space="preserve">data sets for </w:t>
      </w:r>
      <w:r w:rsidR="002123BA" w:rsidRPr="007900A8">
        <w:t>benchmarking.</w:t>
      </w:r>
    </w:p>
    <w:p w14:paraId="6D6B0FEE" w14:textId="375EE3D6" w:rsidR="00BF386E" w:rsidRDefault="00E621A1" w:rsidP="009532F4">
      <w:r>
        <w:t xml:space="preserve">Compounding this issue, </w:t>
      </w:r>
      <w:r w:rsidR="00854296" w:rsidRPr="00291F78">
        <w:t>resourc</w:t>
      </w:r>
      <w:r w:rsidR="00342F2A">
        <w:t xml:space="preserve">ing </w:t>
      </w:r>
      <w:r w:rsidR="00854296" w:rsidRPr="00291F78">
        <w:t>constraints</w:t>
      </w:r>
      <w:r w:rsidR="007900A8">
        <w:t xml:space="preserve"> </w:t>
      </w:r>
      <w:r w:rsidR="00854296" w:rsidRPr="00291F78">
        <w:t>pose</w:t>
      </w:r>
      <w:r w:rsidR="004940D9">
        <w:t xml:space="preserve"> a</w:t>
      </w:r>
      <w:r w:rsidR="00066C71">
        <w:t xml:space="preserve"> consistent challenge to </w:t>
      </w:r>
      <w:r w:rsidR="00854296">
        <w:t xml:space="preserve">data collection. Throughout consultations, stakeholders noted that </w:t>
      </w:r>
      <w:r w:rsidR="00B42762">
        <w:t xml:space="preserve">shortages in </w:t>
      </w:r>
      <w:r w:rsidR="00854296" w:rsidRPr="00291F78">
        <w:t xml:space="preserve">dedicated personnel to conduct regular </w:t>
      </w:r>
      <w:r w:rsidR="00854296">
        <w:t xml:space="preserve">data </w:t>
      </w:r>
      <w:r w:rsidR="00854296" w:rsidRPr="00291F78">
        <w:t xml:space="preserve">audits, </w:t>
      </w:r>
      <w:r w:rsidR="00854296">
        <w:t>validation</w:t>
      </w:r>
      <w:r w:rsidR="00854296" w:rsidRPr="00291F78">
        <w:t>, or quality improvement initiatives</w:t>
      </w:r>
      <w:r w:rsidR="00B42762">
        <w:t>, directly impacted the ability to collect data</w:t>
      </w:r>
      <w:r w:rsidR="00854296" w:rsidRPr="00291F78">
        <w:t>.</w:t>
      </w:r>
      <w:r w:rsidR="0034513F">
        <w:rPr>
          <w:rStyle w:val="FootnoteReference"/>
        </w:rPr>
        <w:footnoteReference w:id="11"/>
      </w:r>
      <w:r w:rsidR="00854296" w:rsidRPr="00291F78">
        <w:t xml:space="preserve"> </w:t>
      </w:r>
      <w:r w:rsidR="00B42762">
        <w:t>Further</w:t>
      </w:r>
      <w:r w:rsidR="00BF386E">
        <w:t>,</w:t>
      </w:r>
      <w:r w:rsidR="00B42762">
        <w:t xml:space="preserve"> that where </w:t>
      </w:r>
      <w:r w:rsidR="00854296" w:rsidRPr="00291F78">
        <w:t xml:space="preserve">data </w:t>
      </w:r>
      <w:r w:rsidR="00854296">
        <w:t>was collected</w:t>
      </w:r>
      <w:r w:rsidR="00EF321B">
        <w:t>,</w:t>
      </w:r>
      <w:r w:rsidR="00854296">
        <w:t xml:space="preserve"> it was </w:t>
      </w:r>
      <w:r w:rsidR="00854296" w:rsidRPr="00291F78">
        <w:t xml:space="preserve">often done by clinicians driven </w:t>
      </w:r>
      <w:r w:rsidR="00854296">
        <w:t xml:space="preserve">by </w:t>
      </w:r>
      <w:r w:rsidR="00854296" w:rsidRPr="00291F78">
        <w:t xml:space="preserve">professional </w:t>
      </w:r>
      <w:r w:rsidR="00854296">
        <w:t xml:space="preserve">interest rather </w:t>
      </w:r>
      <w:r w:rsidR="00854296" w:rsidRPr="00291F78">
        <w:t xml:space="preserve">than by systemic </w:t>
      </w:r>
      <w:r w:rsidR="1A123D7F" w:rsidRPr="00291F78">
        <w:t>organisational</w:t>
      </w:r>
      <w:r w:rsidR="00854296" w:rsidRPr="00291F78">
        <w:t xml:space="preserve"> support.</w:t>
      </w:r>
    </w:p>
    <w:p w14:paraId="5814E2B9" w14:textId="7616931C" w:rsidR="006F6FE9" w:rsidRDefault="00313F16" w:rsidP="009532F4">
      <w:r w:rsidRPr="009A1915">
        <w:t>Under-res</w:t>
      </w:r>
      <w:r w:rsidR="00816DFD" w:rsidRPr="009A1915">
        <w:t>ourcing</w:t>
      </w:r>
      <w:r w:rsidR="00816DFD">
        <w:t xml:space="preserve"> has also resulted in </w:t>
      </w:r>
      <w:r w:rsidR="00327CF3" w:rsidRPr="00327CF3">
        <w:t xml:space="preserve">the persistence of manual, paper-based systems, particularly </w:t>
      </w:r>
      <w:r w:rsidR="00012102">
        <w:t xml:space="preserve">in </w:t>
      </w:r>
      <w:r w:rsidR="00327CF3" w:rsidRPr="00327CF3">
        <w:t xml:space="preserve">parts of regional Australia. </w:t>
      </w:r>
      <w:r w:rsidR="0D64D1E3">
        <w:t>T</w:t>
      </w:r>
      <w:r w:rsidR="00327CF3" w:rsidRPr="00327CF3">
        <w:t xml:space="preserve">hese systems are inherently labour-intensive and prone to delays and inaccuracies. The result of manual data collection </w:t>
      </w:r>
      <w:r w:rsidR="10E3A764">
        <w:t>is</w:t>
      </w:r>
      <w:r w:rsidR="00327CF3" w:rsidRPr="00327CF3">
        <w:t xml:space="preserve"> significant delays and </w:t>
      </w:r>
      <w:r w:rsidR="00CD1A1D">
        <w:t>variable</w:t>
      </w:r>
      <w:r w:rsidR="00CD1A1D" w:rsidRPr="00327CF3">
        <w:t xml:space="preserve"> </w:t>
      </w:r>
      <w:r w:rsidR="00327CF3" w:rsidRPr="00327CF3">
        <w:t>quality of coded data resulting from inconsistent clinical documentation.</w:t>
      </w:r>
    </w:p>
    <w:p w14:paraId="3A9A725B" w14:textId="463A3148" w:rsidR="00842949" w:rsidRDefault="005729EB" w:rsidP="009532F4">
      <w:r w:rsidRPr="008B6E24">
        <w:t>Finally,</w:t>
      </w:r>
      <w:r w:rsidR="00842949" w:rsidRPr="008B6E24">
        <w:t xml:space="preserve"> </w:t>
      </w:r>
      <w:r w:rsidR="007A1710">
        <w:t>it was</w:t>
      </w:r>
      <w:r w:rsidR="00842949" w:rsidRPr="008B6E24">
        <w:t xml:space="preserve"> heard that </w:t>
      </w:r>
      <w:r w:rsidRPr="008B6E24">
        <w:t>limited data was collected on those with lived experiences of sepsi</w:t>
      </w:r>
      <w:r w:rsidR="00BC5003" w:rsidRPr="008B6E24">
        <w:t>s.</w:t>
      </w:r>
      <w:r w:rsidR="00BC5003">
        <w:t xml:space="preserve"> </w:t>
      </w:r>
      <w:r w:rsidR="00BC5003" w:rsidRPr="00BC5003">
        <w:t xml:space="preserve">While clinical and administrative data </w:t>
      </w:r>
      <w:r w:rsidR="00785629">
        <w:t xml:space="preserve">sets </w:t>
      </w:r>
      <w:r w:rsidR="00BC5003" w:rsidRPr="00BC5003">
        <w:t xml:space="preserve">capture </w:t>
      </w:r>
      <w:r w:rsidR="00E5382D">
        <w:t xml:space="preserve">some </w:t>
      </w:r>
      <w:r w:rsidR="00785629">
        <w:t xml:space="preserve">information </w:t>
      </w:r>
      <w:r w:rsidR="00E5382D">
        <w:t xml:space="preserve">on </w:t>
      </w:r>
      <w:r w:rsidR="00BC5003" w:rsidRPr="00BC5003">
        <w:t xml:space="preserve">sepsis patients, there is a notable absence of structured information on patient-reported outcomes, survivor experiences, and the perspectives of caregivers. This gap limits </w:t>
      </w:r>
      <w:r w:rsidR="002B6D40">
        <w:t xml:space="preserve">the </w:t>
      </w:r>
      <w:r w:rsidR="00BC5003" w:rsidRPr="00BC5003">
        <w:t>ability to understand the long-term impacts of sepsis, including post-discharge complications, psychological distress, and quality of life.</w:t>
      </w:r>
    </w:p>
    <w:p w14:paraId="72A599C3" w14:textId="489E1021" w:rsidR="00801C9E" w:rsidRPr="00382E6B" w:rsidRDefault="00820AFC" w:rsidP="00F30156">
      <w:pPr>
        <w:pStyle w:val="Heading2"/>
        <w:rPr>
          <w:rFonts w:ascii="Arial" w:hAnsi="Arial" w:cs="Arial"/>
          <w:sz w:val="30"/>
          <w:szCs w:val="30"/>
        </w:rPr>
      </w:pPr>
      <w:bookmarkStart w:id="14" w:name="_Toc204787703"/>
      <w:r w:rsidRPr="00382E6B">
        <w:rPr>
          <w:rFonts w:ascii="Arial" w:hAnsi="Arial" w:cs="Arial"/>
          <w:sz w:val="30"/>
          <w:szCs w:val="30"/>
        </w:rPr>
        <w:lastRenderedPageBreak/>
        <w:t>Data sharing</w:t>
      </w:r>
      <w:bookmarkEnd w:id="14"/>
    </w:p>
    <w:p w14:paraId="29E9147E" w14:textId="76A957D6" w:rsidR="0071762D" w:rsidRDefault="008B6E24" w:rsidP="009532F4">
      <w:r>
        <w:t xml:space="preserve">While </w:t>
      </w:r>
      <w:r w:rsidR="0071762D">
        <w:t xml:space="preserve">some </w:t>
      </w:r>
      <w:r>
        <w:t xml:space="preserve">healthcare services </w:t>
      </w:r>
      <w:r w:rsidR="0071762D">
        <w:t>have made</w:t>
      </w:r>
      <w:r w:rsidR="00B158B1">
        <w:t xml:space="preserve"> promising </w:t>
      </w:r>
      <w:r w:rsidR="0071762D">
        <w:t xml:space="preserve">progress in </w:t>
      </w:r>
      <w:r w:rsidR="00282979">
        <w:t xml:space="preserve">linking and integrating </w:t>
      </w:r>
      <w:r w:rsidR="0071762D">
        <w:t xml:space="preserve">data within their </w:t>
      </w:r>
      <w:r w:rsidR="00282979">
        <w:t>jurisdictions</w:t>
      </w:r>
      <w:r w:rsidR="0071762D">
        <w:t>,</w:t>
      </w:r>
      <w:r w:rsidR="00282979">
        <w:t xml:space="preserve"> data sharing arrangements between institutions remains far from the norm. Further, </w:t>
      </w:r>
      <w:r w:rsidR="0071762D">
        <w:t xml:space="preserve">cross-jurisdictional data sharing </w:t>
      </w:r>
      <w:r w:rsidR="00282979">
        <w:t xml:space="preserve">remains </w:t>
      </w:r>
      <w:r w:rsidR="0071762D">
        <w:t>limited</w:t>
      </w:r>
      <w:r w:rsidR="005649D3">
        <w:t xml:space="preserve"> to a select few data sets</w:t>
      </w:r>
      <w:r w:rsidR="0071762D">
        <w:t>,</w:t>
      </w:r>
      <w:r w:rsidR="005649D3">
        <w:rPr>
          <w:rStyle w:val="FootnoteReference"/>
        </w:rPr>
        <w:footnoteReference w:id="12"/>
      </w:r>
      <w:r w:rsidR="0071762D">
        <w:t xml:space="preserve"> and </w:t>
      </w:r>
      <w:r w:rsidR="3F876734">
        <w:t xml:space="preserve">is </w:t>
      </w:r>
      <w:r w:rsidR="0071762D">
        <w:t>hampered by legislative, technical, and cultural barriers.</w:t>
      </w:r>
    </w:p>
    <w:p w14:paraId="0433E017" w14:textId="46EC0071" w:rsidR="00D8450C" w:rsidRDefault="0071762D" w:rsidP="009532F4">
      <w:r>
        <w:t xml:space="preserve">At a </w:t>
      </w:r>
      <w:r w:rsidR="00965EA7">
        <w:t>jurisdictional</w:t>
      </w:r>
      <w:r>
        <w:t xml:space="preserve"> level, </w:t>
      </w:r>
      <w:r w:rsidR="00EA63FB">
        <w:t xml:space="preserve">data sharing is </w:t>
      </w:r>
      <w:r>
        <w:t>inconsistent. Jurisdictions with more advanced electronic medical records and data systems</w:t>
      </w:r>
      <w:r w:rsidR="00EA63FB">
        <w:t xml:space="preserve"> </w:t>
      </w:r>
      <w:r>
        <w:t>demonstrate</w:t>
      </w:r>
      <w:r w:rsidR="00D8450C">
        <w:t>d</w:t>
      </w:r>
      <w:r>
        <w:t xml:space="preserve"> effective data sharing</w:t>
      </w:r>
      <w:r w:rsidR="00795549">
        <w:t>, allowing</w:t>
      </w:r>
      <w:r>
        <w:t xml:space="preserve"> local health districts to access and analyse sepsis data</w:t>
      </w:r>
      <w:r w:rsidR="00D8450C">
        <w:t>, and to improve on their processes</w:t>
      </w:r>
      <w:r>
        <w:t>. However</w:t>
      </w:r>
      <w:r w:rsidR="00717B13">
        <w:t>,</w:t>
      </w:r>
      <w:r w:rsidR="00795549">
        <w:t xml:space="preserve"> </w:t>
      </w:r>
      <w:r>
        <w:t xml:space="preserve">even within </w:t>
      </w:r>
      <w:r w:rsidR="00D8450C">
        <w:t>relatively mature</w:t>
      </w:r>
      <w:r>
        <w:t xml:space="preserve"> systems, access </w:t>
      </w:r>
      <w:r w:rsidR="00D8450C">
        <w:t xml:space="preserve">was </w:t>
      </w:r>
      <w:r>
        <w:t>often restricted to specific user groups</w:t>
      </w:r>
      <w:r w:rsidR="003C633B">
        <w:t xml:space="preserve"> and</w:t>
      </w:r>
      <w:r w:rsidR="00CE00EF">
        <w:t xml:space="preserve"> only</w:t>
      </w:r>
      <w:r w:rsidR="003C633B">
        <w:t xml:space="preserve"> available only upon request</w:t>
      </w:r>
      <w:r>
        <w:t>.</w:t>
      </w:r>
    </w:p>
    <w:p w14:paraId="454C3D55" w14:textId="25CE080C" w:rsidR="007F6EB0" w:rsidRDefault="007F6EB0" w:rsidP="004A54BB">
      <w:pPr>
        <w:ind w:left="454"/>
      </w:pPr>
      <w:r w:rsidRPr="00F1101C">
        <w:rPr>
          <w:b/>
        </w:rPr>
        <w:t xml:space="preserve">Figure </w:t>
      </w:r>
      <w:r>
        <w:rPr>
          <w:b/>
        </w:rPr>
        <w:t>1</w:t>
      </w:r>
      <w:r w:rsidRPr="00F1101C">
        <w:rPr>
          <w:b/>
        </w:rPr>
        <w:t xml:space="preserve">: </w:t>
      </w:r>
      <w:r>
        <w:rPr>
          <w:b/>
        </w:rPr>
        <w:t>Integrated data-sharing supporting upskilling</w:t>
      </w:r>
    </w:p>
    <w:tbl>
      <w:tblPr>
        <w:tblStyle w:val="TableGrid"/>
        <w:tblW w:w="0" w:type="auto"/>
        <w:tblInd w:w="396"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FF9CB" w:themeFill="accent2" w:themeFillTint="33"/>
        <w:tblLook w:val="04A0" w:firstRow="1" w:lastRow="0" w:firstColumn="1" w:lastColumn="0" w:noHBand="0" w:noVBand="1"/>
      </w:tblPr>
      <w:tblGrid>
        <w:gridCol w:w="8079"/>
      </w:tblGrid>
      <w:tr w:rsidR="00BF06F4" w14:paraId="7107F90B" w14:textId="77777777" w:rsidTr="00A82DB6">
        <w:tc>
          <w:tcPr>
            <w:tcW w:w="8079" w:type="dxa"/>
            <w:shd w:val="clear" w:color="auto" w:fill="EAE0FF"/>
          </w:tcPr>
          <w:p w14:paraId="1B5FEDED" w14:textId="5EBFE527" w:rsidR="00BF06F4" w:rsidRPr="004A54BB" w:rsidRDefault="00BF06F4" w:rsidP="009532F4">
            <w:pPr>
              <w:rPr>
                <w:b/>
                <w:bCs/>
                <w:i/>
                <w:iCs/>
                <w:color w:val="3E3E3E" w:themeColor="accent1" w:themeShade="BF"/>
              </w:rPr>
            </w:pPr>
            <w:bookmarkStart w:id="15" w:name="_Hlk204093239"/>
            <w:r w:rsidRPr="004A54BB">
              <w:rPr>
                <w:b/>
                <w:bCs/>
                <w:i/>
                <w:iCs/>
                <w:color w:val="3E3E3E" w:themeColor="accent1" w:themeShade="BF"/>
              </w:rPr>
              <w:t xml:space="preserve">Integrated </w:t>
            </w:r>
            <w:r w:rsidR="00F855D1">
              <w:rPr>
                <w:b/>
                <w:bCs/>
                <w:i/>
                <w:iCs/>
                <w:color w:val="3E3E3E" w:themeColor="accent1" w:themeShade="BF"/>
              </w:rPr>
              <w:t xml:space="preserve">data-sharing </w:t>
            </w:r>
            <w:r w:rsidR="003B14A7" w:rsidRPr="004A54BB">
              <w:rPr>
                <w:b/>
                <w:bCs/>
                <w:i/>
                <w:iCs/>
                <w:color w:val="3E3E3E" w:themeColor="accent1" w:themeShade="BF"/>
              </w:rPr>
              <w:t>supporting upskilling</w:t>
            </w:r>
          </w:p>
          <w:p w14:paraId="7DFD3589" w14:textId="7B28D433" w:rsidR="00151556" w:rsidRDefault="00467521" w:rsidP="00467521">
            <w:pPr>
              <w:rPr>
                <w:sz w:val="19"/>
                <w:szCs w:val="19"/>
              </w:rPr>
            </w:pPr>
            <w:r w:rsidRPr="004A54BB">
              <w:rPr>
                <w:sz w:val="19"/>
                <w:szCs w:val="19"/>
              </w:rPr>
              <w:t xml:space="preserve">Through the </w:t>
            </w:r>
            <w:r w:rsidR="00BF06F4" w:rsidRPr="004A54BB">
              <w:rPr>
                <w:sz w:val="19"/>
                <w:szCs w:val="19"/>
              </w:rPr>
              <w:t>Queensland integrated electronic Medical Record (ieMR)</w:t>
            </w:r>
            <w:r w:rsidRPr="004A54BB">
              <w:rPr>
                <w:sz w:val="19"/>
                <w:szCs w:val="19"/>
              </w:rPr>
              <w:t>, health services can access patient records to determine health outcomes</w:t>
            </w:r>
            <w:r w:rsidR="00BF06F4" w:rsidRPr="004A54BB">
              <w:rPr>
                <w:sz w:val="19"/>
                <w:szCs w:val="19"/>
              </w:rPr>
              <w:t xml:space="preserve"> </w:t>
            </w:r>
            <w:r w:rsidRPr="004A54BB">
              <w:rPr>
                <w:sz w:val="19"/>
                <w:szCs w:val="19"/>
              </w:rPr>
              <w:t xml:space="preserve">and support </w:t>
            </w:r>
            <w:r w:rsidR="00F855D1" w:rsidRPr="004A54BB">
              <w:rPr>
                <w:sz w:val="19"/>
                <w:szCs w:val="19"/>
              </w:rPr>
              <w:t xml:space="preserve">professional development and improvement. </w:t>
            </w:r>
            <w:r w:rsidR="00151556">
              <w:rPr>
                <w:sz w:val="19"/>
                <w:szCs w:val="19"/>
              </w:rPr>
              <w:t xml:space="preserve">This ensures that </w:t>
            </w:r>
            <w:r w:rsidR="000C47ED">
              <w:rPr>
                <w:sz w:val="19"/>
                <w:szCs w:val="19"/>
              </w:rPr>
              <w:t xml:space="preserve">first responders and primary care clinicians </w:t>
            </w:r>
            <w:r w:rsidR="00151556">
              <w:rPr>
                <w:sz w:val="19"/>
                <w:szCs w:val="19"/>
              </w:rPr>
              <w:t>can assess how their care models impacted patient outcomes.</w:t>
            </w:r>
          </w:p>
          <w:p w14:paraId="7D3B8FC8" w14:textId="249174FC" w:rsidR="00BF06F4" w:rsidRPr="000C7BC5" w:rsidRDefault="00F855D1" w:rsidP="00467521">
            <w:r w:rsidRPr="004A54BB">
              <w:rPr>
                <w:sz w:val="19"/>
                <w:szCs w:val="19"/>
              </w:rPr>
              <w:t xml:space="preserve">For example, </w:t>
            </w:r>
            <w:r w:rsidR="00151556">
              <w:rPr>
                <w:sz w:val="19"/>
                <w:szCs w:val="19"/>
              </w:rPr>
              <w:t xml:space="preserve">if </w:t>
            </w:r>
            <w:r w:rsidRPr="004A54BB">
              <w:rPr>
                <w:sz w:val="19"/>
                <w:szCs w:val="19"/>
              </w:rPr>
              <w:t xml:space="preserve">a patient is picked up by an ambulance service with suspected sepsis, </w:t>
            </w:r>
            <w:r w:rsidR="000C7BC5" w:rsidRPr="004A54BB">
              <w:rPr>
                <w:sz w:val="19"/>
                <w:szCs w:val="19"/>
              </w:rPr>
              <w:t xml:space="preserve">paramedics </w:t>
            </w:r>
            <w:r w:rsidR="00683CA5">
              <w:rPr>
                <w:sz w:val="19"/>
                <w:szCs w:val="19"/>
              </w:rPr>
              <w:t>may</w:t>
            </w:r>
            <w:r w:rsidR="000C7BC5" w:rsidRPr="004A54BB">
              <w:rPr>
                <w:sz w:val="19"/>
                <w:szCs w:val="19"/>
              </w:rPr>
              <w:t xml:space="preserve"> – at a later stage – access limited parts of the patients record to determine if their assessment was correct and if initial treatment was appropriate.</w:t>
            </w:r>
          </w:p>
        </w:tc>
      </w:tr>
    </w:tbl>
    <w:bookmarkEnd w:id="15"/>
    <w:p w14:paraId="2D235A4B" w14:textId="624778AD" w:rsidR="0071762D" w:rsidRDefault="0071762D" w:rsidP="009532F4">
      <w:r>
        <w:t xml:space="preserve">For jurisdictions with maturing systems, data sharing </w:t>
      </w:r>
      <w:r w:rsidR="785E4A5A">
        <w:t>is</w:t>
      </w:r>
      <w:r>
        <w:t xml:space="preserve"> fragmented and often limited to the institution that it </w:t>
      </w:r>
      <w:r w:rsidR="504B117E">
        <w:t>is</w:t>
      </w:r>
      <w:r>
        <w:t xml:space="preserve"> collected within. Within these jurisdictions, data sharing between organisations </w:t>
      </w:r>
      <w:r w:rsidR="00103424">
        <w:t xml:space="preserve">– </w:t>
      </w:r>
      <w:r>
        <w:t>such as ambulance services, urgent care clinics, and primary care</w:t>
      </w:r>
      <w:r w:rsidR="00103424">
        <w:t xml:space="preserve"> – </w:t>
      </w:r>
      <w:r>
        <w:t>d</w:t>
      </w:r>
      <w:r w:rsidR="2FC88272">
        <w:t>oes</w:t>
      </w:r>
      <w:r>
        <w:t xml:space="preserve"> not occur. As a </w:t>
      </w:r>
      <w:r w:rsidR="0008394C">
        <w:t>result,</w:t>
      </w:r>
      <w:r>
        <w:t xml:space="preserve"> pre-hospital data, which could provide valuable insights into early recognition and management of sepsis, remains siloed.</w:t>
      </w:r>
    </w:p>
    <w:p w14:paraId="0B74A2FF" w14:textId="27D94FE4" w:rsidR="004A6CFF" w:rsidRDefault="00103424" w:rsidP="009532F4">
      <w:r>
        <w:t>Finally, a</w:t>
      </w:r>
      <w:r w:rsidR="003C19BF" w:rsidRPr="003C19BF">
        <w:t>n unexpected observation of the current state of sepsis data was the relative immaturity of private hospital data systems. W</w:t>
      </w:r>
      <w:r w:rsidR="004A6CFF" w:rsidRPr="004A6CFF">
        <w:t xml:space="preserve">hile public hospitals in several jurisdictions are transitioning to integrated electronic medical records, private hospitals </w:t>
      </w:r>
      <w:r>
        <w:t xml:space="preserve">appear to </w:t>
      </w:r>
      <w:r w:rsidR="004A6CFF" w:rsidRPr="004A6CFF">
        <w:t>lag in both infrastructure and data capability</w:t>
      </w:r>
      <w:r w:rsidR="002433F7">
        <w:t>.</w:t>
      </w:r>
      <w:r w:rsidR="001F6BA9">
        <w:t xml:space="preserve"> </w:t>
      </w:r>
      <w:r w:rsidR="002433F7">
        <w:t>D</w:t>
      </w:r>
      <w:r w:rsidR="004A6CFF" w:rsidRPr="004A6CFF">
        <w:t xml:space="preserve">uring consultation, it was noted that private facilities often operate on separate systems, with limited interoperability </w:t>
      </w:r>
      <w:r w:rsidR="003D0C21">
        <w:t xml:space="preserve">of clinical data </w:t>
      </w:r>
      <w:r w:rsidR="004A6CFF" w:rsidRPr="004A6CFF">
        <w:t>to broader jurisdictional datasets.</w:t>
      </w:r>
      <w:r w:rsidR="0025716F">
        <w:rPr>
          <w:rStyle w:val="FootnoteReference"/>
        </w:rPr>
        <w:footnoteReference w:id="13"/>
      </w:r>
    </w:p>
    <w:p w14:paraId="2CF5B81A" w14:textId="71FE54EB" w:rsidR="00A40C88" w:rsidRPr="00382E6B" w:rsidRDefault="00EC7787" w:rsidP="00F30156">
      <w:pPr>
        <w:pStyle w:val="Heading2"/>
        <w:rPr>
          <w:rFonts w:ascii="Arial" w:hAnsi="Arial" w:cs="Arial"/>
          <w:sz w:val="30"/>
          <w:szCs w:val="30"/>
        </w:rPr>
      </w:pPr>
      <w:bookmarkStart w:id="16" w:name="_Toc204787704"/>
      <w:r w:rsidRPr="00382E6B">
        <w:rPr>
          <w:rFonts w:ascii="Arial" w:hAnsi="Arial" w:cs="Arial"/>
          <w:sz w:val="30"/>
          <w:szCs w:val="30"/>
        </w:rPr>
        <w:t>Data usage</w:t>
      </w:r>
      <w:bookmarkEnd w:id="16"/>
    </w:p>
    <w:p w14:paraId="69A48380" w14:textId="40DB6E06" w:rsidR="00A40C88" w:rsidRDefault="006440AA" w:rsidP="009532F4">
      <w:r>
        <w:t>Across Australia, s</w:t>
      </w:r>
      <w:r w:rsidR="00A40C88">
        <w:t>epsis data is used in a variety of ways</w:t>
      </w:r>
      <w:r>
        <w:t xml:space="preserve">, </w:t>
      </w:r>
      <w:r w:rsidR="00A40C88">
        <w:t>though the scope and sophistication of use vary significantly depending on local infrastructure, workforce capacity, and digital maturity.</w:t>
      </w:r>
    </w:p>
    <w:p w14:paraId="6755BF55" w14:textId="5697F8A6" w:rsidR="00A40C88" w:rsidRDefault="00A40C88" w:rsidP="009532F4">
      <w:r>
        <w:t xml:space="preserve">In more digitally advanced jurisdictions, sepsis data is used to populate real-time or near-real-time dashboards that track key performance indicators such as time to antibiotics, ICU admissions, and mortality rates. These dashboards are used by clinical governance teams to monitor trends, identify outliers, and support continuous quality improvement. In contrast, jurisdictions with limited </w:t>
      </w:r>
      <w:r>
        <w:lastRenderedPageBreak/>
        <w:t>digital infrastructure rely heavily on manual audits and retrospective reviews, often conducted by clinicians in addition to their regular duties.</w:t>
      </w:r>
    </w:p>
    <w:p w14:paraId="5F9A070E" w14:textId="4F766602" w:rsidR="00A40C88" w:rsidRDefault="4BDC4110" w:rsidP="009532F4">
      <w:r>
        <w:t>Stakeholders reported that i</w:t>
      </w:r>
      <w:r w:rsidR="691ABD86">
        <w:t xml:space="preserve">n some jurisdictions, sepsis data is also used to inform antimicrobial stewardship programs. However, this level of analysis is typically limited to tertiary </w:t>
      </w:r>
      <w:r w:rsidR="52DFD3D4">
        <w:t xml:space="preserve">and </w:t>
      </w:r>
      <w:r w:rsidR="00B505E6">
        <w:t>quaternary</w:t>
      </w:r>
      <w:r w:rsidR="52DFD3D4">
        <w:t xml:space="preserve"> </w:t>
      </w:r>
      <w:r w:rsidR="691ABD86">
        <w:t>centres with dedicated infectious disease teams and data analysts. Smaller</w:t>
      </w:r>
      <w:r w:rsidR="053ECA4F">
        <w:t xml:space="preserve"> regional </w:t>
      </w:r>
      <w:r w:rsidR="691ABD86">
        <w:t>or rural services often lack the capacity to conduct such detailed reviews, resulting in a patchwork of data across the country.</w:t>
      </w:r>
    </w:p>
    <w:p w14:paraId="7BE55E46" w14:textId="783C6D35" w:rsidR="00796A57" w:rsidRPr="00382E6B" w:rsidRDefault="0081268C" w:rsidP="00F30156">
      <w:pPr>
        <w:pStyle w:val="Heading2"/>
        <w:rPr>
          <w:rFonts w:ascii="Arial" w:hAnsi="Arial" w:cs="Arial"/>
          <w:sz w:val="30"/>
          <w:szCs w:val="30"/>
        </w:rPr>
      </w:pPr>
      <w:bookmarkStart w:id="17" w:name="_Toc204787705"/>
      <w:r w:rsidRPr="00382E6B">
        <w:rPr>
          <w:rFonts w:ascii="Arial" w:hAnsi="Arial" w:cs="Arial"/>
          <w:sz w:val="30"/>
          <w:szCs w:val="30"/>
        </w:rPr>
        <w:t>Key findings</w:t>
      </w:r>
      <w:bookmarkEnd w:id="17"/>
    </w:p>
    <w:p w14:paraId="48F05C9B" w14:textId="37442E33" w:rsidR="008E2BD7" w:rsidRDefault="008E2BD7" w:rsidP="008E2BD7">
      <w:r>
        <w:t xml:space="preserve">The fragmented and inconsistent state of sepsis data collection has significant implications for health policy development at both state and national levels. Without </w:t>
      </w:r>
      <w:r w:rsidR="005E4B31">
        <w:t xml:space="preserve">access to </w:t>
      </w:r>
      <w:r>
        <w:t>reliable, timely, and standardised data</w:t>
      </w:r>
      <w:r w:rsidR="005E4B31">
        <w:t>sets</w:t>
      </w:r>
      <w:r>
        <w:t>, clinician</w:t>
      </w:r>
      <w:r w:rsidR="00A72B93">
        <w:t>s</w:t>
      </w:r>
      <w:r>
        <w:t xml:space="preserve">, policy makers </w:t>
      </w:r>
      <w:r w:rsidR="7BA4E587">
        <w:t>and researchers</w:t>
      </w:r>
      <w:r>
        <w:t xml:space="preserve"> are limited in their ability to assess the </w:t>
      </w:r>
      <w:r w:rsidR="00441203">
        <w:t xml:space="preserve">burden </w:t>
      </w:r>
      <w:r w:rsidR="00E33B72">
        <w:t xml:space="preserve">of </w:t>
      </w:r>
      <w:r>
        <w:t xml:space="preserve">sepsis, identify </w:t>
      </w:r>
      <w:r w:rsidR="00441203">
        <w:t xml:space="preserve">emerging </w:t>
      </w:r>
      <w:r>
        <w:t>trends, or evaluate the effectiveness of interventions.</w:t>
      </w:r>
    </w:p>
    <w:p w14:paraId="481D8D7C" w14:textId="194A2399" w:rsidR="008E2BD7" w:rsidRDefault="51907930" w:rsidP="008E2BD7">
      <w:r>
        <w:t>Analysis found</w:t>
      </w:r>
      <w:r w:rsidR="00441203" w:rsidRPr="0063424A">
        <w:t xml:space="preserve"> that in the current state of sepsis data</w:t>
      </w:r>
      <w:r w:rsidR="00446AAA" w:rsidRPr="0063424A">
        <w:t>:</w:t>
      </w:r>
    </w:p>
    <w:p w14:paraId="30C9AC75" w14:textId="5D232D60" w:rsidR="008E2BD7" w:rsidRDefault="00446AAA" w:rsidP="008E2BD7">
      <w:pPr>
        <w:pStyle w:val="ListParagraph"/>
        <w:numPr>
          <w:ilvl w:val="0"/>
          <w:numId w:val="11"/>
        </w:numPr>
      </w:pPr>
      <w:r>
        <w:t xml:space="preserve">performance cannot be </w:t>
      </w:r>
      <w:r w:rsidR="008E2BD7">
        <w:t>benchmark</w:t>
      </w:r>
      <w:r>
        <w:t>ed</w:t>
      </w:r>
      <w:r w:rsidR="008E2BD7">
        <w:t xml:space="preserve"> across jurisdictions. In the absence of a consistent national dataset, comparisons between states and territories are often misleading</w:t>
      </w:r>
      <w:r w:rsidR="5073C035">
        <w:t>,</w:t>
      </w:r>
      <w:r w:rsidR="008E2BD7">
        <w:t xml:space="preserve"> inconclusive </w:t>
      </w:r>
      <w:r w:rsidR="5991A15B">
        <w:t>or</w:t>
      </w:r>
      <w:r w:rsidR="008E2BD7">
        <w:t xml:space="preserve"> impossible to </w:t>
      </w:r>
      <w:r w:rsidR="0063424A">
        <w:t>conduct</w:t>
      </w:r>
      <w:r w:rsidR="2EDE4102">
        <w:t>.</w:t>
      </w:r>
    </w:p>
    <w:p w14:paraId="43E9D93F" w14:textId="666DCEBF" w:rsidR="008E2BD7" w:rsidRDefault="0056400E" w:rsidP="008E2BD7">
      <w:pPr>
        <w:pStyle w:val="ListParagraph"/>
        <w:numPr>
          <w:ilvl w:val="0"/>
          <w:numId w:val="11"/>
        </w:numPr>
      </w:pPr>
      <w:r>
        <w:t>a holistic understanding of the lived experience of sepsis cannot be developed</w:t>
      </w:r>
      <w:r w:rsidR="008E2BD7">
        <w:t xml:space="preserve">. </w:t>
      </w:r>
      <w:r w:rsidR="00264EA5">
        <w:t xml:space="preserve">Without this understanding, the ability to support </w:t>
      </w:r>
      <w:r w:rsidR="008E2BD7">
        <w:t>continuity of care, discharge planning, and community-based follow-up</w:t>
      </w:r>
      <w:r w:rsidR="00264EA5">
        <w:t xml:space="preserve"> is limited</w:t>
      </w:r>
      <w:r w:rsidR="008E2BD7">
        <w:t>.</w:t>
      </w:r>
    </w:p>
    <w:p w14:paraId="2F6E3B23" w14:textId="6DAE1A00" w:rsidR="00801C9E" w:rsidRPr="0040230E" w:rsidRDefault="00217536" w:rsidP="008E2BD7">
      <w:pPr>
        <w:pStyle w:val="ListParagraph"/>
        <w:numPr>
          <w:ilvl w:val="0"/>
          <w:numId w:val="11"/>
        </w:numPr>
      </w:pPr>
      <w:r>
        <w:t xml:space="preserve">a </w:t>
      </w:r>
      <w:r w:rsidR="008E2BD7">
        <w:t>lack of robust data</w:t>
      </w:r>
      <w:r>
        <w:t xml:space="preserve">, </w:t>
      </w:r>
      <w:r w:rsidR="005729F7">
        <w:t>perpetuates a</w:t>
      </w:r>
      <w:r>
        <w:t xml:space="preserve"> cycle that </w:t>
      </w:r>
      <w:r w:rsidR="008E2BD7">
        <w:t xml:space="preserve">makes it difficult to build a compelling case for investment in sepsis-related initiatives. Policymakers require </w:t>
      </w:r>
      <w:r w:rsidR="00D75DC4">
        <w:t xml:space="preserve">a clear evidence-base </w:t>
      </w:r>
      <w:r w:rsidR="008E2BD7">
        <w:t xml:space="preserve">to justify funding </w:t>
      </w:r>
      <w:r w:rsidR="00D75DC4">
        <w:t>health initiatives</w:t>
      </w:r>
      <w:r w:rsidR="008E2BD7">
        <w:t>. In the absence of such</w:t>
      </w:r>
      <w:r w:rsidR="00D75DC4">
        <w:t xml:space="preserve"> evidence </w:t>
      </w:r>
      <w:r w:rsidR="008E2BD7">
        <w:t xml:space="preserve">sepsis may be deprioritised in favour of conditions with more </w:t>
      </w:r>
      <w:r w:rsidR="008E2BD7" w:rsidRPr="0040230E">
        <w:t>visible or measurable impacts.</w:t>
      </w:r>
    </w:p>
    <w:p w14:paraId="109802EF" w14:textId="3A526E96" w:rsidR="6966E586" w:rsidRDefault="00F227FB" w:rsidP="190CC2F4">
      <w:pPr>
        <w:pStyle w:val="ListParagraph"/>
        <w:numPr>
          <w:ilvl w:val="0"/>
          <w:numId w:val="11"/>
        </w:numPr>
      </w:pPr>
      <w:r>
        <w:t>w</w:t>
      </w:r>
      <w:r w:rsidR="6966E586">
        <w:t>ithout systems</w:t>
      </w:r>
      <w:r w:rsidR="003D9985" w:rsidRPr="190CC2F4">
        <w:t xml:space="preserve"> to monitor sepsis identification, management, and outcomes, institutions are unable to track performance over time, limiting their ability to identify existing or emerging system issues that may compromise care and to use data effectively to drive improvements.</w:t>
      </w:r>
    </w:p>
    <w:p w14:paraId="4F1AB9D1" w14:textId="77777777" w:rsidR="0071762D" w:rsidRDefault="0071762D" w:rsidP="009532F4">
      <w:pPr>
        <w:rPr>
          <w:rFonts w:asciiTheme="majorHAnsi" w:eastAsiaTheme="majorEastAsia" w:hAnsiTheme="majorHAnsi" w:cstheme="majorBidi"/>
          <w:color w:val="3E3E3E" w:themeColor="accent1" w:themeShade="BF"/>
          <w:sz w:val="40"/>
          <w:szCs w:val="40"/>
        </w:rPr>
      </w:pPr>
      <w:r>
        <w:br w:type="page"/>
      </w:r>
    </w:p>
    <w:p w14:paraId="77062AD5" w14:textId="2926C32F" w:rsidR="002378DB" w:rsidRPr="00BA406E" w:rsidRDefault="002378DB" w:rsidP="009532F4">
      <w:pPr>
        <w:pStyle w:val="Heading1"/>
        <w:rPr>
          <w:rFonts w:ascii="Arial" w:hAnsi="Arial" w:cs="Arial"/>
        </w:rPr>
      </w:pPr>
      <w:bookmarkStart w:id="18" w:name="_Toc204787706"/>
      <w:r w:rsidRPr="00BA406E">
        <w:rPr>
          <w:rFonts w:ascii="Arial" w:hAnsi="Arial" w:cs="Arial"/>
        </w:rPr>
        <w:lastRenderedPageBreak/>
        <w:t>Challenges to improving sepsis data</w:t>
      </w:r>
      <w:bookmarkEnd w:id="18"/>
    </w:p>
    <w:p w14:paraId="0A78ECA4" w14:textId="25443FF1" w:rsidR="005F1E33" w:rsidRDefault="003F4909" w:rsidP="003F4909">
      <w:r w:rsidRPr="003E63FC">
        <w:t>This section</w:t>
      </w:r>
      <w:r w:rsidR="00BD4EB1" w:rsidRPr="003E63FC">
        <w:t xml:space="preserve"> considers the </w:t>
      </w:r>
      <w:r w:rsidR="00BF4ECB" w:rsidRPr="003E63FC">
        <w:t>challenges to imp</w:t>
      </w:r>
      <w:r w:rsidR="00316DA0" w:rsidRPr="003E63FC">
        <w:t>roving sepsis data in Australia</w:t>
      </w:r>
      <w:r w:rsidR="00D6198F" w:rsidRPr="003E63FC">
        <w:t>. It finds that</w:t>
      </w:r>
      <w:r w:rsidR="0027212D" w:rsidRPr="003E63FC">
        <w:t xml:space="preserve"> resourcing</w:t>
      </w:r>
      <w:r w:rsidR="0027212D">
        <w:t xml:space="preserve"> and </w:t>
      </w:r>
      <w:r w:rsidR="002F2A31">
        <w:t xml:space="preserve">inconsistencies in data </w:t>
      </w:r>
      <w:r w:rsidR="001E46A8">
        <w:t xml:space="preserve">definitions and usage operate as impediments to effectively upscaling sepsis data nationally. </w:t>
      </w:r>
      <w:r w:rsidR="004C7F7F">
        <w:t xml:space="preserve">It also notes </w:t>
      </w:r>
      <w:r w:rsidR="00342222">
        <w:t xml:space="preserve">that </w:t>
      </w:r>
      <w:r w:rsidR="004C7F7F">
        <w:t xml:space="preserve">more complex </w:t>
      </w:r>
      <w:r w:rsidR="003E63FC">
        <w:t>issues</w:t>
      </w:r>
      <w:r w:rsidR="004C7F7F">
        <w:t xml:space="preserve">, such </w:t>
      </w:r>
      <w:r w:rsidR="00B95DE7">
        <w:t>as system interoperability and governance frameworks</w:t>
      </w:r>
      <w:r w:rsidR="00342222">
        <w:t>,</w:t>
      </w:r>
      <w:r w:rsidR="00B95DE7">
        <w:t xml:space="preserve"> act as </w:t>
      </w:r>
      <w:r w:rsidR="00F12993">
        <w:t xml:space="preserve">more </w:t>
      </w:r>
      <w:r w:rsidR="00705AB7">
        <w:t>entrenched</w:t>
      </w:r>
      <w:r w:rsidR="003E63FC">
        <w:t xml:space="preserve"> challenges to realising improvement.</w:t>
      </w:r>
    </w:p>
    <w:p w14:paraId="1AF068E5" w14:textId="7BBFE497" w:rsidR="00820AFC" w:rsidRPr="00382E6B" w:rsidRDefault="00820AFC" w:rsidP="0063308D">
      <w:pPr>
        <w:pStyle w:val="Heading2"/>
        <w:rPr>
          <w:rFonts w:ascii="Arial" w:hAnsi="Arial" w:cs="Arial"/>
          <w:sz w:val="30"/>
          <w:szCs w:val="30"/>
        </w:rPr>
      </w:pPr>
      <w:bookmarkStart w:id="19" w:name="_Toc204787707"/>
      <w:r w:rsidRPr="00382E6B">
        <w:rPr>
          <w:rFonts w:ascii="Arial" w:hAnsi="Arial" w:cs="Arial"/>
          <w:sz w:val="30"/>
          <w:szCs w:val="30"/>
        </w:rPr>
        <w:t>Resourcing</w:t>
      </w:r>
      <w:r w:rsidR="008C2193" w:rsidRPr="00382E6B">
        <w:rPr>
          <w:rFonts w:ascii="Arial" w:hAnsi="Arial" w:cs="Arial"/>
          <w:sz w:val="30"/>
          <w:szCs w:val="30"/>
        </w:rPr>
        <w:t xml:space="preserve"> </w:t>
      </w:r>
      <w:r w:rsidR="000923EE" w:rsidRPr="00382E6B">
        <w:rPr>
          <w:rFonts w:ascii="Arial" w:hAnsi="Arial" w:cs="Arial"/>
          <w:sz w:val="30"/>
          <w:szCs w:val="30"/>
        </w:rPr>
        <w:t xml:space="preserve">requirements and </w:t>
      </w:r>
      <w:r w:rsidR="008C2193" w:rsidRPr="00382E6B">
        <w:rPr>
          <w:rFonts w:ascii="Arial" w:hAnsi="Arial" w:cs="Arial"/>
          <w:sz w:val="30"/>
          <w:szCs w:val="30"/>
        </w:rPr>
        <w:t>constraints</w:t>
      </w:r>
      <w:bookmarkEnd w:id="19"/>
    </w:p>
    <w:p w14:paraId="078AF019" w14:textId="7A7C576D" w:rsidR="003F4909" w:rsidRPr="003F4909" w:rsidRDefault="003F4909" w:rsidP="003F4909">
      <w:r w:rsidRPr="003F4909">
        <w:t>Across jurisdictions, stakeholders consistently identified resourcing limitations as critical barriers to achieving a robust and standardised data environment.</w:t>
      </w:r>
    </w:p>
    <w:p w14:paraId="7829B6A3" w14:textId="77777777" w:rsidR="003F4909" w:rsidRPr="003F4909" w:rsidRDefault="003F4909" w:rsidP="003F4909">
      <w:pPr>
        <w:pStyle w:val="Heading3"/>
      </w:pPr>
      <w:r w:rsidRPr="003F4909">
        <w:t>Workforce</w:t>
      </w:r>
    </w:p>
    <w:p w14:paraId="70F09CFF" w14:textId="0F74A4C9" w:rsidR="003F4909" w:rsidRPr="003F4909" w:rsidRDefault="003F4909" w:rsidP="003F4909">
      <w:r w:rsidRPr="003F4909">
        <w:t xml:space="preserve">Throughout consultations, </w:t>
      </w:r>
      <w:r w:rsidR="007A1710">
        <w:t>it was</w:t>
      </w:r>
      <w:r w:rsidRPr="003F4909">
        <w:t xml:space="preserve"> heard that in several health services, sepsis data collection </w:t>
      </w:r>
      <w:r w:rsidR="264CA57A">
        <w:t>is</w:t>
      </w:r>
      <w:r w:rsidRPr="003F4909">
        <w:t xml:space="preserve"> reliant on </w:t>
      </w:r>
      <w:r w:rsidR="00342222">
        <w:t xml:space="preserve">time consuming </w:t>
      </w:r>
      <w:r w:rsidRPr="003F4909">
        <w:t xml:space="preserve">manual processes that </w:t>
      </w:r>
      <w:r w:rsidR="38C8C709">
        <w:t>are</w:t>
      </w:r>
      <w:r w:rsidRPr="003F4909">
        <w:t xml:space="preserve"> </w:t>
      </w:r>
      <w:r w:rsidR="007B0468">
        <w:t xml:space="preserve">not supported by </w:t>
      </w:r>
      <w:r w:rsidR="0052463C">
        <w:t xml:space="preserve">appropriate staffing profiles. The result </w:t>
      </w:r>
      <w:r w:rsidR="003E63FC">
        <w:t>is</w:t>
      </w:r>
      <w:r w:rsidR="0052463C">
        <w:t xml:space="preserve"> that data-collection </w:t>
      </w:r>
      <w:r w:rsidR="001109D5">
        <w:t>is</w:t>
      </w:r>
      <w:r w:rsidRPr="003F4909">
        <w:t xml:space="preserve"> often performed outside of paid hours, and not sustainable in the long term. In one jurisdiction, clinicians described initial data efforts as conducted ‘off the side of the desk’ without support</w:t>
      </w:r>
      <w:r w:rsidR="00C85E29">
        <w:t xml:space="preserve"> from</w:t>
      </w:r>
      <w:r w:rsidRPr="003F4909">
        <w:t xml:space="preserve"> dedicated data analysts.</w:t>
      </w:r>
    </w:p>
    <w:p w14:paraId="59C3D68D" w14:textId="14AEE4B5" w:rsidR="003F4909" w:rsidRPr="003F4909" w:rsidRDefault="003F4909" w:rsidP="003F4909">
      <w:r>
        <w:t xml:space="preserve">Similarly, participants noted that an increasing number of competing priorities in clinical governance made it difficult to maintain consistent sepsis data collection without dedicated personnel – such as a sepsis care coordinator. </w:t>
      </w:r>
      <w:r w:rsidR="4AFF175C">
        <w:t>O</w:t>
      </w:r>
      <w:r>
        <w:t xml:space="preserve">ne </w:t>
      </w:r>
      <w:r w:rsidR="004173B9">
        <w:t>jurisdiction described</w:t>
      </w:r>
      <w:r>
        <w:t xml:space="preserve"> </w:t>
      </w:r>
      <w:r w:rsidR="004173B9">
        <w:t>that</w:t>
      </w:r>
      <w:r>
        <w:t xml:space="preserve"> access to central data teams </w:t>
      </w:r>
      <w:r w:rsidR="004173B9">
        <w:t>w</w:t>
      </w:r>
      <w:r w:rsidR="5357FB4A">
        <w:t xml:space="preserve">as </w:t>
      </w:r>
      <w:r>
        <w:t xml:space="preserve">so limited that </w:t>
      </w:r>
      <w:r w:rsidR="0060413C">
        <w:t>‘</w:t>
      </w:r>
      <w:r>
        <w:t>even basic data requests could take weeks to fulfil</w:t>
      </w:r>
      <w:r w:rsidR="0060413C">
        <w:t>’</w:t>
      </w:r>
      <w:r>
        <w:t>.</w:t>
      </w:r>
    </w:p>
    <w:p w14:paraId="490AB910" w14:textId="5A4D8B0D" w:rsidR="003F4909" w:rsidRPr="003F4909" w:rsidRDefault="003F4909" w:rsidP="003F4909">
      <w:pPr>
        <w:pStyle w:val="Heading3"/>
      </w:pPr>
      <w:r>
        <w:t>I</w:t>
      </w:r>
      <w:r w:rsidR="6743984F">
        <w:t xml:space="preserve">nformation and </w:t>
      </w:r>
      <w:r w:rsidR="004173B9">
        <w:t>Communication</w:t>
      </w:r>
      <w:r w:rsidR="4B236FB5">
        <w:t xml:space="preserve"> </w:t>
      </w:r>
      <w:r>
        <w:t>T</w:t>
      </w:r>
      <w:r w:rsidR="2B236A04">
        <w:t>echnology (ICT)</w:t>
      </w:r>
    </w:p>
    <w:p w14:paraId="6C2758E9" w14:textId="7FFD85F1" w:rsidR="003F4909" w:rsidRPr="003F4909" w:rsidRDefault="003F4909" w:rsidP="003F4909">
      <w:r w:rsidRPr="003F4909">
        <w:t>Similarly, ICT investment presented another major constraint.</w:t>
      </w:r>
      <w:r w:rsidR="003E63FC">
        <w:t xml:space="preserve"> </w:t>
      </w:r>
      <w:r w:rsidRPr="003F4909">
        <w:t xml:space="preserve">While some states, such as NSW and Queensland, are transitioning to enterprise-wide </w:t>
      </w:r>
      <w:r w:rsidR="768DC2EE" w:rsidRPr="003F4909">
        <w:t>Electronic</w:t>
      </w:r>
      <w:r w:rsidR="62DCE480" w:rsidRPr="003F4909">
        <w:t xml:space="preserve"> </w:t>
      </w:r>
      <w:r w:rsidRPr="003F4909">
        <w:t>M</w:t>
      </w:r>
      <w:r w:rsidR="24979899" w:rsidRPr="003F4909">
        <w:t>edica</w:t>
      </w:r>
      <w:r w:rsidR="004173B9">
        <w:t>l</w:t>
      </w:r>
      <w:r w:rsidR="24979899" w:rsidRPr="003F4909">
        <w:t xml:space="preserve"> </w:t>
      </w:r>
      <w:r w:rsidRPr="003F4909">
        <w:t>R</w:t>
      </w:r>
      <w:r w:rsidR="0FF218D6" w:rsidRPr="003F4909">
        <w:t>ecord</w:t>
      </w:r>
      <w:r w:rsidRPr="003F4909">
        <w:t>s</w:t>
      </w:r>
      <w:r w:rsidR="0FB154FC" w:rsidRPr="003F4909">
        <w:t xml:space="preserve"> (EMRs)</w:t>
      </w:r>
      <w:r w:rsidRPr="003F4909">
        <w:t>, others remain reliant on legacy systems or paper-based workflows</w:t>
      </w:r>
      <w:r>
        <w:t>.</w:t>
      </w:r>
      <w:r w:rsidR="00F12DBC">
        <w:rPr>
          <w:rStyle w:val="FootnoteReference"/>
        </w:rPr>
        <w:footnoteReference w:id="14"/>
      </w:r>
    </w:p>
    <w:p w14:paraId="3C8AD4C3" w14:textId="750CDEAB" w:rsidR="003F4909" w:rsidRPr="003F4909" w:rsidRDefault="003F4909" w:rsidP="003F4909">
      <w:r>
        <w:t xml:space="preserve">Historical under-investment in health services ICT has resulted in significant differences in the digital maturity of health services both across and within jurisdictions. In turn, this has resulted in a reluctance to engage with data for clinical and professional development and a perception that data </w:t>
      </w:r>
      <w:r w:rsidR="37021236">
        <w:t>may</w:t>
      </w:r>
      <w:r>
        <w:t xml:space="preserve"> be used for punitive purposes.</w:t>
      </w:r>
    </w:p>
    <w:p w14:paraId="351108E5" w14:textId="1267909C" w:rsidR="003F4909" w:rsidRPr="003F4909" w:rsidRDefault="003F4909" w:rsidP="003F4909">
      <w:pPr>
        <w:pStyle w:val="Heading3"/>
      </w:pPr>
      <w:r w:rsidRPr="003F4909">
        <w:t xml:space="preserve">Insecure </w:t>
      </w:r>
      <w:r>
        <w:t>project</w:t>
      </w:r>
      <w:r w:rsidRPr="003F4909">
        <w:t xml:space="preserve"> funding</w:t>
      </w:r>
    </w:p>
    <w:p w14:paraId="698EFAAD" w14:textId="2B208061" w:rsidR="003F4909" w:rsidRPr="003F4909" w:rsidRDefault="00162CDD" w:rsidP="003F4909">
      <w:r>
        <w:t>C</w:t>
      </w:r>
      <w:r w:rsidR="003F4909" w:rsidRPr="003F4909">
        <w:t>onsultations identified limited and often insecure financial resourcing for sepsis initiatives.</w:t>
      </w:r>
    </w:p>
    <w:p w14:paraId="56B28C1B" w14:textId="6988BA13" w:rsidR="003D0A6E" w:rsidRPr="003D0A6E" w:rsidRDefault="2F448D58" w:rsidP="004A54BB">
      <w:r>
        <w:t>Throughout consultation</w:t>
      </w:r>
      <w:r w:rsidR="67FA86E0">
        <w:t>s</w:t>
      </w:r>
      <w:r>
        <w:t xml:space="preserve">, </w:t>
      </w:r>
      <w:r w:rsidR="6F584817">
        <w:t>stakeholders reported</w:t>
      </w:r>
      <w:r>
        <w:t xml:space="preserve"> that initiatives </w:t>
      </w:r>
      <w:r w:rsidR="397AFB6D">
        <w:t>rely</w:t>
      </w:r>
      <w:r>
        <w:t xml:space="preserve"> on short-term, ad</w:t>
      </w:r>
      <w:r w:rsidR="14FC6709">
        <w:t xml:space="preserve"> </w:t>
      </w:r>
      <w:r>
        <w:t>hoc, or terminating project funding that limit</w:t>
      </w:r>
      <w:r w:rsidR="60D917B7">
        <w:t>s</w:t>
      </w:r>
      <w:r>
        <w:t xml:space="preserve"> the ability to move beyond proof of concept. Further, within these initiatives, outcomes </w:t>
      </w:r>
      <w:r w:rsidR="114450F7">
        <w:t>are</w:t>
      </w:r>
      <w:r>
        <w:t xml:space="preserve"> often reliant on the goodwill of </w:t>
      </w:r>
      <w:r w:rsidR="004173B9">
        <w:t>healthcare provider</w:t>
      </w:r>
      <w:r w:rsidR="00421A1E">
        <w:t xml:space="preserve">s </w:t>
      </w:r>
      <w:r>
        <w:t>who contribute time and expertise outside of their formal roles.</w:t>
      </w:r>
    </w:p>
    <w:p w14:paraId="740A74A0" w14:textId="51D86075" w:rsidR="00994613" w:rsidRPr="003F4909" w:rsidRDefault="003F4909" w:rsidP="003F4909">
      <w:r>
        <w:t>This funding insecurity has broader implications. Without clarity on how initiatives will be funded</w:t>
      </w:r>
      <w:r w:rsidR="000F2926">
        <w:t xml:space="preserve"> or the duration of funding</w:t>
      </w:r>
      <w:r>
        <w:t xml:space="preserve">, jurisdictions are hesitant to commit </w:t>
      </w:r>
      <w:r w:rsidR="00AC0608">
        <w:t xml:space="preserve">additional </w:t>
      </w:r>
      <w:r w:rsidR="377A22C6">
        <w:t xml:space="preserve">supports, </w:t>
      </w:r>
      <w:r>
        <w:t>resources or share data. Further, without sustained, long-term investment</w:t>
      </w:r>
      <w:r w:rsidR="00406C61">
        <w:t>,</w:t>
      </w:r>
      <w:r>
        <w:t xml:space="preserve"> the capacity of health services to build and </w:t>
      </w:r>
      <w:r>
        <w:lastRenderedPageBreak/>
        <w:t>maintain the infrastructure necessary for consistent data collection, analysis, and quality improvement</w:t>
      </w:r>
      <w:r w:rsidR="00406C61">
        <w:t xml:space="preserve"> will not be realised</w:t>
      </w:r>
      <w:r>
        <w:t>.</w:t>
      </w:r>
    </w:p>
    <w:p w14:paraId="766E3CDF" w14:textId="46522F70" w:rsidR="00820AFC" w:rsidRPr="00382E6B" w:rsidRDefault="00862C7B" w:rsidP="00BA406E">
      <w:pPr>
        <w:pStyle w:val="Heading2"/>
        <w:jc w:val="left"/>
        <w:rPr>
          <w:rFonts w:ascii="Arial" w:hAnsi="Arial" w:cs="Arial"/>
          <w:sz w:val="30"/>
          <w:szCs w:val="30"/>
        </w:rPr>
      </w:pPr>
      <w:bookmarkStart w:id="20" w:name="_Toc204787708"/>
      <w:r w:rsidRPr="00382E6B">
        <w:rPr>
          <w:rFonts w:ascii="Arial" w:hAnsi="Arial" w:cs="Arial"/>
          <w:sz w:val="30"/>
          <w:szCs w:val="30"/>
        </w:rPr>
        <w:t>Data</w:t>
      </w:r>
      <w:r w:rsidR="00BA406E" w:rsidRPr="00382E6B">
        <w:rPr>
          <w:rFonts w:ascii="Arial" w:hAnsi="Arial" w:cs="Arial"/>
          <w:sz w:val="30"/>
          <w:szCs w:val="30"/>
        </w:rPr>
        <w:t xml:space="preserve"> </w:t>
      </w:r>
      <w:r w:rsidRPr="00382E6B">
        <w:rPr>
          <w:rFonts w:ascii="Arial" w:hAnsi="Arial" w:cs="Arial"/>
          <w:sz w:val="30"/>
          <w:szCs w:val="30"/>
        </w:rPr>
        <w:t>Definitions, Documentation, Coding and Reporting</w:t>
      </w:r>
      <w:bookmarkEnd w:id="20"/>
    </w:p>
    <w:p w14:paraId="3EA8CF6F" w14:textId="5A0EF5E6" w:rsidR="00F72D83" w:rsidRDefault="26DA30D0" w:rsidP="00F72D83">
      <w:r>
        <w:t>A significant challenge to the development of a national sepsis data</w:t>
      </w:r>
      <w:r w:rsidR="00C8164F">
        <w:t xml:space="preserve"> </w:t>
      </w:r>
      <w:r>
        <w:t xml:space="preserve">lies in the </w:t>
      </w:r>
      <w:r w:rsidR="008D7EC3">
        <w:t xml:space="preserve">application </w:t>
      </w:r>
      <w:r>
        <w:t>of definitions, documentation practices, coding standards, and reporting methods across jurisdictions.</w:t>
      </w:r>
    </w:p>
    <w:p w14:paraId="6D2AB18F" w14:textId="597E2F90" w:rsidR="00F72D83" w:rsidRPr="009409B3" w:rsidRDefault="00E17214" w:rsidP="00862C7B">
      <w:pPr>
        <w:pStyle w:val="Heading3"/>
      </w:pPr>
      <w:r>
        <w:t>D</w:t>
      </w:r>
      <w:r w:rsidR="00F72D83">
        <w:t>efinitions</w:t>
      </w:r>
    </w:p>
    <w:p w14:paraId="19EAABCB" w14:textId="3593AE2E" w:rsidR="00F72D83" w:rsidRDefault="00F72D83" w:rsidP="00F72D83">
      <w:r>
        <w:t>Throughout consultation, the most frequently cited issue was the lack of a consistent, operational definition of sepsis that supported reliable data collection.</w:t>
      </w:r>
    </w:p>
    <w:p w14:paraId="55B62080" w14:textId="07995E92" w:rsidR="003A662F" w:rsidRDefault="00F72D83" w:rsidP="00F72D83">
      <w:r>
        <w:t>Unlike many other clinical conditions, sepsis does not have a single, universally accepted diagnostic test or threshold.</w:t>
      </w:r>
      <w:r w:rsidR="00E17214">
        <w:t xml:space="preserve"> Nor does </w:t>
      </w:r>
      <w:r w:rsidR="00801CA5">
        <w:t xml:space="preserve">sepsis </w:t>
      </w:r>
      <w:r w:rsidR="00E17214">
        <w:t>have a sin</w:t>
      </w:r>
      <w:r w:rsidR="00801CA5">
        <w:t>gle presentation or clinical speciality. Instead</w:t>
      </w:r>
      <w:r>
        <w:t xml:space="preserve">, it relies heavily on clinical judgement, which introduces variability in how and when it is identified and documented. </w:t>
      </w:r>
      <w:r w:rsidR="7E745FE4">
        <w:t xml:space="preserve">Further, </w:t>
      </w:r>
      <w:r w:rsidR="000104C2">
        <w:t xml:space="preserve">as </w:t>
      </w:r>
      <w:r w:rsidR="7E745FE4">
        <w:t>sepsis</w:t>
      </w:r>
      <w:r w:rsidR="7845F25A">
        <w:t xml:space="preserve"> develops as a complication of underlying infection</w:t>
      </w:r>
      <w:r w:rsidR="00F0442C">
        <w:t>,</w:t>
      </w:r>
      <w:r w:rsidR="7E745FE4">
        <w:t xml:space="preserve"> </w:t>
      </w:r>
      <w:r w:rsidR="00F0442C">
        <w:t>c</w:t>
      </w:r>
      <w:r w:rsidR="7E745FE4">
        <w:t>linicians often document the underlying infection</w:t>
      </w:r>
      <w:r w:rsidR="3CCAFC16">
        <w:t xml:space="preserve"> without documenting sepsis</w:t>
      </w:r>
      <w:r w:rsidR="7E745FE4">
        <w:t>, which leads to under-reporting in coded data. For example, a patient with sepsis secondary to pneumonia may be coded only for pneumonia, obscuring the presence of sepsis in datasets.</w:t>
      </w:r>
    </w:p>
    <w:p w14:paraId="01ACD4A9" w14:textId="590C1F89" w:rsidR="00617A51" w:rsidRDefault="003A662F" w:rsidP="00F72D83">
      <w:r w:rsidRPr="00CB2F41">
        <w:t xml:space="preserve">Moreover, consultations revealed that </w:t>
      </w:r>
      <w:r w:rsidR="000E09F8" w:rsidRPr="00CB2F41">
        <w:t xml:space="preserve">some common sepsis </w:t>
      </w:r>
      <w:r w:rsidRPr="00CB2F41">
        <w:t>terms are often excluded from formal coding definitions</w:t>
      </w:r>
      <w:r w:rsidR="006209BA" w:rsidRPr="00CB2F41">
        <w:t xml:space="preserve"> and naming conventions</w:t>
      </w:r>
      <w:r w:rsidRPr="00CB2F41">
        <w:t>.</w:t>
      </w:r>
      <w:r w:rsidR="00C93537" w:rsidRPr="00CB2F41">
        <w:rPr>
          <w:rStyle w:val="FootnoteReference"/>
        </w:rPr>
        <w:footnoteReference w:id="15"/>
      </w:r>
    </w:p>
    <w:p w14:paraId="078EF594" w14:textId="77777777" w:rsidR="00F72D83" w:rsidRPr="009409B3" w:rsidRDefault="00F72D83" w:rsidP="00862C7B">
      <w:pPr>
        <w:pStyle w:val="Heading3"/>
      </w:pPr>
      <w:r w:rsidRPr="009409B3">
        <w:t>Inconsistent coding</w:t>
      </w:r>
    </w:p>
    <w:p w14:paraId="126FF44D" w14:textId="7E54F9A4" w:rsidR="00F72D83" w:rsidRDefault="00F72D83" w:rsidP="00F72D83">
      <w:r>
        <w:t>This variability in documentation flows directly into inconsistencies in coding.</w:t>
      </w:r>
    </w:p>
    <w:p w14:paraId="6BFBF706" w14:textId="69C11E74" w:rsidR="00F72D83" w:rsidRDefault="00F72D83" w:rsidP="00F72D83">
      <w:r>
        <w:t xml:space="preserve">Clinical coders </w:t>
      </w:r>
      <w:r w:rsidR="00454112">
        <w:t xml:space="preserve">– staff trained to assign </w:t>
      </w:r>
      <w:r w:rsidR="00AC65DB">
        <w:t xml:space="preserve">health data </w:t>
      </w:r>
      <w:r w:rsidR="00454112">
        <w:t>codes</w:t>
      </w:r>
      <w:r w:rsidR="00101670">
        <w:t xml:space="preserve"> in line with the </w:t>
      </w:r>
      <w:r w:rsidR="005D6809">
        <w:t>Australian Coding Standards (ACS)</w:t>
      </w:r>
      <w:r w:rsidR="00A57885">
        <w:t xml:space="preserve"> – </w:t>
      </w:r>
      <w:r>
        <w:t>rely on the language used in medical records to assign diagnostic codes</w:t>
      </w:r>
      <w:r w:rsidR="002E298D">
        <w:t xml:space="preserve">. </w:t>
      </w:r>
      <w:r w:rsidR="000104C2">
        <w:t xml:space="preserve">Compounded by </w:t>
      </w:r>
      <w:r w:rsidR="002E298D">
        <w:t xml:space="preserve">complex </w:t>
      </w:r>
      <w:r w:rsidR="00E92E71">
        <w:t>coding instructions and inconsistent documentation</w:t>
      </w:r>
      <w:r w:rsidR="002E298D">
        <w:t xml:space="preserve">, </w:t>
      </w:r>
      <w:r>
        <w:t>if sepsis is not explicitly documented, it is unlikely to be captured</w:t>
      </w:r>
      <w:r w:rsidR="000104C2">
        <w:t xml:space="preserve"> by coders</w:t>
      </w:r>
      <w:r>
        <w:t>.</w:t>
      </w:r>
      <w:r w:rsidR="00EB27E0">
        <w:rPr>
          <w:rStyle w:val="FootnoteReference"/>
        </w:rPr>
        <w:footnoteReference w:id="16"/>
      </w:r>
      <w:r w:rsidR="000E741A">
        <w:t xml:space="preserve"> </w:t>
      </w:r>
    </w:p>
    <w:p w14:paraId="3C40A534" w14:textId="0F500684" w:rsidR="00F72D83" w:rsidRDefault="00F72D83" w:rsidP="00F72D83">
      <w:r>
        <w:t>This disconnect between clinical language and coding standards further complicates efforts to quantify the true burden of sepsis.</w:t>
      </w:r>
      <w:r w:rsidR="00BC5BE1">
        <w:rPr>
          <w:rStyle w:val="FootnoteReference"/>
        </w:rPr>
        <w:footnoteReference w:id="17"/>
      </w:r>
    </w:p>
    <w:p w14:paraId="25E374FC" w14:textId="0B7B3A4B" w:rsidR="00F72D83" w:rsidRPr="00F82354" w:rsidRDefault="00F72D83" w:rsidP="00862C7B">
      <w:pPr>
        <w:pStyle w:val="Heading3"/>
      </w:pPr>
      <w:r>
        <w:t>Time zero</w:t>
      </w:r>
    </w:p>
    <w:p w14:paraId="0B6AB64B" w14:textId="5029B36D" w:rsidR="00AA01B4" w:rsidRDefault="00F72D83" w:rsidP="003E6202">
      <w:r>
        <w:t xml:space="preserve">In </w:t>
      </w:r>
      <w:r w:rsidR="00880A99">
        <w:t>several consultations</w:t>
      </w:r>
      <w:r>
        <w:t xml:space="preserve">, </w:t>
      </w:r>
      <w:r w:rsidR="01AA3A77">
        <w:t>stakeholders raised the</w:t>
      </w:r>
      <w:r>
        <w:t xml:space="preserve"> significant complexity aris</w:t>
      </w:r>
      <w:r w:rsidR="692B8086">
        <w:t>ing from</w:t>
      </w:r>
      <w:r>
        <w:t xml:space="preserve"> the determination of ‘time zero’</w:t>
      </w:r>
      <w:r w:rsidR="00EE5955">
        <w:t xml:space="preserve"> – </w:t>
      </w:r>
      <w:r>
        <w:t xml:space="preserve">the point at which sepsis is considered to have begun. </w:t>
      </w:r>
      <w:r w:rsidRPr="008C0DB1">
        <w:t>This is a critical data element relating to the administration of appropriate antibiotics within 60 minutes.</w:t>
      </w:r>
      <w:r w:rsidRPr="008C0DB1">
        <w:rPr>
          <w:rStyle w:val="FootnoteReference"/>
        </w:rPr>
        <w:footnoteReference w:id="18"/>
      </w:r>
      <w:r w:rsidRPr="00F274CD">
        <w:t xml:space="preserve"> </w:t>
      </w:r>
      <w:r>
        <w:t xml:space="preserve">However, defining this starting point is inherently difficult. As a condition of physiological </w:t>
      </w:r>
      <w:r>
        <w:lastRenderedPageBreak/>
        <w:t>deterioration, sepsis often evolves gradually, and the moment of recognition may differ from the moment of onset.</w:t>
      </w:r>
    </w:p>
    <w:p w14:paraId="42A7A29B" w14:textId="6AD53C6E" w:rsidR="003F4909" w:rsidRDefault="00F72D83" w:rsidP="003E6202">
      <w:r>
        <w:t>In practice, different hospitals and jurisdictions have adopted varying approaches to defining time zero. Some use the time of triage, others use the time of first abnormal vital signs, and others still use the time of clinical recognition (a point that is often not clearly recorded in the medical record). This lack of standardisation makes it extremely difficult to compare performance across services or to assess compliance with time-based treatment targets</w:t>
      </w:r>
      <w:r w:rsidR="00BC4282">
        <w:t xml:space="preserve"> and </w:t>
      </w:r>
      <w:r w:rsidR="00462E8D">
        <w:t xml:space="preserve">impact on </w:t>
      </w:r>
      <w:r w:rsidR="00BC4282">
        <w:t>patient outcomes</w:t>
      </w:r>
      <w:r>
        <w:t>.</w:t>
      </w:r>
    </w:p>
    <w:p w14:paraId="271F99E7" w14:textId="0A436848" w:rsidR="00EE5242" w:rsidRDefault="00EE5242" w:rsidP="00EE5242">
      <w:pPr>
        <w:ind w:left="454"/>
      </w:pPr>
      <w:r w:rsidRPr="00F1101C">
        <w:rPr>
          <w:b/>
        </w:rPr>
        <w:t xml:space="preserve">Figure </w:t>
      </w:r>
      <w:r w:rsidR="006723B9">
        <w:rPr>
          <w:b/>
        </w:rPr>
        <w:t>2</w:t>
      </w:r>
      <w:r w:rsidRPr="00F1101C">
        <w:rPr>
          <w:b/>
        </w:rPr>
        <w:t xml:space="preserve">: </w:t>
      </w:r>
      <w:r>
        <w:rPr>
          <w:b/>
        </w:rPr>
        <w:t>Integrated data-sharing supporting upskilling</w:t>
      </w:r>
    </w:p>
    <w:tbl>
      <w:tblPr>
        <w:tblStyle w:val="TableGrid"/>
        <w:tblW w:w="0" w:type="auto"/>
        <w:tblInd w:w="396"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FF9CB" w:themeFill="accent2" w:themeFillTint="33"/>
        <w:tblLook w:val="04A0" w:firstRow="1" w:lastRow="0" w:firstColumn="1" w:lastColumn="0" w:noHBand="0" w:noVBand="1"/>
      </w:tblPr>
      <w:tblGrid>
        <w:gridCol w:w="8079"/>
      </w:tblGrid>
      <w:tr w:rsidR="00A15771" w14:paraId="731EF569" w14:textId="77777777" w:rsidTr="00A82DB6">
        <w:tc>
          <w:tcPr>
            <w:tcW w:w="8079" w:type="dxa"/>
            <w:shd w:val="clear" w:color="auto" w:fill="EAE0FF"/>
          </w:tcPr>
          <w:p w14:paraId="1E8E4F1C" w14:textId="4E719F88" w:rsidR="00A15771" w:rsidRPr="004A54BB" w:rsidRDefault="00A15771">
            <w:pPr>
              <w:rPr>
                <w:b/>
                <w:bCs/>
                <w:i/>
                <w:iCs/>
                <w:color w:val="3E3E3E" w:themeColor="accent1" w:themeShade="BF"/>
              </w:rPr>
            </w:pPr>
            <w:r>
              <w:rPr>
                <w:b/>
                <w:bCs/>
                <w:i/>
                <w:iCs/>
                <w:color w:val="3E3E3E" w:themeColor="accent1" w:themeShade="BF"/>
              </w:rPr>
              <w:t>Time Zero</w:t>
            </w:r>
          </w:p>
          <w:p w14:paraId="149C912F" w14:textId="5EDF308E" w:rsidR="00AC21F7" w:rsidRDefault="00AC21F7">
            <w:pPr>
              <w:rPr>
                <w:sz w:val="19"/>
                <w:szCs w:val="19"/>
              </w:rPr>
            </w:pPr>
            <w:r w:rsidRPr="00AC21F7">
              <w:rPr>
                <w:sz w:val="19"/>
                <w:szCs w:val="19"/>
              </w:rPr>
              <w:t xml:space="preserve">In sepsis data analysis, 'Time Zero' </w:t>
            </w:r>
            <w:r>
              <w:rPr>
                <w:sz w:val="19"/>
                <w:szCs w:val="19"/>
              </w:rPr>
              <w:t xml:space="preserve">may </w:t>
            </w:r>
            <w:r w:rsidRPr="00AC21F7">
              <w:rPr>
                <w:sz w:val="19"/>
                <w:szCs w:val="19"/>
              </w:rPr>
              <w:t>refer to two distinct moments that must be considered separately to accurately assess care quality.</w:t>
            </w:r>
          </w:p>
          <w:p w14:paraId="568ADA3A" w14:textId="78150C79" w:rsidR="00AC21F7" w:rsidRPr="00AC21F7" w:rsidRDefault="00AC21F7" w:rsidP="00AC21F7">
            <w:pPr>
              <w:pStyle w:val="ListParagraph"/>
              <w:numPr>
                <w:ilvl w:val="0"/>
                <w:numId w:val="50"/>
              </w:numPr>
              <w:rPr>
                <w:sz w:val="19"/>
                <w:szCs w:val="19"/>
              </w:rPr>
            </w:pPr>
            <w:r w:rsidRPr="00AC21F7">
              <w:rPr>
                <w:sz w:val="19"/>
                <w:szCs w:val="19"/>
              </w:rPr>
              <w:t>The first is the point at which sepsis should have been recognised – often inferred retrospectively from clinical deterioration – and is critical for understanding delays in diagnosis.</w:t>
            </w:r>
          </w:p>
          <w:p w14:paraId="425BD276" w14:textId="1C4DAEA5" w:rsidR="00AC21F7" w:rsidRPr="00AC21F7" w:rsidRDefault="00AC21F7" w:rsidP="00AC21F7">
            <w:pPr>
              <w:pStyle w:val="ListParagraph"/>
              <w:numPr>
                <w:ilvl w:val="0"/>
                <w:numId w:val="50"/>
              </w:numPr>
              <w:rPr>
                <w:sz w:val="19"/>
                <w:szCs w:val="19"/>
              </w:rPr>
            </w:pPr>
            <w:r w:rsidRPr="00AC21F7">
              <w:rPr>
                <w:sz w:val="19"/>
                <w:szCs w:val="19"/>
              </w:rPr>
              <w:t>The second, more clearly defined, is the time when sepsis is first documented or the clinical pathway is activated, marking the start of management.</w:t>
            </w:r>
          </w:p>
          <w:p w14:paraId="547DA48F" w14:textId="58D0EC8B" w:rsidR="00A15771" w:rsidRPr="000C7BC5" w:rsidRDefault="000B4B79">
            <w:r>
              <w:rPr>
                <w:sz w:val="19"/>
                <w:szCs w:val="19"/>
              </w:rPr>
              <w:t xml:space="preserve">Both data points are critical to enabling evaluations of </w:t>
            </w:r>
            <w:r w:rsidR="00AC21F7" w:rsidRPr="00AC21F7">
              <w:rPr>
                <w:sz w:val="19"/>
                <w:szCs w:val="19"/>
              </w:rPr>
              <w:t xml:space="preserve">both </w:t>
            </w:r>
            <w:r>
              <w:rPr>
                <w:sz w:val="19"/>
                <w:szCs w:val="19"/>
              </w:rPr>
              <w:t xml:space="preserve">sepsis </w:t>
            </w:r>
            <w:r w:rsidR="00AC21F7" w:rsidRPr="00AC21F7">
              <w:rPr>
                <w:sz w:val="19"/>
                <w:szCs w:val="19"/>
              </w:rPr>
              <w:t xml:space="preserve">recognition and response, </w:t>
            </w:r>
            <w:r>
              <w:rPr>
                <w:sz w:val="19"/>
                <w:szCs w:val="19"/>
              </w:rPr>
              <w:t xml:space="preserve">and in turn, targeting </w:t>
            </w:r>
            <w:r w:rsidR="00AC21F7" w:rsidRPr="00AC21F7">
              <w:rPr>
                <w:sz w:val="19"/>
                <w:szCs w:val="19"/>
              </w:rPr>
              <w:t>improvements in early detection and timely intervention.</w:t>
            </w:r>
            <w:r w:rsidR="00884A7F">
              <w:rPr>
                <w:sz w:val="19"/>
                <w:szCs w:val="19"/>
              </w:rPr>
              <w:t xml:space="preserve"> </w:t>
            </w:r>
            <w:r w:rsidR="00630B33">
              <w:rPr>
                <w:sz w:val="19"/>
                <w:szCs w:val="19"/>
              </w:rPr>
              <w:t>However,</w:t>
            </w:r>
            <w:r w:rsidR="00D30EDB">
              <w:rPr>
                <w:sz w:val="19"/>
                <w:szCs w:val="19"/>
              </w:rPr>
              <w:t xml:space="preserve"> confusion about which point to use</w:t>
            </w:r>
            <w:r w:rsidR="00ED216E">
              <w:rPr>
                <w:sz w:val="19"/>
                <w:szCs w:val="19"/>
              </w:rPr>
              <w:t xml:space="preserve"> – or worse, which point is being used – may </w:t>
            </w:r>
            <w:r w:rsidR="008D1F57">
              <w:rPr>
                <w:sz w:val="19"/>
                <w:szCs w:val="19"/>
              </w:rPr>
              <w:t xml:space="preserve">distort </w:t>
            </w:r>
            <w:r w:rsidR="00D457EA">
              <w:rPr>
                <w:sz w:val="19"/>
                <w:szCs w:val="19"/>
              </w:rPr>
              <w:t xml:space="preserve">inferences from </w:t>
            </w:r>
            <w:r w:rsidR="007E2701">
              <w:rPr>
                <w:sz w:val="19"/>
                <w:szCs w:val="19"/>
              </w:rPr>
              <w:t>datasets</w:t>
            </w:r>
            <w:r w:rsidR="00151556">
              <w:rPr>
                <w:sz w:val="19"/>
                <w:szCs w:val="19"/>
              </w:rPr>
              <w:t>, suggesting that performance is either much better or much worse than it actually is.</w:t>
            </w:r>
          </w:p>
        </w:tc>
      </w:tr>
    </w:tbl>
    <w:p w14:paraId="2E53C4E3" w14:textId="02E46564" w:rsidR="00820AFC" w:rsidRPr="00382E6B" w:rsidRDefault="00820AFC" w:rsidP="0057142C">
      <w:pPr>
        <w:pStyle w:val="Heading2"/>
        <w:rPr>
          <w:rFonts w:ascii="Arial" w:hAnsi="Arial" w:cs="Arial"/>
          <w:sz w:val="30"/>
          <w:szCs w:val="30"/>
        </w:rPr>
      </w:pPr>
      <w:bookmarkStart w:id="21" w:name="_Toc204787709"/>
      <w:r w:rsidRPr="00382E6B">
        <w:rPr>
          <w:rFonts w:ascii="Arial" w:hAnsi="Arial" w:cs="Arial"/>
          <w:sz w:val="30"/>
          <w:szCs w:val="30"/>
        </w:rPr>
        <w:t>Interoperability</w:t>
      </w:r>
      <w:bookmarkEnd w:id="21"/>
    </w:p>
    <w:p w14:paraId="16A260C7" w14:textId="4C9CC8EE" w:rsidR="00E62467" w:rsidRPr="00E62467" w:rsidRDefault="00E62467" w:rsidP="00E62467">
      <w:r>
        <w:t>A major structural barrier to comprehensive sepsis data is the fragmentation of digital infrastructure and the lack of interoperability across and within jurisdictions.</w:t>
      </w:r>
    </w:p>
    <w:p w14:paraId="6E67786C" w14:textId="08682EE6" w:rsidR="00E62467" w:rsidRPr="00E62467" w:rsidRDefault="00E62467" w:rsidP="00E62467">
      <w:r w:rsidRPr="00E62467">
        <w:t xml:space="preserve">This fragmentation manifests in several ways, including the coexistence of paper-based and electronic systems, the absence of seamless data linkages between services such as ambulance and hospital care, and the lack of mechanisms for cross-jurisdictional data sharing. Together, these issues significantly constrain the ability to collect, integrate, and analyse </w:t>
      </w:r>
      <w:r w:rsidR="005F2CCC">
        <w:t xml:space="preserve">clinical </w:t>
      </w:r>
      <w:r w:rsidRPr="00E62467">
        <w:t>sepsis data in a timely and consistent manner.</w:t>
      </w:r>
    </w:p>
    <w:p w14:paraId="1283C80A" w14:textId="77777777" w:rsidR="00E62467" w:rsidRPr="00E62467" w:rsidRDefault="00E62467" w:rsidP="004D21AA">
      <w:pPr>
        <w:pStyle w:val="Heading3"/>
      </w:pPr>
      <w:r w:rsidRPr="00E62467">
        <w:t>Paper based systems</w:t>
      </w:r>
    </w:p>
    <w:p w14:paraId="649DE466" w14:textId="039DCD92" w:rsidR="00E62467" w:rsidRPr="00E62467" w:rsidRDefault="00E62467" w:rsidP="00E62467">
      <w:r w:rsidRPr="00E62467">
        <w:t>The coexistence of paper-based and electronic systems remains a defining feature of the Australian healthcare landscape</w:t>
      </w:r>
      <w:r w:rsidR="006A24D4">
        <w:t xml:space="preserve">, and </w:t>
      </w:r>
      <w:r w:rsidRPr="00E62467">
        <w:t>some jurisdictions, continue to rely heavily on paper-based documentation.</w:t>
      </w:r>
    </w:p>
    <w:p w14:paraId="185002CF" w14:textId="461AF49D" w:rsidR="00E62467" w:rsidRPr="00E62467" w:rsidRDefault="00E62467" w:rsidP="00E62467">
      <w:r w:rsidRPr="00E62467">
        <w:t xml:space="preserve">In these settings, clinical notes, sepsis pathways, and discharge summaries are often handwritten and later scanned into digital repositories. This hybrid model introduces delays, increases the risk of data loss or misclassification, and makes it difficult to extract structured data for analysis. Even where EMRs are in place, </w:t>
      </w:r>
      <w:r w:rsidR="00F25822">
        <w:t xml:space="preserve">the </w:t>
      </w:r>
      <w:r w:rsidRPr="00E62467">
        <w:t>inconsistent use of digital forms or workflows</w:t>
      </w:r>
      <w:r w:rsidR="00F25822">
        <w:t xml:space="preserve"> </w:t>
      </w:r>
      <w:r w:rsidRPr="00E62467">
        <w:t>may result in critical data points being missed or inaccurately recorded.</w:t>
      </w:r>
    </w:p>
    <w:p w14:paraId="50888C4D" w14:textId="77777777" w:rsidR="00E62467" w:rsidRPr="00E62467" w:rsidRDefault="00E62467" w:rsidP="004D21AA">
      <w:pPr>
        <w:pStyle w:val="Heading3"/>
      </w:pPr>
      <w:r w:rsidRPr="00E62467">
        <w:lastRenderedPageBreak/>
        <w:t>Data-sharing within jurisdictions</w:t>
      </w:r>
    </w:p>
    <w:p w14:paraId="217B3C4B" w14:textId="13270D0B" w:rsidR="00E62467" w:rsidRPr="00E62467" w:rsidRDefault="00E62467" w:rsidP="00E62467">
      <w:r w:rsidRPr="00CD2FC7">
        <w:t>Interoperability between services within jurisdictions is also limite</w:t>
      </w:r>
      <w:r w:rsidR="00191899" w:rsidRPr="00CD2FC7">
        <w:t xml:space="preserve">d, impeding </w:t>
      </w:r>
      <w:r w:rsidR="00CD2FC7" w:rsidRPr="00CD2FC7">
        <w:t xml:space="preserve">the continuity and integration of data records across </w:t>
      </w:r>
      <w:r w:rsidR="001935BD">
        <w:t>a</w:t>
      </w:r>
      <w:r w:rsidR="001935BD" w:rsidRPr="00CD2FC7">
        <w:t xml:space="preserve"> </w:t>
      </w:r>
      <w:r w:rsidR="00CD2FC7" w:rsidRPr="00CD2FC7">
        <w:t>care continuum</w:t>
      </w:r>
      <w:r w:rsidR="000D4184">
        <w:t xml:space="preserve"> that spans multiple points of care</w:t>
      </w:r>
      <w:r w:rsidR="00CD2FC7" w:rsidRPr="00CD2FC7">
        <w:t>, from pre-hospital to post-hospital settings</w:t>
      </w:r>
      <w:r w:rsidRPr="00E62467">
        <w:t>.</w:t>
      </w:r>
    </w:p>
    <w:p w14:paraId="15A944DB" w14:textId="08DA47FB" w:rsidR="00E62467" w:rsidRDefault="00E62467" w:rsidP="00E62467">
      <w:r>
        <w:t>One of the most frequently cited examples is the disconnect between ambulance services and hospital systems. In many jurisdictions, ambulance data is collected on separate platforms and is not routinely linked to hospital records. This means that critical information about pre-hospital care – such as early signs of deterioration, time of first contact, and initial treatment decisions – is often unavailable to hospital clinicians and is excluded from sepsis audits and quality improvement initiatives.</w:t>
      </w:r>
      <w:r w:rsidR="00D45F30">
        <w:rPr>
          <w:rStyle w:val="FootnoteReference"/>
        </w:rPr>
        <w:footnoteReference w:id="19"/>
      </w:r>
    </w:p>
    <w:p w14:paraId="04DD4123" w14:textId="252BD6D5" w:rsidR="00E62467" w:rsidRPr="00E62467" w:rsidRDefault="00E62467" w:rsidP="004D21AA">
      <w:pPr>
        <w:pStyle w:val="Heading3"/>
      </w:pPr>
      <w:r w:rsidRPr="00E62467">
        <w:t>Data-sharing between jurisdictions</w:t>
      </w:r>
    </w:p>
    <w:p w14:paraId="37188D2B" w14:textId="7C40885E" w:rsidR="00E62467" w:rsidRPr="00E62467" w:rsidRDefault="00E62467" w:rsidP="00E62467">
      <w:r w:rsidRPr="00E62467">
        <w:t>Cross-jurisdictional data sharing presents an additional layer of complexity. There are currently no agreements or frameworks that enable exchange of sepsis data between states and territories, limiting the ability to conduct national benchmarking.</w:t>
      </w:r>
    </w:p>
    <w:p w14:paraId="43EC7FF7" w14:textId="77777777" w:rsidR="00E62467" w:rsidRPr="00E62467" w:rsidRDefault="00E62467" w:rsidP="00E62467">
      <w:r w:rsidRPr="00E62467">
        <w:t>Legislative constraints, particularly around privacy and consent, further complicate efforts to establish shared data environments.</w:t>
      </w:r>
      <w:r w:rsidRPr="00E62467">
        <w:rPr>
          <w:vertAlign w:val="superscript"/>
        </w:rPr>
        <w:footnoteReference w:id="20"/>
      </w:r>
      <w:r w:rsidRPr="00E62467">
        <w:t xml:space="preserve"> In some jurisdictions, data disclosure laws are decades old and were designed for paper-based systems, making them poorly suited to the demands of modern digital health infrastructure.</w:t>
      </w:r>
    </w:p>
    <w:p w14:paraId="1E86371A" w14:textId="2639035A" w:rsidR="00820AFC" w:rsidRPr="00382E6B" w:rsidRDefault="00820AFC" w:rsidP="0057142C">
      <w:pPr>
        <w:pStyle w:val="Heading2"/>
        <w:rPr>
          <w:rFonts w:ascii="Arial" w:hAnsi="Arial" w:cs="Arial"/>
          <w:sz w:val="30"/>
          <w:szCs w:val="30"/>
        </w:rPr>
      </w:pPr>
      <w:bookmarkStart w:id="22" w:name="_Toc204787710"/>
      <w:r w:rsidRPr="00382E6B">
        <w:rPr>
          <w:rFonts w:ascii="Arial" w:hAnsi="Arial" w:cs="Arial"/>
          <w:sz w:val="30"/>
          <w:szCs w:val="30"/>
        </w:rPr>
        <w:t>Governance, Legal, Ethical</w:t>
      </w:r>
      <w:bookmarkEnd w:id="22"/>
    </w:p>
    <w:p w14:paraId="639DCC93" w14:textId="13521AAF" w:rsidR="006226C0" w:rsidRDefault="006226C0" w:rsidP="006226C0">
      <w:r>
        <w:t xml:space="preserve">The national sepsis data landscape </w:t>
      </w:r>
      <w:r w:rsidR="00290651">
        <w:t xml:space="preserve">does </w:t>
      </w:r>
      <w:r>
        <w:t xml:space="preserve">not just </w:t>
      </w:r>
      <w:r w:rsidR="00290651">
        <w:t xml:space="preserve">present </w:t>
      </w:r>
      <w:r>
        <w:t>technical or clinical challenges, but a complex set of legal, ethical, and administrative considerations.</w:t>
      </w:r>
    </w:p>
    <w:p w14:paraId="37BE12BF" w14:textId="77777777" w:rsidR="006226C0" w:rsidRPr="00F625DC" w:rsidRDefault="006226C0" w:rsidP="006226C0">
      <w:pPr>
        <w:pStyle w:val="Heading3"/>
      </w:pPr>
      <w:r w:rsidRPr="00F625DC">
        <w:t>Legal</w:t>
      </w:r>
      <w:r>
        <w:t>, privacy</w:t>
      </w:r>
      <w:r w:rsidRPr="00F625DC">
        <w:t xml:space="preserve"> and ethical frameworks</w:t>
      </w:r>
    </w:p>
    <w:p w14:paraId="11E20015" w14:textId="491045B9" w:rsidR="006226C0" w:rsidRDefault="006226C0" w:rsidP="006226C0">
      <w:r>
        <w:t>Throughout the consultation process, stakeholders consistently raised the challenge of navigating the legal and ethical frameworks that govern health data sharing. Stakeholders also noted that privacy laws vary across jurisdictions, both in scope and interpretation.</w:t>
      </w:r>
    </w:p>
    <w:p w14:paraId="2629DF2D" w14:textId="0F870C20" w:rsidR="006226C0" w:rsidRDefault="006226C0" w:rsidP="006226C0">
      <w:r>
        <w:t>While these laws play a vital role in protecting patient confidentiality, they also create uncertainty about what data can be shared and under what conditions. In some cases, legislation has not kept pace with the development of digital health infrastructure and needs of a digital health environment, making it difficult to establish interoperable data environments or pursue cross-jurisdictional linkage projects.</w:t>
      </w:r>
    </w:p>
    <w:p w14:paraId="7109B8C9" w14:textId="1CAB6599" w:rsidR="00C55959" w:rsidRDefault="006226C0" w:rsidP="006226C0">
      <w:r>
        <w:t xml:space="preserve">Additional complexity arises from the presence of sensitive and isolated data sets. </w:t>
      </w:r>
      <w:r w:rsidR="0079396B">
        <w:t>For example, h</w:t>
      </w:r>
      <w:r>
        <w:t>ealth information relating to Aboriginal and Torres Strait Islander peoples is subject to additional cultural and ethical considerations, particularly when collected by Aboriginal Community Controlled Health Organisations (ACCHOs).</w:t>
      </w:r>
    </w:p>
    <w:p w14:paraId="31610CA2" w14:textId="5A3A9C8C" w:rsidR="002378DB" w:rsidRPr="00BA406E" w:rsidRDefault="002378DB" w:rsidP="00EB0BFB">
      <w:pPr>
        <w:pStyle w:val="Heading1"/>
        <w:rPr>
          <w:rFonts w:ascii="Arial" w:hAnsi="Arial" w:cs="Arial"/>
        </w:rPr>
      </w:pPr>
      <w:bookmarkStart w:id="23" w:name="_Toc204787711"/>
      <w:r w:rsidRPr="00BA406E">
        <w:rPr>
          <w:rFonts w:ascii="Arial" w:hAnsi="Arial" w:cs="Arial"/>
        </w:rPr>
        <w:lastRenderedPageBreak/>
        <w:t>Opportunities for improving sepsis data</w:t>
      </w:r>
      <w:bookmarkEnd w:id="23"/>
    </w:p>
    <w:p w14:paraId="4BB857E1" w14:textId="1A45DF51" w:rsidR="00AC000B" w:rsidRDefault="00AC000B" w:rsidP="00AC000B">
      <w:r>
        <w:t xml:space="preserve">This section considers the opportunities available to improve the collection, integration, and use of sepsis data across Australia, and to in turn, realise a national sepsis data </w:t>
      </w:r>
      <w:r w:rsidR="009A199D">
        <w:t>strategy</w:t>
      </w:r>
      <w:r>
        <w:t>.</w:t>
      </w:r>
    </w:p>
    <w:p w14:paraId="7A102096" w14:textId="77777777" w:rsidR="00AC000B" w:rsidRDefault="00AC000B" w:rsidP="00AC000B">
      <w:r>
        <w:t xml:space="preserve">It finds that a range of opportunities exist to strengthen sepsis data, including building consensus on definitions, piloting patient-reported outcome measures, investing in analytical tooling, and enabling data linkage. Further, that comparative initiatives, such as the </w:t>
      </w:r>
      <w:r w:rsidRPr="00B05AB8">
        <w:t xml:space="preserve">Australian and New Zealand Intensive Care Society (ANZICS) Adult Patient Database </w:t>
      </w:r>
      <w:r>
        <w:t>offer tested models for governance, support, and scale.</w:t>
      </w:r>
    </w:p>
    <w:p w14:paraId="57BF1021" w14:textId="171FAD44" w:rsidR="00AC000B" w:rsidRDefault="00AC000B" w:rsidP="00AC000B">
      <w:r>
        <w:t xml:space="preserve">In addition to tangible opportunities for realising change, this exercise identified a strong appetite for progress. </w:t>
      </w:r>
      <w:r w:rsidR="00D71022">
        <w:t>Due to challenges canvassed, this appetite has</w:t>
      </w:r>
      <w:r w:rsidR="00A37EAA">
        <w:t xml:space="preserve"> gone unrealised</w:t>
      </w:r>
      <w:r w:rsidR="00D71022">
        <w:t xml:space="preserve"> to date</w:t>
      </w:r>
      <w:r w:rsidR="00A37EAA">
        <w:t xml:space="preserve">, </w:t>
      </w:r>
      <w:r w:rsidR="00715FBE">
        <w:t xml:space="preserve">requiring </w:t>
      </w:r>
      <w:r w:rsidR="00281961">
        <w:t>a more focussed and coordinated effort to ensure that progress is achieved</w:t>
      </w:r>
      <w:r w:rsidR="00D71022">
        <w:t>.</w:t>
      </w:r>
    </w:p>
    <w:p w14:paraId="3A5B7AA5" w14:textId="1F4223FC" w:rsidR="00736A6E" w:rsidRPr="00382E6B" w:rsidRDefault="00F333C1" w:rsidP="007A083C">
      <w:pPr>
        <w:pStyle w:val="Heading2"/>
        <w:rPr>
          <w:rFonts w:ascii="Arial" w:hAnsi="Arial" w:cs="Arial"/>
          <w:sz w:val="30"/>
          <w:szCs w:val="30"/>
        </w:rPr>
      </w:pPr>
      <w:bookmarkStart w:id="24" w:name="_Toc204787712"/>
      <w:r w:rsidRPr="00382E6B">
        <w:rPr>
          <w:rFonts w:ascii="Arial" w:hAnsi="Arial" w:cs="Arial"/>
          <w:sz w:val="30"/>
          <w:szCs w:val="30"/>
        </w:rPr>
        <w:t>Standardisati</w:t>
      </w:r>
      <w:r w:rsidR="33FD5664" w:rsidRPr="00382E6B">
        <w:rPr>
          <w:rFonts w:ascii="Arial" w:hAnsi="Arial" w:cs="Arial"/>
          <w:sz w:val="30"/>
          <w:szCs w:val="30"/>
        </w:rPr>
        <w:t xml:space="preserve">on </w:t>
      </w:r>
      <w:r w:rsidR="00232FE2" w:rsidRPr="00382E6B">
        <w:rPr>
          <w:rFonts w:ascii="Arial" w:hAnsi="Arial" w:cs="Arial"/>
          <w:sz w:val="30"/>
          <w:szCs w:val="30"/>
        </w:rPr>
        <w:t xml:space="preserve">of </w:t>
      </w:r>
      <w:r w:rsidR="33FD5664" w:rsidRPr="00382E6B">
        <w:rPr>
          <w:rFonts w:ascii="Arial" w:hAnsi="Arial" w:cs="Arial"/>
          <w:sz w:val="30"/>
          <w:szCs w:val="30"/>
        </w:rPr>
        <w:t>Definitions</w:t>
      </w:r>
      <w:bookmarkEnd w:id="24"/>
    </w:p>
    <w:p w14:paraId="62C6A16A" w14:textId="5E4B8298" w:rsidR="008177BD" w:rsidRDefault="00676687" w:rsidP="008177BD">
      <w:r>
        <w:t xml:space="preserve">In the short term, a clear, </w:t>
      </w:r>
      <w:r w:rsidR="24A04481">
        <w:t>actionable opportunit</w:t>
      </w:r>
      <w:r w:rsidR="6D293262">
        <w:t>y</w:t>
      </w:r>
      <w:r w:rsidR="6CDD25FF">
        <w:t xml:space="preserve"> exist</w:t>
      </w:r>
      <w:r w:rsidR="6D293262">
        <w:t>s</w:t>
      </w:r>
      <w:r w:rsidR="6CDD25FF">
        <w:t xml:space="preserve"> </w:t>
      </w:r>
      <w:r w:rsidR="00B87337">
        <w:t>to</w:t>
      </w:r>
      <w:r w:rsidR="6CDD25FF">
        <w:t xml:space="preserve"> build</w:t>
      </w:r>
      <w:r w:rsidR="24A04481">
        <w:t xml:space="preserve"> national consensus on the definition of sepsis and its related clinical states. Without a shared understanding of what constitutes </w:t>
      </w:r>
      <w:r w:rsidR="14CFDA53">
        <w:t xml:space="preserve">each </w:t>
      </w:r>
      <w:r w:rsidR="24A04481">
        <w:t>sepsis</w:t>
      </w:r>
      <w:r w:rsidR="14CFDA53">
        <w:t xml:space="preserve"> data point</w:t>
      </w:r>
      <w:r w:rsidR="24A04481">
        <w:t>, data collected from different systems and settings cannot be reliably compared or aggregated.</w:t>
      </w:r>
    </w:p>
    <w:p w14:paraId="725A2945" w14:textId="179459FE" w:rsidR="004C4FAC" w:rsidRDefault="004B0851" w:rsidP="004C4FAC">
      <w:r w:rsidRPr="004B0851">
        <w:t xml:space="preserve">If shared definitions </w:t>
      </w:r>
      <w:r w:rsidR="003F2419">
        <w:t>are</w:t>
      </w:r>
      <w:r w:rsidRPr="004B0851">
        <w:t xml:space="preserve"> agreed, further opportunities to harmonise between data sets </w:t>
      </w:r>
      <w:r w:rsidR="00E27F20">
        <w:t>ca</w:t>
      </w:r>
      <w:r w:rsidR="00500498">
        <w:t>n be realised by</w:t>
      </w:r>
      <w:r w:rsidRPr="004B0851">
        <w:t xml:space="preserve"> developing a national data dictionary that specifies the minimum dataset required for sepsis reporting</w:t>
      </w:r>
      <w:r w:rsidR="00036DC6">
        <w:t>.</w:t>
      </w:r>
      <w:r>
        <w:rPr>
          <w:rStyle w:val="FootnoteReference"/>
        </w:rPr>
        <w:footnoteReference w:id="21"/>
      </w:r>
      <w:r w:rsidRPr="004B0851">
        <w:t xml:space="preserve"> A data dictionary could include core clinical indicators </w:t>
      </w:r>
      <w:r w:rsidR="0070157F">
        <w:t xml:space="preserve">– such as </w:t>
      </w:r>
      <w:r w:rsidRPr="004B0851">
        <w:t>lactate levels, blood pressure thresholds, ICU admission status</w:t>
      </w:r>
      <w:r w:rsidR="0070157F">
        <w:t xml:space="preserve"> –</w:t>
      </w:r>
      <w:r w:rsidRPr="004B0851">
        <w:t xml:space="preserve">, administrative data </w:t>
      </w:r>
      <w:r w:rsidR="0070157F">
        <w:t>– such as</w:t>
      </w:r>
      <w:r w:rsidRPr="004B0851">
        <w:t xml:space="preserve"> coded diagnoses, discharge summaries</w:t>
      </w:r>
      <w:r w:rsidR="0070157F">
        <w:t xml:space="preserve"> –</w:t>
      </w:r>
      <w:r w:rsidRPr="004B0851">
        <w:t>, and patient-reported outcomes.</w:t>
      </w:r>
    </w:p>
    <w:p w14:paraId="170BDFFC" w14:textId="77777777" w:rsidR="00D864A1" w:rsidRPr="00382E6B" w:rsidRDefault="00D864A1" w:rsidP="004A54BB">
      <w:pPr>
        <w:pStyle w:val="Heading2"/>
        <w:rPr>
          <w:rFonts w:asciiTheme="minorHAnsi" w:hAnsiTheme="minorHAnsi" w:cstheme="minorHAnsi"/>
          <w:sz w:val="30"/>
          <w:szCs w:val="30"/>
        </w:rPr>
      </w:pPr>
      <w:bookmarkStart w:id="25" w:name="_Toc204787713"/>
      <w:r w:rsidRPr="00382E6B">
        <w:rPr>
          <w:rFonts w:asciiTheme="minorHAnsi" w:hAnsiTheme="minorHAnsi" w:cstheme="minorHAnsi"/>
          <w:sz w:val="30"/>
          <w:szCs w:val="30"/>
        </w:rPr>
        <w:t>Improving Clinical Documentation</w:t>
      </w:r>
      <w:bookmarkEnd w:id="25"/>
    </w:p>
    <w:p w14:paraId="5F861DDF" w14:textId="77777777" w:rsidR="00D864A1" w:rsidRDefault="00D864A1" w:rsidP="00D864A1">
      <w:r>
        <w:t>High-quality clinical documentation is foundational to accurate sepsis identification, coding, and data analysis. Yet, across jurisdictions, consultation revealed that documentation practices remain inconsistent, particularly outside of intensive care settings.</w:t>
      </w:r>
    </w:p>
    <w:p w14:paraId="3734D57F" w14:textId="4ECE3F56" w:rsidR="00D864A1" w:rsidRDefault="00D864A1" w:rsidP="00D864A1">
      <w:r>
        <w:t>One suggested remediation was for training programs to be developed and delivered to health care professionals in general wards, rural hospitals, ambulance services, and general practice. This training should be practical, scenario-based, and aligned with national clinical care standards. It should also emphasise the downstream impact of documentation on coding, data quality, and ultimately, patient outcomes.</w:t>
      </w:r>
      <w:r>
        <w:rPr>
          <w:rStyle w:val="FootnoteReference"/>
        </w:rPr>
        <w:footnoteReference w:id="22"/>
      </w:r>
    </w:p>
    <w:p w14:paraId="6843454A" w14:textId="4E9A8225" w:rsidR="007A083C" w:rsidRPr="00382E6B" w:rsidRDefault="5FFC2371" w:rsidP="007A083C">
      <w:pPr>
        <w:pStyle w:val="Heading2"/>
        <w:rPr>
          <w:rFonts w:asciiTheme="minorHAnsi" w:hAnsiTheme="minorHAnsi" w:cstheme="minorHAnsi"/>
          <w:sz w:val="30"/>
          <w:szCs w:val="30"/>
        </w:rPr>
      </w:pPr>
      <w:bookmarkStart w:id="26" w:name="_Toc204787714"/>
      <w:r w:rsidRPr="00382E6B">
        <w:rPr>
          <w:rFonts w:asciiTheme="minorHAnsi" w:hAnsiTheme="minorHAnsi" w:cstheme="minorHAnsi"/>
          <w:sz w:val="30"/>
          <w:szCs w:val="30"/>
        </w:rPr>
        <w:t>Reviewing Coding Practices</w:t>
      </w:r>
      <w:bookmarkEnd w:id="26"/>
    </w:p>
    <w:p w14:paraId="2C6368FA" w14:textId="07ACEAA6" w:rsidR="00D55C50" w:rsidRDefault="00005079" w:rsidP="007A083C">
      <w:r>
        <w:t>Building on definitional issues, t</w:t>
      </w:r>
      <w:r w:rsidR="007A083C">
        <w:t>hroughout consultation stakeholders noted that sepsis is frequently under- or inconsistently</w:t>
      </w:r>
      <w:r w:rsidR="002957E2">
        <w:t>-</w:t>
      </w:r>
      <w:r w:rsidR="007A083C">
        <w:t xml:space="preserve"> coded</w:t>
      </w:r>
      <w:r>
        <w:t xml:space="preserve">. </w:t>
      </w:r>
      <w:r w:rsidR="000E3B74" w:rsidRPr="0038500A">
        <w:t xml:space="preserve">Clinicians and data custodians identified </w:t>
      </w:r>
      <w:r w:rsidR="001936FF" w:rsidRPr="004A54BB">
        <w:t xml:space="preserve">that </w:t>
      </w:r>
      <w:r w:rsidR="000E3B74" w:rsidRPr="0038500A">
        <w:t xml:space="preserve">the absence of a </w:t>
      </w:r>
      <w:r w:rsidR="000E3B74" w:rsidRPr="0038500A">
        <w:lastRenderedPageBreak/>
        <w:t xml:space="preserve">consistent operational definition, particularly regarding ‘time zero’ and the inconsistent use of explicit and implicit sepsis coding, </w:t>
      </w:r>
      <w:r w:rsidR="0038500A" w:rsidRPr="004A54BB">
        <w:t xml:space="preserve">operated </w:t>
      </w:r>
      <w:r w:rsidR="000E3B74" w:rsidRPr="0038500A">
        <w:t>as key barrier</w:t>
      </w:r>
      <w:r w:rsidR="0038500A" w:rsidRPr="004A54BB">
        <w:t>s</w:t>
      </w:r>
      <w:r w:rsidR="000E3B74" w:rsidRPr="0038500A">
        <w:t xml:space="preserve"> to effective clinical intervention and data capture.</w:t>
      </w:r>
      <w:r w:rsidR="000E3B74" w:rsidRPr="0038500A">
        <w:rPr>
          <w:rStyle w:val="FootnoteReference"/>
        </w:rPr>
        <w:footnoteReference w:id="23"/>
      </w:r>
    </w:p>
    <w:p w14:paraId="0339DC81" w14:textId="6F5BCD20" w:rsidR="007A083C" w:rsidRDefault="141AA71C" w:rsidP="007A083C">
      <w:r>
        <w:t>This report notes</w:t>
      </w:r>
      <w:r w:rsidR="5FFC2371">
        <w:t xml:space="preserve"> that as part of the</w:t>
      </w:r>
      <w:r w:rsidR="699D13E8">
        <w:t xml:space="preserve"> first</w:t>
      </w:r>
      <w:r w:rsidR="5FFC2371">
        <w:t xml:space="preserve"> </w:t>
      </w:r>
      <w:r w:rsidR="5FFC2371" w:rsidRPr="190CC2F4">
        <w:rPr>
          <w:i/>
          <w:iCs/>
        </w:rPr>
        <w:t>National Sepsis Program</w:t>
      </w:r>
      <w:r w:rsidR="5FFC2371">
        <w:t>,</w:t>
      </w:r>
      <w:r w:rsidR="00F46EF1">
        <w:rPr>
          <w:rStyle w:val="FootnoteReference"/>
        </w:rPr>
        <w:footnoteReference w:id="24"/>
      </w:r>
      <w:r w:rsidR="5FFC2371">
        <w:t xml:space="preserve"> a pilot study was undertaken to retrospectively review clinical medical records and consider the relationship between ICD-10-AM coding and the underestimation of sepsis. </w:t>
      </w:r>
      <w:r w:rsidR="346559E3">
        <w:t xml:space="preserve">In the absence of </w:t>
      </w:r>
      <w:r w:rsidR="5FFC2371">
        <w:t>other initiatives</w:t>
      </w:r>
      <w:r w:rsidR="007E5D9E">
        <w:t xml:space="preserve"> to improve medical coding</w:t>
      </w:r>
      <w:r w:rsidR="00E02472">
        <w:t xml:space="preserve"> not known to this report</w:t>
      </w:r>
      <w:r w:rsidR="6C075ED2">
        <w:t>,</w:t>
      </w:r>
      <w:r w:rsidR="5FFC2371">
        <w:t xml:space="preserve"> this could form an effective basis for </w:t>
      </w:r>
      <w:r w:rsidR="00E02472">
        <w:t xml:space="preserve">commencing </w:t>
      </w:r>
      <w:r w:rsidR="5FFC2371">
        <w:t>work.</w:t>
      </w:r>
    </w:p>
    <w:p w14:paraId="5DCCE2A8" w14:textId="338CBEC6" w:rsidR="007A083C" w:rsidRDefault="007A083C" w:rsidP="007A083C">
      <w:r>
        <w:t xml:space="preserve">Should inconsistencies be validated through this exercise, opportunities for further improvement could be identified through developing standardised documentation templates, embedding structured sepsis fields in EMRs, and providing targeted clinician education. In the long-term, and where feasible, natural language processing (NLP) tools </w:t>
      </w:r>
      <w:r w:rsidR="0005650B">
        <w:t xml:space="preserve">and </w:t>
      </w:r>
      <w:r w:rsidR="0010362F">
        <w:t xml:space="preserve">Artificial Intelligence (AI) algorithms </w:t>
      </w:r>
      <w:r>
        <w:t>could also be piloted to extract sepsis-related insights from unstructured clinical notes.</w:t>
      </w:r>
    </w:p>
    <w:p w14:paraId="012BF57E" w14:textId="18C52EFC" w:rsidR="00915695" w:rsidRDefault="007A083C" w:rsidP="007A083C">
      <w:r>
        <w:t>These actions will help ensure that sepsis cases are more accurately captured in coded data, enabling better benchmarking and more responsive quality improvement.</w:t>
      </w:r>
      <w:r w:rsidR="00776823">
        <w:rPr>
          <w:rStyle w:val="FootnoteReference"/>
        </w:rPr>
        <w:footnoteReference w:id="25"/>
      </w:r>
    </w:p>
    <w:p w14:paraId="7532CB29" w14:textId="66EC4F04" w:rsidR="00E67227" w:rsidRPr="00382E6B" w:rsidRDefault="0027660B" w:rsidP="0027660B">
      <w:pPr>
        <w:pStyle w:val="Heading2"/>
        <w:rPr>
          <w:rFonts w:ascii="Arial" w:hAnsi="Arial" w:cs="Arial"/>
          <w:sz w:val="30"/>
          <w:szCs w:val="30"/>
        </w:rPr>
      </w:pPr>
      <w:bookmarkStart w:id="27" w:name="_Toc204787715"/>
      <w:r w:rsidRPr="00382E6B">
        <w:rPr>
          <w:rFonts w:ascii="Arial" w:hAnsi="Arial" w:cs="Arial"/>
          <w:sz w:val="30"/>
          <w:szCs w:val="30"/>
        </w:rPr>
        <w:t>Leveraging Snapshot Audits</w:t>
      </w:r>
      <w:bookmarkEnd w:id="27"/>
    </w:p>
    <w:p w14:paraId="3475A000" w14:textId="1668D2DB" w:rsidR="00E67227" w:rsidRDefault="00E67227" w:rsidP="00E67227">
      <w:r w:rsidRPr="002B4667">
        <w:t>In</w:t>
      </w:r>
      <w:r>
        <w:t xml:space="preserve"> the short term, there is a clear opportunity to design and commence a national snapshot audit t</w:t>
      </w:r>
      <w:r w:rsidR="001C3165">
        <w:t>hat could</w:t>
      </w:r>
      <w:r>
        <w:t xml:space="preserve"> serve as a baseline for future benchmarking, quality improvement, and strategic investment</w:t>
      </w:r>
      <w:r w:rsidR="001C3165">
        <w:t xml:space="preserve"> activities</w:t>
      </w:r>
      <w:r>
        <w:t>.</w:t>
      </w:r>
    </w:p>
    <w:p w14:paraId="3C88D5CC" w14:textId="74D161FF" w:rsidR="00E67227" w:rsidRDefault="19DDB15E" w:rsidP="00E67227">
      <w:r>
        <w:t xml:space="preserve">The design of a national snapshot audit should </w:t>
      </w:r>
      <w:r w:rsidR="398F43E7">
        <w:t>align</w:t>
      </w:r>
      <w:r>
        <w:t xml:space="preserve"> with the Sepsis </w:t>
      </w:r>
      <w:r w:rsidRPr="190CC2F4">
        <w:rPr>
          <w:i/>
          <w:iCs/>
        </w:rPr>
        <w:t>Clinical Care Standard</w:t>
      </w:r>
      <w:r w:rsidR="398F43E7">
        <w:t xml:space="preserve"> </w:t>
      </w:r>
      <w:r w:rsidR="748CF042">
        <w:t xml:space="preserve">clinical indicators </w:t>
      </w:r>
      <w:r w:rsidR="398F43E7">
        <w:t>and</w:t>
      </w:r>
      <w:r>
        <w:t xml:space="preserve"> focus on capturing a representative sample of sepsis and suspected sepsis cases across healthcare settings</w:t>
      </w:r>
      <w:r w:rsidR="00E67227" w:rsidDel="19DDB15E">
        <w:t>.</w:t>
      </w:r>
      <w:r w:rsidR="00765759">
        <w:rPr>
          <w:rStyle w:val="FootnoteReference"/>
        </w:rPr>
        <w:footnoteReference w:id="26"/>
      </w:r>
      <w:r>
        <w:t xml:space="preserve"> The audit </w:t>
      </w:r>
      <w:r w:rsidR="00627AF4">
        <w:t>c</w:t>
      </w:r>
      <w:r>
        <w:t xml:space="preserve">ould also be designed to </w:t>
      </w:r>
      <w:r w:rsidR="78A67A5E">
        <w:t xml:space="preserve">be </w:t>
      </w:r>
      <w:r w:rsidR="74C7634D">
        <w:t xml:space="preserve">technology neutral and </w:t>
      </w:r>
      <w:r w:rsidR="00BC5E05">
        <w:t xml:space="preserve">to </w:t>
      </w:r>
      <w:r>
        <w:t>accommodate varying levels of digital maturity.</w:t>
      </w:r>
      <w:r w:rsidR="00627AF4">
        <w:rPr>
          <w:rStyle w:val="FootnoteReference"/>
        </w:rPr>
        <w:footnoteReference w:id="27"/>
      </w:r>
    </w:p>
    <w:p w14:paraId="687ED124" w14:textId="0B0D1003" w:rsidR="00E67227" w:rsidRDefault="19DDB15E" w:rsidP="00E67227">
      <w:r>
        <w:t xml:space="preserve">Once designed, the audit could be rolled out nationally with support from jurisdictional leads and clinical champions. </w:t>
      </w:r>
      <w:r w:rsidR="1B00293B">
        <w:t>I</w:t>
      </w:r>
      <w:r w:rsidR="69095E11">
        <w:t xml:space="preserve">t should be timed to coincide with Sepsis Awareness </w:t>
      </w:r>
      <w:r w:rsidR="0DDF8FBD">
        <w:t>Day (13 September annually)</w:t>
      </w:r>
      <w:r w:rsidR="69095E11">
        <w:t xml:space="preserve"> to maximise engagement and visibility. </w:t>
      </w:r>
      <w:r>
        <w:t>Participation should be voluntary but strongly encouraged, with clear communication about the benefits of access to comparative data, insights into local performance, and opportunities for targeted</w:t>
      </w:r>
      <w:r w:rsidR="46987854">
        <w:t xml:space="preserve"> safety and quality</w:t>
      </w:r>
      <w:r>
        <w:t xml:space="preserve"> improvement</w:t>
      </w:r>
      <w:r w:rsidR="457E22B3">
        <w:t xml:space="preserve"> and enhanced patient outcomes.</w:t>
      </w:r>
    </w:p>
    <w:p w14:paraId="708E80B7" w14:textId="547D340E" w:rsidR="004B0851" w:rsidRDefault="19DDB15E" w:rsidP="00E67227">
      <w:pPr>
        <w:rPr>
          <w:highlight w:val="darkCyan"/>
        </w:rPr>
      </w:pPr>
      <w:r>
        <w:t xml:space="preserve">Early audits </w:t>
      </w:r>
      <w:r w:rsidR="3A589AC5">
        <w:t>could</w:t>
      </w:r>
      <w:r>
        <w:t xml:space="preserve"> focus on a core set of indicators, such as </w:t>
      </w:r>
      <w:r w:rsidR="33564F42">
        <w:t xml:space="preserve">blood cultures prior to antibiotics, </w:t>
      </w:r>
      <w:r>
        <w:t>time to antibiotics, ICU admission rates, and mortality outcomes. Over time, the scope can be expanded to include patient-reported outcomes, post-discharge follow-up, and antimicrobial stewardship metrics.</w:t>
      </w:r>
      <w:r w:rsidR="3A589AC5">
        <w:t xml:space="preserve"> Participating health care services should also be kept informed of the outcomes of the audit</w:t>
      </w:r>
      <w:r w:rsidR="2B1A4FE8">
        <w:t>, with</w:t>
      </w:r>
      <w:r w:rsidR="3A589AC5">
        <w:t xml:space="preserve"> the data </w:t>
      </w:r>
      <w:r>
        <w:t xml:space="preserve">generated </w:t>
      </w:r>
      <w:r w:rsidR="3D82DBEF">
        <w:t xml:space="preserve">able to support funding </w:t>
      </w:r>
      <w:r w:rsidR="49B6700A">
        <w:t>and data maturity-uplift.</w:t>
      </w:r>
    </w:p>
    <w:p w14:paraId="18D141C3" w14:textId="2421E737" w:rsidR="00E67227" w:rsidRPr="00382E6B" w:rsidRDefault="008A483B" w:rsidP="008A483B">
      <w:pPr>
        <w:pStyle w:val="Heading2"/>
        <w:rPr>
          <w:rFonts w:ascii="Arial" w:hAnsi="Arial" w:cs="Arial"/>
          <w:sz w:val="30"/>
          <w:szCs w:val="30"/>
        </w:rPr>
      </w:pPr>
      <w:bookmarkStart w:id="28" w:name="_Toc204787716"/>
      <w:r w:rsidRPr="00382E6B">
        <w:rPr>
          <w:rFonts w:ascii="Arial" w:hAnsi="Arial" w:cs="Arial"/>
          <w:sz w:val="30"/>
          <w:szCs w:val="30"/>
        </w:rPr>
        <w:lastRenderedPageBreak/>
        <w:t>Moving towards data linkage</w:t>
      </w:r>
      <w:bookmarkEnd w:id="28"/>
    </w:p>
    <w:p w14:paraId="5434A2FF" w14:textId="678E6D01" w:rsidR="008A483B" w:rsidRDefault="346A1732" w:rsidP="008A483B">
      <w:r>
        <w:t>Sepsis is a condition that spans multiple points of care. Yet, without effective data linkage,</w:t>
      </w:r>
      <w:r w:rsidR="006C16FC">
        <w:rPr>
          <w:rStyle w:val="FootnoteReference"/>
        </w:rPr>
        <w:footnoteReference w:id="28"/>
      </w:r>
      <w:r>
        <w:t xml:space="preserve"> each of these touchpoints </w:t>
      </w:r>
      <w:r w:rsidR="02802EB3">
        <w:t>are</w:t>
      </w:r>
      <w:r>
        <w:t xml:space="preserve"> recorded in isolation,</w:t>
      </w:r>
      <w:r w:rsidR="00B106C9">
        <w:rPr>
          <w:rStyle w:val="FootnoteReference"/>
        </w:rPr>
        <w:footnoteReference w:id="29"/>
      </w:r>
      <w:r>
        <w:t xml:space="preserve"> obscuring the full picture of the patient </w:t>
      </w:r>
      <w:r w:rsidR="1B7B2AE9">
        <w:t>journey</w:t>
      </w:r>
      <w:r>
        <w:t>.</w:t>
      </w:r>
      <w:r w:rsidR="2C35ADEA">
        <w:t xml:space="preserve"> </w:t>
      </w:r>
      <w:r>
        <w:t>Linking datasets offers a</w:t>
      </w:r>
      <w:r w:rsidR="7231C898">
        <w:t>n</w:t>
      </w:r>
      <w:r>
        <w:t xml:space="preserve"> opportunity to transform how sepsis is understood, tracked, and managed, enabling:</w:t>
      </w:r>
    </w:p>
    <w:p w14:paraId="025DED54" w14:textId="460B1195" w:rsidR="008A483B" w:rsidRDefault="008A483B" w:rsidP="00B106C9">
      <w:pPr>
        <w:pStyle w:val="ListParagraph"/>
        <w:numPr>
          <w:ilvl w:val="0"/>
          <w:numId w:val="27"/>
        </w:numPr>
      </w:pPr>
      <w:r>
        <w:t>Continuity of insight across pre-hospital, hospital, and post-discharge care</w:t>
      </w:r>
    </w:p>
    <w:p w14:paraId="6866628A" w14:textId="50A93BC5" w:rsidR="008A483B" w:rsidRDefault="346A1732" w:rsidP="00B106C9">
      <w:pPr>
        <w:pStyle w:val="ListParagraph"/>
        <w:numPr>
          <w:ilvl w:val="0"/>
          <w:numId w:val="27"/>
        </w:numPr>
      </w:pPr>
      <w:r>
        <w:t>Feedback loops for paramedics, GPs, and other</w:t>
      </w:r>
      <w:r w:rsidR="000C05DD">
        <w:t>s</w:t>
      </w:r>
      <w:r>
        <w:t xml:space="preserve"> to understand outcomes</w:t>
      </w:r>
    </w:p>
    <w:p w14:paraId="3ADF3CB9" w14:textId="32A26C57" w:rsidR="008A483B" w:rsidRDefault="008A483B" w:rsidP="00B106C9">
      <w:pPr>
        <w:pStyle w:val="ListParagraph"/>
        <w:numPr>
          <w:ilvl w:val="0"/>
          <w:numId w:val="27"/>
        </w:numPr>
      </w:pPr>
      <w:r>
        <w:t>Identification of missed opportunities for early recognition or escalation</w:t>
      </w:r>
    </w:p>
    <w:p w14:paraId="212967F7" w14:textId="0B3221D0" w:rsidR="008A483B" w:rsidRDefault="008A483B" w:rsidP="00B106C9">
      <w:pPr>
        <w:pStyle w:val="ListParagraph"/>
        <w:numPr>
          <w:ilvl w:val="0"/>
          <w:numId w:val="27"/>
        </w:numPr>
      </w:pPr>
      <w:r>
        <w:t>Longitudinal tracking of survivors and their outcomes</w:t>
      </w:r>
    </w:p>
    <w:p w14:paraId="4C8631A4" w14:textId="372C022A" w:rsidR="008A483B" w:rsidRDefault="008A483B" w:rsidP="00B106C9">
      <w:pPr>
        <w:pStyle w:val="ListParagraph"/>
        <w:numPr>
          <w:ilvl w:val="0"/>
          <w:numId w:val="27"/>
        </w:numPr>
      </w:pPr>
      <w:r>
        <w:t>Improved targeting of public health campaigns and funding models</w:t>
      </w:r>
      <w:r w:rsidR="00797C8C">
        <w:t>.</w:t>
      </w:r>
    </w:p>
    <w:p w14:paraId="6D26ADBF" w14:textId="24C37D78" w:rsidR="008A483B" w:rsidRDefault="008A483B" w:rsidP="008A483B">
      <w:r>
        <w:t xml:space="preserve">Throughout consultation, </w:t>
      </w:r>
      <w:r w:rsidR="003E3896">
        <w:t>it was</w:t>
      </w:r>
      <w:r>
        <w:t xml:space="preserve"> heard that several existing projects offer valuable foundations for linkage and </w:t>
      </w:r>
      <w:r w:rsidR="00DE0943">
        <w:t>can assist</w:t>
      </w:r>
      <w:r>
        <w:t xml:space="preserve"> practitioners to build on proven approaches, avoid duplication, and accelerate implementation.</w:t>
      </w:r>
      <w:r w:rsidR="00DE0943">
        <w:rPr>
          <w:rStyle w:val="FootnoteReference"/>
        </w:rPr>
        <w:footnoteReference w:id="30"/>
      </w:r>
      <w:r>
        <w:t xml:space="preserve"> These projects also offer </w:t>
      </w:r>
      <w:r w:rsidR="00662515">
        <w:t xml:space="preserve">important </w:t>
      </w:r>
      <w:r>
        <w:t>insights into consumer consent models, privacy safeguards, and the technical standards required for scalable linkage.</w:t>
      </w:r>
    </w:p>
    <w:p w14:paraId="4D4C5CD1" w14:textId="3EF4C4FC" w:rsidR="00420244" w:rsidRDefault="00420244" w:rsidP="008A483B">
      <w:r>
        <w:t>Through</w:t>
      </w:r>
      <w:r w:rsidR="003B355E">
        <w:t>out</w:t>
      </w:r>
      <w:r>
        <w:t xml:space="preserve"> consultation, </w:t>
      </w:r>
      <w:r w:rsidR="00F16F4A">
        <w:t xml:space="preserve">it was identified </w:t>
      </w:r>
      <w:r>
        <w:t xml:space="preserve">the </w:t>
      </w:r>
      <w:r w:rsidR="00504CF7">
        <w:t xml:space="preserve">most impactful data linkages </w:t>
      </w:r>
      <w:r w:rsidR="00E14D63">
        <w:t>were:</w:t>
      </w:r>
    </w:p>
    <w:p w14:paraId="4898E362" w14:textId="78389E7F" w:rsidR="00A124E7" w:rsidRDefault="00A124E7" w:rsidP="00A124E7">
      <w:pPr>
        <w:pStyle w:val="ListParagraph"/>
        <w:numPr>
          <w:ilvl w:val="0"/>
          <w:numId w:val="27"/>
        </w:numPr>
      </w:pPr>
      <w:r>
        <w:t>Ambulance to hospital, including linking paramedic assessments and early warning scores with hospital outcomes</w:t>
      </w:r>
    </w:p>
    <w:p w14:paraId="2C58023E" w14:textId="242A9BD6" w:rsidR="00A124E7" w:rsidRDefault="00A124E7" w:rsidP="00A124E7">
      <w:pPr>
        <w:pStyle w:val="ListParagraph"/>
        <w:numPr>
          <w:ilvl w:val="0"/>
          <w:numId w:val="27"/>
        </w:numPr>
      </w:pPr>
      <w:r>
        <w:t>Hospital to primary care, including connecting discharge summaries and follow-up plans with GP records</w:t>
      </w:r>
    </w:p>
    <w:p w14:paraId="475ABD9E" w14:textId="684ADE24" w:rsidR="00A124E7" w:rsidRDefault="00A124E7" w:rsidP="00A124E7">
      <w:pPr>
        <w:pStyle w:val="ListParagraph"/>
        <w:numPr>
          <w:ilvl w:val="0"/>
          <w:numId w:val="27"/>
        </w:numPr>
      </w:pPr>
      <w:r>
        <w:t xml:space="preserve">Hospital to mortality data, </w:t>
      </w:r>
      <w:r w:rsidR="00956CEC">
        <w:t xml:space="preserve">to allow more </w:t>
      </w:r>
      <w:r>
        <w:t>accurate tracking of outcomes and preventable deaths</w:t>
      </w:r>
      <w:r w:rsidR="00956CEC">
        <w:t>, and</w:t>
      </w:r>
    </w:p>
    <w:p w14:paraId="7CE2DBF3" w14:textId="067C83DE" w:rsidR="0039244E" w:rsidRDefault="00A124E7" w:rsidP="00A124E7">
      <w:pPr>
        <w:pStyle w:val="ListParagraph"/>
        <w:numPr>
          <w:ilvl w:val="0"/>
          <w:numId w:val="27"/>
        </w:numPr>
      </w:pPr>
      <w:r>
        <w:t>Hospital to post-acute services</w:t>
      </w:r>
      <w:r w:rsidR="00956CEC">
        <w:t xml:space="preserve">, to build </w:t>
      </w:r>
      <w:r w:rsidR="003A14DF">
        <w:t xml:space="preserve">more effective data sets on </w:t>
      </w:r>
      <w:r>
        <w:t>rehabilitation, readmissions, and long-term recovery</w:t>
      </w:r>
      <w:r w:rsidR="003A14DF">
        <w:t xml:space="preserve"> from sepsis.</w:t>
      </w:r>
    </w:p>
    <w:p w14:paraId="3EF5B271" w14:textId="0E3058EF" w:rsidR="003A14DF" w:rsidRDefault="0082138B" w:rsidP="003A14DF">
      <w:r w:rsidRPr="0082138B">
        <w:t>To</w:t>
      </w:r>
      <w:r w:rsidR="000E42B8" w:rsidRPr="0082138B">
        <w:t xml:space="preserve"> realise this, </w:t>
      </w:r>
      <w:r w:rsidR="009E3A55" w:rsidRPr="0082138B">
        <w:t xml:space="preserve">several enabling factors </w:t>
      </w:r>
      <w:r w:rsidRPr="0082138B">
        <w:t>must</w:t>
      </w:r>
      <w:r w:rsidR="009E3A55" w:rsidRPr="0082138B">
        <w:t xml:space="preserve"> be accounted for, including:</w:t>
      </w:r>
    </w:p>
    <w:p w14:paraId="68944A7C" w14:textId="71C8EB67" w:rsidR="00896486" w:rsidRDefault="00896486" w:rsidP="00896486">
      <w:pPr>
        <w:pStyle w:val="ListParagraph"/>
        <w:numPr>
          <w:ilvl w:val="0"/>
          <w:numId w:val="28"/>
        </w:numPr>
      </w:pPr>
      <w:r>
        <w:t>Common identifiers – such as patient IDs and timestamps – across datasets</w:t>
      </w:r>
    </w:p>
    <w:p w14:paraId="1BFA7574" w14:textId="0A66AB40" w:rsidR="00896486" w:rsidRDefault="00896486" w:rsidP="00896486">
      <w:pPr>
        <w:pStyle w:val="ListParagraph"/>
        <w:numPr>
          <w:ilvl w:val="0"/>
          <w:numId w:val="28"/>
        </w:numPr>
      </w:pPr>
      <w:r>
        <w:t>Interoperable data formats aligned with accepted standards (e.g. FHIR)</w:t>
      </w:r>
      <w:r w:rsidR="007F77C3">
        <w:rPr>
          <w:rStyle w:val="FootnoteReference"/>
        </w:rPr>
        <w:footnoteReference w:id="31"/>
      </w:r>
    </w:p>
    <w:p w14:paraId="7278A706" w14:textId="34C497BF" w:rsidR="00896486" w:rsidRDefault="00896486" w:rsidP="00896486">
      <w:pPr>
        <w:pStyle w:val="ListParagraph"/>
        <w:numPr>
          <w:ilvl w:val="0"/>
          <w:numId w:val="28"/>
        </w:numPr>
      </w:pPr>
      <w:r>
        <w:t>Clear governance frameworks for data sharing, access, and consent</w:t>
      </w:r>
      <w:r w:rsidR="007F77C3">
        <w:t>, and</w:t>
      </w:r>
    </w:p>
    <w:p w14:paraId="2A34DDDB" w14:textId="42268812" w:rsidR="009E3A55" w:rsidRDefault="00896486" w:rsidP="00896486">
      <w:pPr>
        <w:pStyle w:val="ListParagraph"/>
        <w:numPr>
          <w:ilvl w:val="0"/>
          <w:numId w:val="28"/>
        </w:numPr>
      </w:pPr>
      <w:r>
        <w:t>Technical infrastructure to support secure, scalable integration</w:t>
      </w:r>
      <w:r w:rsidR="002C63C8">
        <w:t>.</w:t>
      </w:r>
    </w:p>
    <w:p w14:paraId="7CD1B4C1" w14:textId="7E37BEE6" w:rsidR="003A14DF" w:rsidRPr="00382E6B" w:rsidRDefault="00494CDB" w:rsidP="00494CDB">
      <w:pPr>
        <w:pStyle w:val="Heading2"/>
        <w:rPr>
          <w:rFonts w:ascii="Arial" w:hAnsi="Arial" w:cs="Arial"/>
          <w:sz w:val="30"/>
          <w:szCs w:val="30"/>
        </w:rPr>
      </w:pPr>
      <w:bookmarkStart w:id="29" w:name="_Toc204787717"/>
      <w:r w:rsidRPr="00382E6B">
        <w:rPr>
          <w:rFonts w:ascii="Arial" w:hAnsi="Arial" w:cs="Arial"/>
          <w:sz w:val="30"/>
          <w:szCs w:val="30"/>
        </w:rPr>
        <w:t>Reviewing Existing Patient Measures and Identifying Gaps</w:t>
      </w:r>
      <w:bookmarkEnd w:id="29"/>
    </w:p>
    <w:p w14:paraId="3C1158B3" w14:textId="53FE6222" w:rsidR="00B84169" w:rsidRPr="00B84169" w:rsidRDefault="00683479" w:rsidP="00B84169">
      <w:r>
        <w:t>S</w:t>
      </w:r>
      <w:r w:rsidR="00B84169" w:rsidRPr="00B84169">
        <w:t xml:space="preserve">urvivors </w:t>
      </w:r>
      <w:r>
        <w:t xml:space="preserve">of sepsis </w:t>
      </w:r>
      <w:r w:rsidR="00B84169" w:rsidRPr="00B84169">
        <w:t xml:space="preserve">often face long-term physical, cognitive, and psychological challenges that are not </w:t>
      </w:r>
      <w:r w:rsidR="004445A1">
        <w:t>well</w:t>
      </w:r>
      <w:r w:rsidR="00B84169" w:rsidRPr="00B84169">
        <w:t xml:space="preserve"> captured by </w:t>
      </w:r>
      <w:r w:rsidR="004445A1">
        <w:t>existing data measures</w:t>
      </w:r>
      <w:r w:rsidR="00B84169" w:rsidRPr="00B84169">
        <w:t xml:space="preserve">. To better understand and respond to these outcomes, </w:t>
      </w:r>
      <w:r w:rsidR="00B84169" w:rsidRPr="00B84169">
        <w:lastRenderedPageBreak/>
        <w:t xml:space="preserve">there is a need to </w:t>
      </w:r>
      <w:r w:rsidR="008353D9">
        <w:t xml:space="preserve">review and </w:t>
      </w:r>
      <w:r w:rsidR="009E39D7">
        <w:t xml:space="preserve">improve </w:t>
      </w:r>
      <w:r w:rsidR="00B84169" w:rsidRPr="00B84169">
        <w:t>patient-reported outcome measures (PROMs) and patient-reported experience measures (PREMs).</w:t>
      </w:r>
    </w:p>
    <w:p w14:paraId="7C2E64E3" w14:textId="77989581" w:rsidR="00B84169" w:rsidRPr="00B84169" w:rsidRDefault="00B84169" w:rsidP="00B84169">
      <w:r w:rsidRPr="00B84169">
        <w:t xml:space="preserve">This review should be conducted in conjunction with consumers, including sepsis survivors and caregivers, to ensure that the measures reflect </w:t>
      </w:r>
      <w:r w:rsidR="008353D9">
        <w:t xml:space="preserve">the </w:t>
      </w:r>
      <w:r w:rsidRPr="00B84169">
        <w:t xml:space="preserve">lived experience </w:t>
      </w:r>
      <w:r w:rsidR="008353D9">
        <w:t>of sepsis</w:t>
      </w:r>
      <w:r w:rsidRPr="00B84169">
        <w:t>. It should also consider whether new, sepsis-specific instruments are needed to fill gaps in current tools.</w:t>
      </w:r>
    </w:p>
    <w:p w14:paraId="64B4D04D" w14:textId="10B1F56E" w:rsidR="009C76F8" w:rsidRDefault="00B84169" w:rsidP="009C76F8">
      <w:r w:rsidRPr="00B84169">
        <w:t>Following the review, selected PROMs and PREMs should be piloted in a range of clinical settings, including inpatient wards, outpatient follow-up clinics, and primary care.</w:t>
      </w:r>
      <w:r w:rsidR="00016F79">
        <w:rPr>
          <w:rStyle w:val="FootnoteReference"/>
        </w:rPr>
        <w:footnoteReference w:id="32"/>
      </w:r>
      <w:r w:rsidRPr="00B84169">
        <w:t xml:space="preserve"> The pilot should test both the feasibility of data collection and the relevance of the measures to patient experience and recovery</w:t>
      </w:r>
      <w:r w:rsidR="00E32E9F">
        <w:t xml:space="preserve">. </w:t>
      </w:r>
      <w:r w:rsidR="001F3B64">
        <w:t xml:space="preserve">Key </w:t>
      </w:r>
      <w:r w:rsidR="009C76F8">
        <w:t>design considerations include:</w:t>
      </w:r>
    </w:p>
    <w:p w14:paraId="5DD51B64" w14:textId="7A56FB03" w:rsidR="00B84169" w:rsidRPr="00B84169" w:rsidRDefault="009C76F8" w:rsidP="009C76F8">
      <w:pPr>
        <w:pStyle w:val="ListParagraph"/>
        <w:numPr>
          <w:ilvl w:val="0"/>
          <w:numId w:val="29"/>
        </w:numPr>
      </w:pPr>
      <w:r>
        <w:t>Determining k</w:t>
      </w:r>
      <w:r w:rsidR="00D52EDD" w:rsidRPr="00D0705F">
        <w:t>ey intervals</w:t>
      </w:r>
      <w:r>
        <w:t xml:space="preserve"> to collect</w:t>
      </w:r>
      <w:r w:rsidR="00B84169" w:rsidRPr="00B84169">
        <w:t xml:space="preserve"> data</w:t>
      </w:r>
      <w:r w:rsidR="00D52EDD" w:rsidRPr="00D0705F">
        <w:t>, such as</w:t>
      </w:r>
      <w:r w:rsidR="00B84169" w:rsidRPr="00B84169">
        <w:t xml:space="preserve"> at discharge, 30 days post discharge, and 6-months post discharge</w:t>
      </w:r>
    </w:p>
    <w:p w14:paraId="5388B5A7" w14:textId="01A6EB19" w:rsidR="00B84169" w:rsidRPr="00B84169" w:rsidRDefault="00F42E99" w:rsidP="00B84169">
      <w:pPr>
        <w:numPr>
          <w:ilvl w:val="0"/>
          <w:numId w:val="29"/>
        </w:numPr>
      </w:pPr>
      <w:r w:rsidRPr="00D0705F">
        <w:t>Integrat</w:t>
      </w:r>
      <w:r w:rsidR="009C76F8">
        <w:t>ing</w:t>
      </w:r>
      <w:r w:rsidRPr="00D0705F">
        <w:t xml:space="preserve"> the pilot</w:t>
      </w:r>
      <w:r w:rsidR="00B84169" w:rsidRPr="00B84169">
        <w:t xml:space="preserve"> with existing workflows and EMRs</w:t>
      </w:r>
    </w:p>
    <w:p w14:paraId="3EAD97D7" w14:textId="700789EA" w:rsidR="00B84169" w:rsidRPr="00B84169" w:rsidRDefault="00950176" w:rsidP="00B84169">
      <w:pPr>
        <w:numPr>
          <w:ilvl w:val="0"/>
          <w:numId w:val="29"/>
        </w:numPr>
      </w:pPr>
      <w:r w:rsidRPr="00D0705F">
        <w:t>Engag</w:t>
      </w:r>
      <w:r w:rsidR="009C76F8">
        <w:t>ing</w:t>
      </w:r>
      <w:r w:rsidRPr="00D0705F">
        <w:t xml:space="preserve"> consumers effectively and obtain</w:t>
      </w:r>
      <w:r w:rsidR="00D5672F">
        <w:t>ing</w:t>
      </w:r>
      <w:r w:rsidRPr="00D0705F">
        <w:t xml:space="preserve"> informed consent through clear, accessible processes</w:t>
      </w:r>
    </w:p>
    <w:p w14:paraId="24A6FA95" w14:textId="6426CC06" w:rsidR="00B84169" w:rsidRPr="00B84169" w:rsidRDefault="00950176" w:rsidP="00B84169">
      <w:pPr>
        <w:numPr>
          <w:ilvl w:val="0"/>
          <w:numId w:val="29"/>
        </w:numPr>
      </w:pPr>
      <w:r w:rsidRPr="00D0705F">
        <w:t>Leverag</w:t>
      </w:r>
      <w:r w:rsidR="005A60B9">
        <w:t>ing</w:t>
      </w:r>
      <w:r w:rsidR="00B84169" w:rsidRPr="00B84169">
        <w:t xml:space="preserve"> digital platforms to </w:t>
      </w:r>
      <w:r w:rsidRPr="00D0705F">
        <w:t>enable</w:t>
      </w:r>
      <w:r w:rsidR="00B84169" w:rsidRPr="00B84169">
        <w:t xml:space="preserve"> remote </w:t>
      </w:r>
      <w:r w:rsidRPr="00D0705F">
        <w:t>and</w:t>
      </w:r>
      <w:r w:rsidR="00B84169" w:rsidRPr="00B84169">
        <w:t xml:space="preserve"> self-reported </w:t>
      </w:r>
      <w:r w:rsidRPr="00D0705F">
        <w:t xml:space="preserve">data </w:t>
      </w:r>
      <w:r w:rsidR="00B84169" w:rsidRPr="00B84169">
        <w:t>input</w:t>
      </w:r>
    </w:p>
    <w:p w14:paraId="34E7FA0D" w14:textId="66BAB589" w:rsidR="00B84169" w:rsidRPr="00B84169" w:rsidRDefault="00950176" w:rsidP="00B84169">
      <w:pPr>
        <w:numPr>
          <w:ilvl w:val="0"/>
          <w:numId w:val="29"/>
        </w:numPr>
      </w:pPr>
      <w:r w:rsidRPr="00D0705F">
        <w:t>Link</w:t>
      </w:r>
      <w:r w:rsidR="005A60B9">
        <w:t>ing</w:t>
      </w:r>
      <w:r w:rsidR="00B84169" w:rsidRPr="00B84169">
        <w:t xml:space="preserve"> PROMs and PREMs data with clinical and administrative datasets to </w:t>
      </w:r>
      <w:r w:rsidR="00D0705F" w:rsidRPr="00D0705F">
        <w:t>build</w:t>
      </w:r>
      <w:r w:rsidR="00B84169" w:rsidRPr="00B84169">
        <w:t xml:space="preserve"> a more </w:t>
      </w:r>
      <w:r w:rsidR="00D0705F" w:rsidRPr="00D0705F">
        <w:t>comprehensive</w:t>
      </w:r>
      <w:r w:rsidR="00B84169" w:rsidRPr="00B84169">
        <w:t xml:space="preserve"> picture of sepsis outcomes.</w:t>
      </w:r>
    </w:p>
    <w:p w14:paraId="427088FC" w14:textId="628460A6" w:rsidR="00B84169" w:rsidRPr="00B84169" w:rsidRDefault="00B84169" w:rsidP="00B84169">
      <w:r w:rsidRPr="00B84169">
        <w:t>Once the pilot is complete, the findings should be reviewed to determine the value and scalability of PROMs and PREMs in sepsis care.</w:t>
      </w:r>
    </w:p>
    <w:p w14:paraId="343B33C4" w14:textId="13842151" w:rsidR="009060A0" w:rsidRPr="00382E6B" w:rsidRDefault="009060A0" w:rsidP="009060A0">
      <w:pPr>
        <w:pStyle w:val="Heading2"/>
        <w:rPr>
          <w:rFonts w:ascii="Arial" w:hAnsi="Arial" w:cs="Arial"/>
          <w:sz w:val="30"/>
          <w:szCs w:val="30"/>
        </w:rPr>
      </w:pPr>
      <w:bookmarkStart w:id="30" w:name="_Toc204787718"/>
      <w:r w:rsidRPr="00382E6B">
        <w:rPr>
          <w:rFonts w:ascii="Arial" w:hAnsi="Arial" w:cs="Arial"/>
          <w:sz w:val="30"/>
          <w:szCs w:val="30"/>
        </w:rPr>
        <w:t>Advanced Analytics</w:t>
      </w:r>
      <w:bookmarkEnd w:id="30"/>
      <w:r w:rsidRPr="00382E6B">
        <w:rPr>
          <w:rFonts w:ascii="Arial" w:hAnsi="Arial" w:cs="Arial"/>
          <w:sz w:val="30"/>
          <w:szCs w:val="30"/>
        </w:rPr>
        <w:t xml:space="preserve"> </w:t>
      </w:r>
    </w:p>
    <w:p w14:paraId="5D9C1398" w14:textId="61079C00" w:rsidR="00D25B70" w:rsidRDefault="00E778F8" w:rsidP="009060A0">
      <w:r>
        <w:t xml:space="preserve">If sepsis data </w:t>
      </w:r>
      <w:r w:rsidR="50EB7C6D">
        <w:t>can mature at a national level</w:t>
      </w:r>
      <w:r>
        <w:t xml:space="preserve">, there </w:t>
      </w:r>
      <w:r w:rsidR="50EB7C6D">
        <w:t xml:space="preserve">will be </w:t>
      </w:r>
      <w:r>
        <w:t>a growing opportunity to leverage advanced analytical tools to enhance clinical decision-making, system responsiveness, and long-term planning</w:t>
      </w:r>
      <w:r w:rsidR="1C00C4AD">
        <w:t xml:space="preserve"> of health facilities, work force and systems.</w:t>
      </w:r>
    </w:p>
    <w:p w14:paraId="01CC59DF" w14:textId="77D5BDE8" w:rsidR="009060A0" w:rsidRPr="009060A0" w:rsidRDefault="000E6E94" w:rsidP="009060A0">
      <w:r>
        <w:t>Utilisation of</w:t>
      </w:r>
      <w:r w:rsidR="00100F7D" w:rsidRPr="00CB19D7">
        <w:t xml:space="preserve"> </w:t>
      </w:r>
      <w:r w:rsidR="009060A0" w:rsidRPr="00CB19D7">
        <w:t>predictive analytics, real-time dashboards, and intelligent data platforms could transform raw data into actionable insights</w:t>
      </w:r>
      <w:r w:rsidR="001E21A7" w:rsidRPr="00CB19D7">
        <w:t>, supporting clinicians to intervene earlier</w:t>
      </w:r>
      <w:r w:rsidR="009060A0" w:rsidRPr="00CB19D7">
        <w:t xml:space="preserve">, </w:t>
      </w:r>
      <w:r w:rsidR="001E21A7" w:rsidRPr="00CB19D7">
        <w:t>allocate</w:t>
      </w:r>
      <w:r w:rsidR="00596975" w:rsidRPr="00CB19D7">
        <w:t xml:space="preserve"> resources more effectively</w:t>
      </w:r>
      <w:r w:rsidR="0077116D" w:rsidRPr="00CB19D7">
        <w:t xml:space="preserve">, and drive continuous improvement in sepsis outcomes. </w:t>
      </w:r>
      <w:r w:rsidR="008D6E8E" w:rsidRPr="00CB19D7">
        <w:t xml:space="preserve">Enhanced </w:t>
      </w:r>
      <w:r w:rsidR="00E90A32" w:rsidRPr="00CB19D7">
        <w:t xml:space="preserve">data </w:t>
      </w:r>
      <w:r>
        <w:t>could</w:t>
      </w:r>
      <w:r w:rsidR="00E90A32" w:rsidRPr="00CB19D7">
        <w:t xml:space="preserve"> also </w:t>
      </w:r>
      <w:r>
        <w:t xml:space="preserve">be used to </w:t>
      </w:r>
      <w:r w:rsidR="00E90A32" w:rsidRPr="00CB19D7">
        <w:t>support the development of high-quality, accessible community tools and guidance to raise awareness of sepsis symptoms.</w:t>
      </w:r>
    </w:p>
    <w:p w14:paraId="17A06C5F" w14:textId="77777777" w:rsidR="009060A0" w:rsidRPr="009060A0" w:rsidRDefault="009060A0" w:rsidP="009060A0">
      <w:r w:rsidRPr="009060A0">
        <w:t>Throughout consultation, stakeholders identified that analytical tools could include:</w:t>
      </w:r>
    </w:p>
    <w:p w14:paraId="006A4060" w14:textId="58078EB0" w:rsidR="009060A0" w:rsidRPr="009060A0" w:rsidRDefault="009060A0" w:rsidP="009060A0">
      <w:pPr>
        <w:numPr>
          <w:ilvl w:val="0"/>
          <w:numId w:val="30"/>
        </w:numPr>
      </w:pPr>
      <w:r w:rsidRPr="009060A0">
        <w:t>Predictive analytics that use historical and real-time data to identify patterns and forecast clinical risk</w:t>
      </w:r>
    </w:p>
    <w:p w14:paraId="07344E6A" w14:textId="72A708CB" w:rsidR="009060A0" w:rsidRPr="009060A0" w:rsidRDefault="009060A0" w:rsidP="009060A0">
      <w:pPr>
        <w:numPr>
          <w:ilvl w:val="0"/>
          <w:numId w:val="30"/>
        </w:numPr>
      </w:pPr>
      <w:r w:rsidRPr="009060A0">
        <w:t>Real-time dashboards to provide clinicians information on sepsis metrics and patient outcomes</w:t>
      </w:r>
    </w:p>
    <w:p w14:paraId="7CB0DA13" w14:textId="7BF88A2E" w:rsidR="009060A0" w:rsidRPr="009060A0" w:rsidRDefault="009060A0" w:rsidP="009060A0">
      <w:pPr>
        <w:numPr>
          <w:ilvl w:val="0"/>
          <w:numId w:val="30"/>
        </w:numPr>
      </w:pPr>
      <w:r w:rsidRPr="009060A0">
        <w:t xml:space="preserve">Natural language processing </w:t>
      </w:r>
      <w:r w:rsidR="00AB370E">
        <w:t>to</w:t>
      </w:r>
      <w:r w:rsidR="00AB370E" w:rsidRPr="009060A0">
        <w:t xml:space="preserve"> </w:t>
      </w:r>
      <w:r w:rsidRPr="009060A0">
        <w:t>extract insights from unstructured clinical notes, such as early signs of deterioration or undocumented sepsis indicators.</w:t>
      </w:r>
    </w:p>
    <w:p w14:paraId="27AAFEA2" w14:textId="22E3DFA1" w:rsidR="009060A0" w:rsidRPr="009060A0" w:rsidRDefault="009060A0" w:rsidP="009060A0">
      <w:r w:rsidRPr="009060A0">
        <w:lastRenderedPageBreak/>
        <w:t xml:space="preserve">Moving forward, tooling could incorporate time-series, geospatial, or anti-microbial resistance (AMR) data points to give a broader picture about the prevalence of sepsis and its relationship to </w:t>
      </w:r>
      <w:r w:rsidR="00FE27B0">
        <w:t xml:space="preserve">other </w:t>
      </w:r>
      <w:r w:rsidRPr="009060A0">
        <w:t>factors</w:t>
      </w:r>
      <w:r w:rsidR="00FE27B0">
        <w:t xml:space="preserve"> </w:t>
      </w:r>
      <w:r w:rsidR="00AB370E">
        <w:t>(e.g.</w:t>
      </w:r>
      <w:r w:rsidR="00FE27B0">
        <w:t xml:space="preserve"> </w:t>
      </w:r>
      <w:r w:rsidRPr="009060A0">
        <w:t>environmental</w:t>
      </w:r>
      <w:r w:rsidR="00AB370E">
        <w:t>)</w:t>
      </w:r>
      <w:r w:rsidRPr="009060A0">
        <w:t>.</w:t>
      </w:r>
    </w:p>
    <w:p w14:paraId="65F74220" w14:textId="1B06E9A0" w:rsidR="009060A0" w:rsidRPr="009060A0" w:rsidRDefault="00FE27B0" w:rsidP="009060A0">
      <w:r>
        <w:t>Despite this</w:t>
      </w:r>
      <w:r w:rsidR="009060A0" w:rsidRPr="009060A0">
        <w:t xml:space="preserve">, </w:t>
      </w:r>
      <w:r>
        <w:t>this report cautions that</w:t>
      </w:r>
      <w:r w:rsidR="009060A0" w:rsidRPr="009060A0">
        <w:t xml:space="preserve"> advanced analytics are not an end in themselves. Rather, their value lies in the actions they enable. For example, while predictive alerts can prompt earlier clinical review, effective clinical review </w:t>
      </w:r>
      <w:r w:rsidR="00B66472">
        <w:t xml:space="preserve">still </w:t>
      </w:r>
      <w:r w:rsidR="009060A0" w:rsidRPr="009060A0">
        <w:t>relies on resourcing, training, and support. As such, this report is careful to note that the</w:t>
      </w:r>
      <w:r w:rsidR="00B66472">
        <w:t xml:space="preserve">se tools must </w:t>
      </w:r>
      <w:r w:rsidR="009060A0" w:rsidRPr="009060A0">
        <w:t>be supported by appropriate datasets and commensurate funding in the healthcare system to improve outcomes for patients and efficiency across the health system.</w:t>
      </w:r>
    </w:p>
    <w:p w14:paraId="61C156A5" w14:textId="3D2BBA62" w:rsidR="00475CC0" w:rsidRPr="00382E6B" w:rsidRDefault="00475CC0" w:rsidP="00475CC0">
      <w:pPr>
        <w:pStyle w:val="Heading2"/>
        <w:rPr>
          <w:rFonts w:ascii="Arial" w:hAnsi="Arial" w:cs="Arial"/>
          <w:sz w:val="30"/>
          <w:szCs w:val="30"/>
        </w:rPr>
      </w:pPr>
      <w:bookmarkStart w:id="31" w:name="_Toc204787719"/>
      <w:r w:rsidRPr="00382E6B">
        <w:rPr>
          <w:rFonts w:ascii="Arial" w:hAnsi="Arial" w:cs="Arial"/>
          <w:sz w:val="30"/>
          <w:szCs w:val="30"/>
        </w:rPr>
        <w:t>Comparative Initiatives and National Datasets</w:t>
      </w:r>
      <w:bookmarkEnd w:id="31"/>
    </w:p>
    <w:p w14:paraId="5125E99B" w14:textId="733D5333" w:rsidR="00475CC0" w:rsidRPr="00475CC0" w:rsidRDefault="00475CC0" w:rsidP="00475CC0">
      <w:r w:rsidRPr="00475CC0">
        <w:t>There is significant value in examining existing national datasets and registries that have successfully captured complex health data across jurisdictions. These comparative initiatives offer tested models for governance, data collection, and reporting, and can provide insights into how a sepsis-specific system might be designed, scaled, and sustained.</w:t>
      </w:r>
      <w:r w:rsidR="00FF44C6">
        <w:rPr>
          <w:rStyle w:val="FootnoteReference"/>
        </w:rPr>
        <w:footnoteReference w:id="33"/>
      </w:r>
    </w:p>
    <w:p w14:paraId="367FCE34" w14:textId="77777777" w:rsidR="00475CC0" w:rsidRPr="00475CC0" w:rsidRDefault="00475CC0" w:rsidP="00475CC0">
      <w:pPr>
        <w:pStyle w:val="Heading3"/>
      </w:pPr>
      <w:r w:rsidRPr="00475CC0">
        <w:t>The Australian and New Zealand Neonatal Network (ANZNN)</w:t>
      </w:r>
    </w:p>
    <w:p w14:paraId="01770F1E" w14:textId="256516A3" w:rsidR="00D75C85" w:rsidRDefault="00475CC0" w:rsidP="00475CC0">
      <w:r w:rsidRPr="00475CC0">
        <w:t>The ANZNN registry was highlighted during consultations as an effective model for capturing high-quality clinical data across jurisdictions.</w:t>
      </w:r>
      <w:r w:rsidRPr="00475CC0">
        <w:rPr>
          <w:vertAlign w:val="superscript"/>
        </w:rPr>
        <w:footnoteReference w:id="34"/>
      </w:r>
      <w:r w:rsidRPr="00475CC0">
        <w:t xml:space="preserve"> The registry collects detailed information on neonatal outcomes, including infection-related morbidity, and supports benchmarking, research, and service planning.</w:t>
      </w:r>
    </w:p>
    <w:p w14:paraId="587234FC" w14:textId="1E413D3C" w:rsidR="00475CC0" w:rsidRPr="00475CC0" w:rsidRDefault="006C0BC9" w:rsidP="00475CC0">
      <w:r>
        <w:t xml:space="preserve">The ANZNN offers a valuable reference point for sepsis data, by demonstrating how </w:t>
      </w:r>
      <w:r w:rsidR="00475CC0" w:rsidRPr="00475CC0">
        <w:t xml:space="preserve">success is </w:t>
      </w:r>
      <w:r>
        <w:t xml:space="preserve">realised through </w:t>
      </w:r>
      <w:r w:rsidR="00475CC0" w:rsidRPr="00475CC0">
        <w:t>standardised data definitions, strong clinical engagement, and a clear governance structure.</w:t>
      </w:r>
    </w:p>
    <w:p w14:paraId="30679252" w14:textId="11764003" w:rsidR="00475CC0" w:rsidRPr="00475CC0" w:rsidRDefault="00475CC0" w:rsidP="00475CC0">
      <w:pPr>
        <w:pStyle w:val="Heading3"/>
      </w:pPr>
      <w:r w:rsidRPr="00475CC0">
        <w:t>The Australian and New Zealand Intensive Care Society (ANZICS) Adult Patient Database</w:t>
      </w:r>
    </w:p>
    <w:p w14:paraId="1065276A" w14:textId="1ABF673D" w:rsidR="00475CC0" w:rsidRPr="00475CC0" w:rsidRDefault="00475CC0" w:rsidP="00475CC0">
      <w:r w:rsidRPr="00475CC0">
        <w:t>Stakeholders identified the ANZICS Adult Patient Database as another example of a well-established national dataset.</w:t>
      </w:r>
      <w:r w:rsidRPr="00475CC0">
        <w:rPr>
          <w:vertAlign w:val="superscript"/>
        </w:rPr>
        <w:footnoteReference w:id="35"/>
      </w:r>
      <w:r w:rsidRPr="00475CC0">
        <w:t xml:space="preserve"> </w:t>
      </w:r>
      <w:r w:rsidR="00356FD2">
        <w:t>Over the past 20 years, t</w:t>
      </w:r>
      <w:r w:rsidRPr="00475CC0">
        <w:t xml:space="preserve">his registry </w:t>
      </w:r>
      <w:r w:rsidR="006C6AED">
        <w:t xml:space="preserve">has </w:t>
      </w:r>
      <w:r w:rsidRPr="00475CC0">
        <w:t>capture</w:t>
      </w:r>
      <w:r w:rsidR="006C6AED">
        <w:t>d</w:t>
      </w:r>
      <w:r w:rsidRPr="00475CC0">
        <w:t xml:space="preserve"> detailed information on Intensive Care Unit (ICU) admissions, including severity of illness, interventions, and outcomes. It supports real-time reporting, quality improvement, and research across public and private ICUs.</w:t>
      </w:r>
    </w:p>
    <w:p w14:paraId="13A5B5E6" w14:textId="08485C8A" w:rsidR="00475CC0" w:rsidRPr="00475CC0" w:rsidRDefault="00475CC0" w:rsidP="00475CC0">
      <w:r>
        <w:t>The ANZICS dataset offers a valuable reference point for sepsis data</w:t>
      </w:r>
      <w:r w:rsidR="000D2786">
        <w:t>, by demonstrating</w:t>
      </w:r>
      <w:r>
        <w:t xml:space="preserve"> how standardised clinical data can be collected from multiple health care services and used to monitor performance, identify variation, and support evidence-based policy. Data submissions are supported by a range of tools and resources, including collection forms, validation guidelines, a data dictionary, and training videos, to ensure that high-quality data is collected.</w:t>
      </w:r>
    </w:p>
    <w:p w14:paraId="573FE85C" w14:textId="77777777" w:rsidR="00475CC0" w:rsidRPr="00475CC0" w:rsidRDefault="00475CC0" w:rsidP="00475CC0">
      <w:pPr>
        <w:pStyle w:val="Heading3"/>
      </w:pPr>
      <w:r w:rsidRPr="00475CC0">
        <w:lastRenderedPageBreak/>
        <w:t>Other National Datasets and Linkage Models</w:t>
      </w:r>
    </w:p>
    <w:p w14:paraId="49C1E6EA" w14:textId="77777777" w:rsidR="00475CC0" w:rsidRPr="00475CC0" w:rsidRDefault="00475CC0" w:rsidP="00475CC0">
      <w:r>
        <w:t>Beyond these registries, several other national datasets and linkage models were discussed during consultations. These include:</w:t>
      </w:r>
    </w:p>
    <w:p w14:paraId="2EC48284" w14:textId="360287C9" w:rsidR="00475CC0" w:rsidRPr="00475CC0" w:rsidRDefault="00475CC0" w:rsidP="00475CC0">
      <w:pPr>
        <w:numPr>
          <w:ilvl w:val="0"/>
          <w:numId w:val="31"/>
        </w:numPr>
      </w:pPr>
      <w:r w:rsidRPr="00475CC0">
        <w:t>The NSW Lumos project,</w:t>
      </w:r>
      <w:r w:rsidRPr="00475CC0">
        <w:rPr>
          <w:vertAlign w:val="superscript"/>
        </w:rPr>
        <w:footnoteReference w:id="36"/>
      </w:r>
      <w:r w:rsidRPr="00475CC0">
        <w:t xml:space="preserve"> </w:t>
      </w:r>
      <w:r w:rsidDel="00475CC0">
        <w:t xml:space="preserve">which </w:t>
      </w:r>
      <w:r w:rsidRPr="00475CC0">
        <w:t>links primary care and hospital data to support continuity of care and population health planning</w:t>
      </w:r>
    </w:p>
    <w:p w14:paraId="43CFBDD2" w14:textId="61F6EDA5" w:rsidR="00475CC0" w:rsidRDefault="00475CC0" w:rsidP="00475CC0">
      <w:pPr>
        <w:numPr>
          <w:ilvl w:val="0"/>
          <w:numId w:val="31"/>
        </w:numPr>
      </w:pPr>
      <w:r w:rsidRPr="00475CC0">
        <w:t>The Australian Stroke Clinical Registry (AUSCR),</w:t>
      </w:r>
      <w:r w:rsidR="002040EC">
        <w:rPr>
          <w:rStyle w:val="FootnoteReference"/>
        </w:rPr>
        <w:footnoteReference w:id="37"/>
      </w:r>
      <w:r w:rsidRPr="00475CC0">
        <w:t xml:space="preserve"> </w:t>
      </w:r>
      <w:r w:rsidDel="00475CC0">
        <w:t>which</w:t>
      </w:r>
      <w:r w:rsidRPr="00475CC0" w:rsidDel="00E9333D">
        <w:t xml:space="preserve"> </w:t>
      </w:r>
      <w:r w:rsidRPr="00475CC0">
        <w:t>offers a model for blended funding and multi-</w:t>
      </w:r>
      <w:r w:rsidR="00990761">
        <w:t>disciplinary participation</w:t>
      </w:r>
    </w:p>
    <w:p w14:paraId="0AF39C6F" w14:textId="61A643FB" w:rsidR="00E0486B" w:rsidRDefault="00E0486B" w:rsidP="00475CC0">
      <w:pPr>
        <w:numPr>
          <w:ilvl w:val="0"/>
          <w:numId w:val="31"/>
        </w:numPr>
      </w:pPr>
      <w:r>
        <w:t>The Australian and New Zealand Emergency Laparotomy Audi</w:t>
      </w:r>
      <w:r w:rsidR="00566254">
        <w:t>t (ANZELA)</w:t>
      </w:r>
      <w:r w:rsidR="00E9333D">
        <w:t>,</w:t>
      </w:r>
      <w:r w:rsidR="007954EA">
        <w:rPr>
          <w:rStyle w:val="FootnoteReference"/>
        </w:rPr>
        <w:footnoteReference w:id="38"/>
      </w:r>
      <w:r w:rsidR="00E9333D">
        <w:t xml:space="preserve"> </w:t>
      </w:r>
      <w:r w:rsidR="00D864A1">
        <w:t xml:space="preserve">which </w:t>
      </w:r>
      <w:r w:rsidR="00E9333D">
        <w:t>offers a model of data collection</w:t>
      </w:r>
      <w:r w:rsidR="00D773E4">
        <w:t xml:space="preserve"> and ethics clearance </w:t>
      </w:r>
      <w:r w:rsidR="00E9333D">
        <w:t>on a national scale.</w:t>
      </w:r>
    </w:p>
    <w:p w14:paraId="702FE809" w14:textId="571BABF6" w:rsidR="00585D7C" w:rsidRPr="00475CC0" w:rsidRDefault="0079491E" w:rsidP="004A54BB">
      <w:r>
        <w:t>This report recommends that t</w:t>
      </w:r>
      <w:r w:rsidR="00181ED4">
        <w:t xml:space="preserve">hese models </w:t>
      </w:r>
      <w:r>
        <w:t>are considered further to inform the development of</w:t>
      </w:r>
      <w:r w:rsidR="005106AA">
        <w:t xml:space="preserve"> future data sets and supporting data platforms.</w:t>
      </w:r>
      <w:r w:rsidR="000562B6">
        <w:rPr>
          <w:rStyle w:val="FootnoteReference"/>
        </w:rPr>
        <w:footnoteReference w:id="39"/>
      </w:r>
    </w:p>
    <w:p w14:paraId="70842E96" w14:textId="68A67236" w:rsidR="00B106C9" w:rsidRPr="00382E6B" w:rsidRDefault="00B579E2" w:rsidP="00B579E2">
      <w:pPr>
        <w:pStyle w:val="Heading2"/>
        <w:rPr>
          <w:rFonts w:ascii="Arial" w:hAnsi="Arial" w:cs="Arial"/>
          <w:sz w:val="30"/>
          <w:szCs w:val="30"/>
        </w:rPr>
      </w:pPr>
      <w:bookmarkStart w:id="32" w:name="_Toc204787720"/>
      <w:r w:rsidRPr="00382E6B">
        <w:rPr>
          <w:rFonts w:ascii="Arial" w:hAnsi="Arial" w:cs="Arial"/>
          <w:sz w:val="30"/>
          <w:szCs w:val="30"/>
        </w:rPr>
        <w:t>Realising Improved Data Maturity</w:t>
      </w:r>
      <w:bookmarkEnd w:id="32"/>
    </w:p>
    <w:p w14:paraId="212EBDED" w14:textId="02ED5B8B" w:rsidR="000A5842" w:rsidRDefault="005D25E5" w:rsidP="005D25E5">
      <w:r w:rsidRPr="005D25E5">
        <w:t>Consultations revealed a wide spectrum of data maturity across Australia.</w:t>
      </w:r>
      <w:r w:rsidR="00C748AC">
        <w:rPr>
          <w:rStyle w:val="FootnoteReference"/>
        </w:rPr>
        <w:footnoteReference w:id="40"/>
      </w:r>
    </w:p>
    <w:p w14:paraId="4C39B0E9" w14:textId="554AFC21" w:rsidR="0096470C" w:rsidRPr="009D58DA" w:rsidRDefault="005D25E5" w:rsidP="00B97CCF">
      <w:r w:rsidRPr="005D25E5">
        <w:t xml:space="preserve">Rather than aiming for uniformity from the outset, </w:t>
      </w:r>
      <w:r w:rsidR="00C52187">
        <w:t>several stakeholders</w:t>
      </w:r>
      <w:r w:rsidR="00C52187" w:rsidRPr="005D25E5">
        <w:t xml:space="preserve"> </w:t>
      </w:r>
      <w:r w:rsidRPr="005D25E5">
        <w:t>considered that an</w:t>
      </w:r>
      <w:r w:rsidR="00702017">
        <w:t xml:space="preserve"> effective</w:t>
      </w:r>
      <w:r w:rsidRPr="005D25E5">
        <w:t xml:space="preserve"> strategy </w:t>
      </w:r>
      <w:r w:rsidR="00702017">
        <w:t>could</w:t>
      </w:r>
      <w:r w:rsidRPr="005D25E5">
        <w:t xml:space="preserve"> focus on progressive uplift</w:t>
      </w:r>
      <w:r w:rsidR="00702017">
        <w:t>, allowing</w:t>
      </w:r>
      <w:r w:rsidRPr="005D25E5">
        <w:t xml:space="preserve"> services with lower data maturity to </w:t>
      </w:r>
      <w:r w:rsidR="00D5672F">
        <w:t>develop</w:t>
      </w:r>
      <w:r w:rsidRPr="005D25E5">
        <w:t xml:space="preserve"> their approach over time, while enabling services with higher data maturity to contribute more detailed and timely data from the outset.</w:t>
      </w:r>
      <w:r w:rsidR="00B579E2">
        <w:rPr>
          <w:rStyle w:val="FootnoteReference"/>
        </w:rPr>
        <w:footnoteReference w:id="41"/>
      </w:r>
      <w:r w:rsidR="00975F82">
        <w:t xml:space="preserve"> </w:t>
      </w:r>
      <w:r w:rsidR="00B97CCF">
        <w:t xml:space="preserve">A focus on progressive uplift would </w:t>
      </w:r>
      <w:r w:rsidR="00E20068">
        <w:t xml:space="preserve">align with one of the </w:t>
      </w:r>
      <w:r w:rsidR="00650025">
        <w:t xml:space="preserve">pragmatic </w:t>
      </w:r>
      <w:r w:rsidR="0096470C" w:rsidRPr="009D58DA">
        <w:t>insights from consultation that waiting for a perfect data would delay meaningful action. As one participant noted,</w:t>
      </w:r>
    </w:p>
    <w:p w14:paraId="5C44AD97" w14:textId="204270A9" w:rsidR="0096470C" w:rsidRPr="009D58DA" w:rsidRDefault="003D0D98" w:rsidP="0096470C">
      <w:pPr>
        <w:ind w:left="720"/>
        <w:rPr>
          <w:i/>
          <w:iCs/>
        </w:rPr>
      </w:pPr>
      <w:bookmarkStart w:id="33" w:name="_Hlk206495839"/>
      <w:r>
        <w:rPr>
          <w:i/>
          <w:iCs/>
        </w:rPr>
        <w:t>‘</w:t>
      </w:r>
      <w:r w:rsidR="0096470C" w:rsidRPr="009D58DA">
        <w:rPr>
          <w:i/>
          <w:iCs/>
        </w:rPr>
        <w:t>there might not be a perfect answer, but there'll be a consistent answer…[and] if you start comparing [imperfect sepsis data] in a consistent way, then we might get something meaningful out of that</w:t>
      </w:r>
      <w:r>
        <w:rPr>
          <w:i/>
          <w:iCs/>
        </w:rPr>
        <w:t>’</w:t>
      </w:r>
      <w:bookmarkEnd w:id="33"/>
      <w:r w:rsidR="0096470C" w:rsidRPr="009D58DA">
        <w:rPr>
          <w:i/>
          <w:iCs/>
        </w:rPr>
        <w:t>.</w:t>
      </w:r>
    </w:p>
    <w:p w14:paraId="22F96A20" w14:textId="77777777" w:rsidR="005D25E5" w:rsidRPr="005D25E5" w:rsidRDefault="005D25E5" w:rsidP="005D25E5">
      <w:pPr>
        <w:pStyle w:val="Heading3"/>
      </w:pPr>
      <w:r w:rsidRPr="005D25E5">
        <w:t>Tiered Contribution Models</w:t>
      </w:r>
    </w:p>
    <w:p w14:paraId="55692045" w14:textId="77777777" w:rsidR="005D25E5" w:rsidRPr="005D25E5" w:rsidRDefault="005D25E5" w:rsidP="005D25E5">
      <w:r w:rsidRPr="005D25E5">
        <w:t>To accommodate this variation, a tiered contribution model was suggested allowing services to participate at a level that reflects their current capability. For example:</w:t>
      </w:r>
    </w:p>
    <w:p w14:paraId="3D07DE51" w14:textId="6473B42E" w:rsidR="005D25E5" w:rsidRPr="005D25E5" w:rsidRDefault="006057D1" w:rsidP="005D25E5">
      <w:pPr>
        <w:numPr>
          <w:ilvl w:val="0"/>
          <w:numId w:val="32"/>
        </w:numPr>
      </w:pPr>
      <w:r>
        <w:t xml:space="preserve">Tier 3 </w:t>
      </w:r>
      <w:r w:rsidR="005D25E5">
        <w:t>contributors could submit basic coded data (ICD-10-AM diagnoses, mortality)</w:t>
      </w:r>
      <w:r w:rsidR="00E6279C">
        <w:rPr>
          <w:rStyle w:val="FootnoteReference"/>
        </w:rPr>
        <w:footnoteReference w:id="42"/>
      </w:r>
      <w:r w:rsidR="00984686">
        <w:t xml:space="preserve"> </w:t>
      </w:r>
    </w:p>
    <w:p w14:paraId="71E8AECD" w14:textId="15B377EF" w:rsidR="005D25E5" w:rsidRPr="005D25E5" w:rsidRDefault="006057D1" w:rsidP="005D25E5">
      <w:pPr>
        <w:numPr>
          <w:ilvl w:val="0"/>
          <w:numId w:val="32"/>
        </w:numPr>
      </w:pPr>
      <w:r>
        <w:t xml:space="preserve">Tier 2 </w:t>
      </w:r>
      <w:r w:rsidR="0E259E1E">
        <w:t>contributors could include structured clinical indicators (lactate levels, time to antibiotics</w:t>
      </w:r>
      <w:r w:rsidR="4928DDCB">
        <w:t>, blood cultures prior to antibiotics</w:t>
      </w:r>
      <w:r w:rsidR="0E259E1E">
        <w:t>)</w:t>
      </w:r>
      <w:r w:rsidR="00F8261F">
        <w:t>, aligned with the CCS</w:t>
      </w:r>
    </w:p>
    <w:p w14:paraId="0686E576" w14:textId="08170D2D" w:rsidR="005D25E5" w:rsidRPr="005D25E5" w:rsidRDefault="006057D1" w:rsidP="005D25E5">
      <w:pPr>
        <w:numPr>
          <w:ilvl w:val="0"/>
          <w:numId w:val="32"/>
        </w:numPr>
      </w:pPr>
      <w:r>
        <w:t xml:space="preserve">Tier 1 </w:t>
      </w:r>
      <w:r w:rsidR="005D25E5" w:rsidRPr="005D25E5">
        <w:t>contributors could provide real-time data, linked datasets, and patient-reported outcomes</w:t>
      </w:r>
      <w:r w:rsidR="008C5597">
        <w:t>.</w:t>
      </w:r>
    </w:p>
    <w:p w14:paraId="001DA46E" w14:textId="5E1326F3" w:rsidR="005D25E5" w:rsidRPr="005D25E5" w:rsidRDefault="005D25E5" w:rsidP="005D25E5">
      <w:r w:rsidRPr="005D25E5">
        <w:lastRenderedPageBreak/>
        <w:t xml:space="preserve">A tiered model would result in the development of effective data </w:t>
      </w:r>
      <w:r w:rsidR="009A199D">
        <w:t>collection</w:t>
      </w:r>
      <w:r w:rsidRPr="005D25E5">
        <w:t xml:space="preserve">, while creating a </w:t>
      </w:r>
      <w:r w:rsidR="00904D21">
        <w:t xml:space="preserve">target </w:t>
      </w:r>
      <w:r w:rsidRPr="005D25E5">
        <w:t xml:space="preserve">for services to progress </w:t>
      </w:r>
      <w:r w:rsidR="00C52187">
        <w:t>through tiers</w:t>
      </w:r>
      <w:r w:rsidRPr="005D25E5">
        <w:t xml:space="preserve">, supported by </w:t>
      </w:r>
      <w:r w:rsidR="006772E7">
        <w:t xml:space="preserve">initial </w:t>
      </w:r>
      <w:r w:rsidRPr="005D25E5">
        <w:t>investment, training, and infrastructure development.</w:t>
      </w:r>
      <w:r w:rsidR="00E038CC">
        <w:rPr>
          <w:rStyle w:val="FootnoteReference"/>
        </w:rPr>
        <w:footnoteReference w:id="43"/>
      </w:r>
      <w:r w:rsidR="002C56F3">
        <w:t xml:space="preserve"> </w:t>
      </w:r>
    </w:p>
    <w:p w14:paraId="0C39CB28" w14:textId="77777777" w:rsidR="005D25E5" w:rsidRPr="005D25E5" w:rsidRDefault="005D25E5" w:rsidP="005D25E5">
      <w:pPr>
        <w:pStyle w:val="Heading3"/>
      </w:pPr>
      <w:r w:rsidRPr="005D25E5">
        <w:t>Building Datasets Through Strategic Expansion</w:t>
      </w:r>
    </w:p>
    <w:p w14:paraId="2033840B" w14:textId="3A8ED8FC" w:rsidR="005D25E5" w:rsidRPr="005D25E5" w:rsidRDefault="005D25E5" w:rsidP="005D25E5">
      <w:r>
        <w:t xml:space="preserve">Given the complexity of sepsis and the variation in data maturity across jurisdictions, an alternative approach </w:t>
      </w:r>
      <w:r w:rsidR="007159CB">
        <w:t xml:space="preserve">suggested </w:t>
      </w:r>
      <w:r>
        <w:t>to building a national dataset was to begin with a focused, subset of the patient population</w:t>
      </w:r>
      <w:r w:rsidR="0004534B">
        <w:t xml:space="preserve"> – </w:t>
      </w:r>
      <w:r>
        <w:t xml:space="preserve">such as paediatric patients – and expand incrementally over </w:t>
      </w:r>
      <w:r w:rsidR="4D0D0BB0">
        <w:t>time. This</w:t>
      </w:r>
      <w:r>
        <w:t xml:space="preserve"> approach would </w:t>
      </w:r>
      <w:r w:rsidR="489CA616">
        <w:t>enable</w:t>
      </w:r>
      <w:r>
        <w:t xml:space="preserve"> a </w:t>
      </w:r>
      <w:r w:rsidR="46A7D2A7">
        <w:t xml:space="preserve">national </w:t>
      </w:r>
      <w:r>
        <w:t>dataset to build momentum and refine underpinning processes before scaling to broader cohorts.</w:t>
      </w:r>
    </w:p>
    <w:p w14:paraId="50DC8DEF" w14:textId="424C9050" w:rsidR="005D25E5" w:rsidRDefault="005D25E5" w:rsidP="005D25E5">
      <w:r w:rsidRPr="005D25E5">
        <w:t xml:space="preserve">As data </w:t>
      </w:r>
      <w:r w:rsidR="009A199D">
        <w:t>systems</w:t>
      </w:r>
      <w:r w:rsidR="00752DB2" w:rsidRPr="005D25E5">
        <w:t xml:space="preserve"> </w:t>
      </w:r>
      <w:r w:rsidRPr="005D25E5">
        <w:t xml:space="preserve">mature and confidence grows, the dataset could be expanded to include additional cohorts, or patients with specific comorbidities. Each expansion phase </w:t>
      </w:r>
      <w:r w:rsidR="007159CB">
        <w:t>should</w:t>
      </w:r>
      <w:r w:rsidR="007159CB" w:rsidRPr="005D25E5">
        <w:t xml:space="preserve"> </w:t>
      </w:r>
      <w:r w:rsidRPr="005D25E5">
        <w:t>be informed by the lessons learned from earlier stages, ensuring that data definitions, collection methods, and governance models are continuously refined.</w:t>
      </w:r>
    </w:p>
    <w:p w14:paraId="045BC43E" w14:textId="53669FA7" w:rsidR="000B1B06" w:rsidRDefault="000B1B06" w:rsidP="000B1B06">
      <w:pPr>
        <w:pStyle w:val="Heading3"/>
      </w:pPr>
      <w:r>
        <w:t>Administrative Data Sets</w:t>
      </w:r>
    </w:p>
    <w:p w14:paraId="0E2BAD28" w14:textId="52B466F7" w:rsidR="006D79EA" w:rsidRPr="000B1B06" w:rsidRDefault="70E0B30B" w:rsidP="000B1B06">
      <w:r>
        <w:t>In addition to the above,</w:t>
      </w:r>
      <w:r w:rsidR="522C2531">
        <w:t xml:space="preserve"> there is also promising research supporting the use of administrative data sets, such as the </w:t>
      </w:r>
      <w:r w:rsidR="3B2FF37C" w:rsidRPr="004D6FF1">
        <w:t>Victorian Emergency Minimum Dataset (VEMD) and the Victorian Admitted Episodes Dataset (VAED)</w:t>
      </w:r>
      <w:r w:rsidR="3B2FF37C">
        <w:t xml:space="preserve"> to understand the epidemiology and outcomes of sepsis.</w:t>
      </w:r>
      <w:r w:rsidR="004D6FF1">
        <w:rPr>
          <w:rStyle w:val="FootnoteReference"/>
        </w:rPr>
        <w:footnoteReference w:id="44"/>
      </w:r>
      <w:r w:rsidR="3B2FF37C">
        <w:t xml:space="preserve"> </w:t>
      </w:r>
      <w:r w:rsidR="75ACB3C7">
        <w:t xml:space="preserve">While this </w:t>
      </w:r>
      <w:r w:rsidR="48E8DB47">
        <w:t>provides an important source of data, it must be supplemented by improved clinical data, coding practices and data practices</w:t>
      </w:r>
      <w:r w:rsidR="5545A3DA">
        <w:t>.</w:t>
      </w:r>
    </w:p>
    <w:p w14:paraId="74A59EBF" w14:textId="772F06CB" w:rsidR="001862E5" w:rsidRPr="00382E6B" w:rsidRDefault="003A6F33" w:rsidP="00CC7FDD">
      <w:pPr>
        <w:pStyle w:val="Heading2"/>
        <w:rPr>
          <w:rFonts w:ascii="Arial" w:hAnsi="Arial" w:cs="Arial"/>
          <w:sz w:val="30"/>
          <w:szCs w:val="30"/>
        </w:rPr>
      </w:pPr>
      <w:bookmarkStart w:id="34" w:name="_Toc204787721"/>
      <w:r w:rsidRPr="00382E6B">
        <w:rPr>
          <w:rFonts w:ascii="Arial" w:hAnsi="Arial" w:cs="Arial"/>
          <w:sz w:val="30"/>
          <w:szCs w:val="30"/>
        </w:rPr>
        <w:t xml:space="preserve"> </w:t>
      </w:r>
      <w:r w:rsidR="00CC7FDD" w:rsidRPr="00382E6B">
        <w:rPr>
          <w:rFonts w:ascii="Arial" w:hAnsi="Arial" w:cs="Arial"/>
          <w:sz w:val="30"/>
          <w:szCs w:val="30"/>
        </w:rPr>
        <w:t>Post-Sepsis</w:t>
      </w:r>
      <w:bookmarkEnd w:id="34"/>
    </w:p>
    <w:p w14:paraId="5C188EA5" w14:textId="6A3ACBD6" w:rsidR="0066005C" w:rsidRDefault="16FAF9BD" w:rsidP="001862E5">
      <w:r>
        <w:t>An opportunity exists to improve information settings for those most affected by sepsis.</w:t>
      </w:r>
    </w:p>
    <w:p w14:paraId="464E23C5" w14:textId="19FBE29A" w:rsidR="00464885" w:rsidRDefault="0C177D1C" w:rsidP="001862E5">
      <w:r>
        <w:t>During consultations</w:t>
      </w:r>
      <w:r w:rsidR="620E1FF8">
        <w:t xml:space="preserve"> sepsis</w:t>
      </w:r>
      <w:r w:rsidR="0C0C85A1">
        <w:t xml:space="preserve"> survivors reported</w:t>
      </w:r>
      <w:r w:rsidR="38616979">
        <w:t xml:space="preserve"> </w:t>
      </w:r>
      <w:r w:rsidR="25A57CA6">
        <w:t xml:space="preserve">that </w:t>
      </w:r>
      <w:r w:rsidR="3A49D079">
        <w:t>there was limited</w:t>
      </w:r>
      <w:r w:rsidR="00AB0127">
        <w:t>-</w:t>
      </w:r>
      <w:r w:rsidR="3A49D079">
        <w:t>to</w:t>
      </w:r>
      <w:r w:rsidR="00AB0127">
        <w:t>-</w:t>
      </w:r>
      <w:r w:rsidR="3A49D079">
        <w:t>no information available on what to ex</w:t>
      </w:r>
      <w:r w:rsidR="63F204D0">
        <w:t xml:space="preserve">pect </w:t>
      </w:r>
      <w:r w:rsidR="695D47BF">
        <w:t>once they le</w:t>
      </w:r>
      <w:r w:rsidR="27B304AF">
        <w:t>ave</w:t>
      </w:r>
      <w:r w:rsidR="695D47BF">
        <w:t xml:space="preserve"> ho</w:t>
      </w:r>
      <w:r w:rsidR="47B00094">
        <w:t>spital</w:t>
      </w:r>
      <w:r w:rsidR="7784A385">
        <w:t>.</w:t>
      </w:r>
      <w:r w:rsidR="62AFAF71">
        <w:t xml:space="preserve"> </w:t>
      </w:r>
      <w:r w:rsidR="03B25D99">
        <w:t>Collection</w:t>
      </w:r>
      <w:r w:rsidR="468F051F">
        <w:t xml:space="preserve"> </w:t>
      </w:r>
      <w:r w:rsidR="540FDE6A">
        <w:t xml:space="preserve">and </w:t>
      </w:r>
      <w:r w:rsidR="760C7E63">
        <w:t>dissemination</w:t>
      </w:r>
      <w:r w:rsidR="13F34407">
        <w:t xml:space="preserve"> of </w:t>
      </w:r>
      <w:r w:rsidR="74D85141">
        <w:t xml:space="preserve">post-sepsis data </w:t>
      </w:r>
      <w:r w:rsidR="2D928DFD">
        <w:t>c</w:t>
      </w:r>
      <w:r w:rsidR="74D85141">
        <w:t>ould</w:t>
      </w:r>
      <w:r w:rsidR="4551B87D">
        <w:t xml:space="preserve"> help to </w:t>
      </w:r>
      <w:r w:rsidR="65B75F95">
        <w:t>provide</w:t>
      </w:r>
      <w:r w:rsidR="760C7E63">
        <w:t xml:space="preserve"> </w:t>
      </w:r>
      <w:r w:rsidR="2070998D">
        <w:t>reassurance, guidance</w:t>
      </w:r>
      <w:r w:rsidR="004C5CFD">
        <w:t>,</w:t>
      </w:r>
      <w:r w:rsidR="2070998D">
        <w:t xml:space="preserve"> and support for</w:t>
      </w:r>
      <w:r w:rsidR="7F1C427B">
        <w:t xml:space="preserve"> patients and caregivers</w:t>
      </w:r>
      <w:r w:rsidR="673A5B34">
        <w:t xml:space="preserve"> on what to expect</w:t>
      </w:r>
      <w:r w:rsidR="7F1C427B">
        <w:t>.</w:t>
      </w:r>
    </w:p>
    <w:p w14:paraId="4B5CA583" w14:textId="0D3989FB" w:rsidR="00D17C6A" w:rsidRDefault="7D3F0441" w:rsidP="001862E5">
      <w:r>
        <w:t>Sepsis survivors also require data to support access to long term supports</w:t>
      </w:r>
      <w:r w:rsidR="61F47C2E">
        <w:t>.</w:t>
      </w:r>
      <w:r>
        <w:t xml:space="preserve"> Feedback received </w:t>
      </w:r>
      <w:r w:rsidR="7F85398F">
        <w:t>included that when</w:t>
      </w:r>
      <w:r>
        <w:t xml:space="preserve"> </w:t>
      </w:r>
      <w:r w:rsidR="794A7368">
        <w:t xml:space="preserve">the long-term functional impact of </w:t>
      </w:r>
      <w:r>
        <w:t>sepsis is not explicitly stated in documentation</w:t>
      </w:r>
      <w:r w:rsidR="072289CD">
        <w:t>,</w:t>
      </w:r>
      <w:r w:rsidR="198B7FD4">
        <w:t xml:space="preserve"> long term support can</w:t>
      </w:r>
      <w:r w:rsidR="072289CD">
        <w:t xml:space="preserve"> be difficult to obtain. </w:t>
      </w:r>
      <w:r w:rsidR="4DE69E03">
        <w:t>For example, t</w:t>
      </w:r>
      <w:r w:rsidR="09638222">
        <w:t xml:space="preserve">he National Disability Insurance Scheme (NDIS) </w:t>
      </w:r>
      <w:r>
        <w:t>d</w:t>
      </w:r>
      <w:r w:rsidR="4B6C9668">
        <w:t>oes</w:t>
      </w:r>
      <w:r>
        <w:t xml:space="preserve"> not have support packages specifically identified for sepsis patients</w:t>
      </w:r>
      <w:r w:rsidR="2C1FE68F">
        <w:t>.</w:t>
      </w:r>
    </w:p>
    <w:p w14:paraId="72AC4A0A" w14:textId="27259C82" w:rsidR="00960B6C" w:rsidRPr="00A738F4" w:rsidRDefault="3265E310" w:rsidP="00960B6C">
      <w:r>
        <w:t>S</w:t>
      </w:r>
      <w:r w:rsidR="00EA57C5">
        <w:t>epsis</w:t>
      </w:r>
      <w:r w:rsidR="3885516A">
        <w:t xml:space="preserve"> survivors</w:t>
      </w:r>
      <w:r w:rsidR="001609EE">
        <w:t xml:space="preserve"> w</w:t>
      </w:r>
      <w:r w:rsidR="00EA57C5">
        <w:t>ant access</w:t>
      </w:r>
      <w:r w:rsidR="00BE6DA7">
        <w:t>ible</w:t>
      </w:r>
      <w:r w:rsidR="00EA57C5">
        <w:t xml:space="preserve"> information </w:t>
      </w:r>
      <w:r w:rsidR="00902F3E">
        <w:t>about</w:t>
      </w:r>
      <w:r w:rsidR="001609EE">
        <w:t xml:space="preserve"> </w:t>
      </w:r>
      <w:r w:rsidR="001D1D71">
        <w:t>what to expect</w:t>
      </w:r>
      <w:r w:rsidR="00606606">
        <w:t xml:space="preserve"> post discharge,</w:t>
      </w:r>
      <w:r w:rsidR="001D1D71">
        <w:t xml:space="preserve"> </w:t>
      </w:r>
      <w:r w:rsidR="00902F3E">
        <w:t>including the likelihood of various recovery outcomes such as post-sepsis syndrome and its symptoms</w:t>
      </w:r>
      <w:r w:rsidR="0007280A">
        <w:t>.</w:t>
      </w:r>
      <w:r w:rsidR="00776015">
        <w:t xml:space="preserve"> </w:t>
      </w:r>
      <w:r w:rsidR="00A17126">
        <w:t>This would provide patients with valuable insights and reassure them that their experiences are shared by others</w:t>
      </w:r>
      <w:r w:rsidR="00536DB5">
        <w:t>.</w:t>
      </w:r>
      <w:r w:rsidR="00960B6C" w:rsidRPr="00960B6C">
        <w:t xml:space="preserve"> </w:t>
      </w:r>
      <w:r w:rsidR="00960B6C">
        <w:t>Moving forward, valuable information could include:</w:t>
      </w:r>
    </w:p>
    <w:p w14:paraId="56A165E1" w14:textId="77777777" w:rsidR="00960B6C" w:rsidRPr="00A738F4" w:rsidRDefault="00960B6C" w:rsidP="00960B6C">
      <w:pPr>
        <w:pStyle w:val="ListParagraph"/>
        <w:numPr>
          <w:ilvl w:val="0"/>
          <w:numId w:val="40"/>
        </w:numPr>
      </w:pPr>
      <w:r>
        <w:t>Experiences of other sepsis survivors</w:t>
      </w:r>
    </w:p>
    <w:p w14:paraId="08CE5982" w14:textId="77777777" w:rsidR="00960B6C" w:rsidRPr="00A738F4" w:rsidRDefault="00960B6C" w:rsidP="00960B6C">
      <w:pPr>
        <w:pStyle w:val="ListParagraph"/>
        <w:numPr>
          <w:ilvl w:val="0"/>
          <w:numId w:val="40"/>
        </w:numPr>
      </w:pPr>
      <w:r>
        <w:t>Expected outcomes and quality of life</w:t>
      </w:r>
    </w:p>
    <w:p w14:paraId="6F4C91DC" w14:textId="77777777" w:rsidR="00960B6C" w:rsidRDefault="00960B6C" w:rsidP="00960B6C">
      <w:pPr>
        <w:pStyle w:val="ListParagraph"/>
        <w:numPr>
          <w:ilvl w:val="0"/>
          <w:numId w:val="40"/>
        </w:numPr>
      </w:pPr>
      <w:r>
        <w:lastRenderedPageBreak/>
        <w:t>Morbidity and economic burden</w:t>
      </w:r>
    </w:p>
    <w:p w14:paraId="6784A99E" w14:textId="77777777" w:rsidR="00960B6C" w:rsidRPr="00A738F4" w:rsidRDefault="00960B6C" w:rsidP="00960B6C">
      <w:pPr>
        <w:pStyle w:val="ListParagraph"/>
        <w:numPr>
          <w:ilvl w:val="0"/>
          <w:numId w:val="40"/>
        </w:numPr>
      </w:pPr>
      <w:r w:rsidRPr="00A738F4">
        <w:t>Assisting with organising care, both through primary care and the NDIS</w:t>
      </w:r>
      <w:r>
        <w:t>.</w:t>
      </w:r>
    </w:p>
    <w:p w14:paraId="1DEDDC56" w14:textId="396C9B7F" w:rsidR="005A3A16" w:rsidRPr="00A738F4" w:rsidRDefault="1B96510B" w:rsidP="005A3A16">
      <w:r>
        <w:t>Data</w:t>
      </w:r>
      <w:r w:rsidR="7206196F">
        <w:t xml:space="preserve"> </w:t>
      </w:r>
      <w:r w:rsidR="3A1F036B">
        <w:t>c</w:t>
      </w:r>
      <w:r w:rsidR="7206196F">
        <w:t xml:space="preserve">ould also be used to </w:t>
      </w:r>
      <w:r w:rsidR="657EC86A">
        <w:t xml:space="preserve">inform </w:t>
      </w:r>
      <w:r w:rsidR="0207911C">
        <w:t xml:space="preserve">ongoing </w:t>
      </w:r>
      <w:r w:rsidR="43FA8F97">
        <w:t>care</w:t>
      </w:r>
      <w:r w:rsidR="7A73DDB2">
        <w:t xml:space="preserve"> and </w:t>
      </w:r>
      <w:r w:rsidR="00D17C6A">
        <w:t>development</w:t>
      </w:r>
      <w:r w:rsidR="7A73DDB2">
        <w:t xml:space="preserve"> of a model of care</w:t>
      </w:r>
      <w:r w:rsidR="43FA8F97">
        <w:t>.</w:t>
      </w:r>
      <w:r w:rsidR="0207911C">
        <w:t xml:space="preserve"> Curren</w:t>
      </w:r>
      <w:r w:rsidR="1C7F3C8F">
        <w:t>tl</w:t>
      </w:r>
      <w:r w:rsidR="0207911C">
        <w:t>y, information and coordination of care</w:t>
      </w:r>
      <w:r w:rsidR="0E6E7E5B">
        <w:t xml:space="preserve"> post-sepsis</w:t>
      </w:r>
      <w:r w:rsidR="0207911C">
        <w:t xml:space="preserve"> is poor</w:t>
      </w:r>
      <w:r w:rsidR="4296AF96">
        <w:t>.</w:t>
      </w:r>
      <w:r w:rsidR="4B2EA050">
        <w:t xml:space="preserve"> T</w:t>
      </w:r>
      <w:r w:rsidR="57663228">
        <w:t xml:space="preserve">he development and implementation of post-sepsis data collection and </w:t>
      </w:r>
      <w:r w:rsidR="1EE17373">
        <w:t>development of products for patients and carers</w:t>
      </w:r>
      <w:r w:rsidR="57663228">
        <w:t xml:space="preserve"> should be conducted in conjunction with consumers, </w:t>
      </w:r>
      <w:r w:rsidR="79776024">
        <w:t>to ensure the information provided aligns with patients’ priorities and contributes meaningfully to ongoing care and improved quality of life</w:t>
      </w:r>
      <w:r w:rsidR="57663228">
        <w:t>.</w:t>
      </w:r>
    </w:p>
    <w:p w14:paraId="2298035F" w14:textId="204D802A" w:rsidR="009D55EF" w:rsidRDefault="009D55EF" w:rsidP="005A3A16">
      <w:pPr>
        <w:rPr>
          <w:highlight w:val="cyan"/>
        </w:rPr>
      </w:pPr>
    </w:p>
    <w:p w14:paraId="41FD5057" w14:textId="530C7F54" w:rsidR="00C55959" w:rsidRDefault="00C55959">
      <w:pPr>
        <w:snapToGrid/>
        <w:spacing w:before="0" w:after="0" w:line="240" w:lineRule="auto"/>
      </w:pPr>
      <w:r>
        <w:br w:type="page"/>
      </w:r>
    </w:p>
    <w:p w14:paraId="5D21E373" w14:textId="49FFCC1D" w:rsidR="002378DB" w:rsidRPr="00BA406E" w:rsidRDefault="002378DB" w:rsidP="009532F4">
      <w:pPr>
        <w:pStyle w:val="Heading1"/>
        <w:rPr>
          <w:rFonts w:ascii="Arial" w:hAnsi="Arial" w:cs="Arial"/>
        </w:rPr>
      </w:pPr>
      <w:bookmarkStart w:id="35" w:name="_Toc204787722"/>
      <w:r w:rsidRPr="00BA406E">
        <w:rPr>
          <w:rFonts w:ascii="Arial" w:hAnsi="Arial" w:cs="Arial"/>
        </w:rPr>
        <w:lastRenderedPageBreak/>
        <w:t>The future of sepsis data</w:t>
      </w:r>
      <w:bookmarkEnd w:id="35"/>
    </w:p>
    <w:p w14:paraId="2BF52BE0" w14:textId="3F148451" w:rsidR="00412A0D" w:rsidRDefault="00BA4BDC" w:rsidP="00BA4BDC">
      <w:r w:rsidRPr="00BA4BDC">
        <w:t xml:space="preserve">This </w:t>
      </w:r>
      <w:r w:rsidR="00E44563">
        <w:t xml:space="preserve">section considers the </w:t>
      </w:r>
      <w:r w:rsidR="00445DCB">
        <w:t xml:space="preserve">future state of state of </w:t>
      </w:r>
      <w:r w:rsidR="001E7152">
        <w:t xml:space="preserve">sepsis data and </w:t>
      </w:r>
      <w:r w:rsidR="00532A41">
        <w:t xml:space="preserve">presents </w:t>
      </w:r>
      <w:r w:rsidR="001E7152">
        <w:t xml:space="preserve">a strategy </w:t>
      </w:r>
      <w:r w:rsidR="00431D0A">
        <w:t xml:space="preserve">to realise an effective </w:t>
      </w:r>
      <w:r w:rsidR="00532A41">
        <w:t>dataset</w:t>
      </w:r>
      <w:r w:rsidR="001B5CF3">
        <w:t>.</w:t>
      </w:r>
    </w:p>
    <w:p w14:paraId="33B82104" w14:textId="72786F43" w:rsidR="00EB2957" w:rsidRDefault="00532A41" w:rsidP="00BA4BDC">
      <w:r>
        <w:t xml:space="preserve">While the </w:t>
      </w:r>
      <w:r w:rsidR="001B5CF3">
        <w:t xml:space="preserve">future </w:t>
      </w:r>
      <w:r w:rsidR="00E40AA6">
        <w:t xml:space="preserve">vision for sepsis data is broadly accepted, the path to realising it remains somewhat unclear. </w:t>
      </w:r>
      <w:r w:rsidR="00D63D43">
        <w:t>A</w:t>
      </w:r>
      <w:r w:rsidR="00EB2957">
        <w:t xml:space="preserve"> strategy</w:t>
      </w:r>
      <w:r w:rsidR="00C2758E">
        <w:t xml:space="preserve"> t</w:t>
      </w:r>
      <w:r w:rsidR="00EB5D30">
        <w:t xml:space="preserve">o begin to realise this future </w:t>
      </w:r>
      <w:r w:rsidR="004E0901">
        <w:t>is proposed. This</w:t>
      </w:r>
      <w:r w:rsidR="00EB5D30">
        <w:t xml:space="preserve"> focus</w:t>
      </w:r>
      <w:r w:rsidR="004E0901">
        <w:t>es</w:t>
      </w:r>
      <w:r w:rsidR="00EB5D30">
        <w:t xml:space="preserve"> on four (4) key pillars</w:t>
      </w:r>
      <w:r w:rsidR="00C94761">
        <w:t>, supported by three (3) enabling factors.</w:t>
      </w:r>
    </w:p>
    <w:p w14:paraId="0FF0238A" w14:textId="57ABD91D" w:rsidR="00C94761" w:rsidRPr="00382E6B" w:rsidRDefault="005A1743" w:rsidP="00B30C24">
      <w:pPr>
        <w:pStyle w:val="Heading2"/>
        <w:rPr>
          <w:rFonts w:ascii="Arial" w:hAnsi="Arial" w:cs="Arial"/>
          <w:sz w:val="30"/>
          <w:szCs w:val="30"/>
        </w:rPr>
      </w:pPr>
      <w:bookmarkStart w:id="36" w:name="_Toc204787723"/>
      <w:r w:rsidRPr="00382E6B">
        <w:rPr>
          <w:rFonts w:ascii="Arial" w:hAnsi="Arial" w:cs="Arial"/>
          <w:sz w:val="30"/>
          <w:szCs w:val="30"/>
        </w:rPr>
        <w:t>Overview</w:t>
      </w:r>
      <w:bookmarkEnd w:id="36"/>
      <w:r w:rsidRPr="00382E6B">
        <w:rPr>
          <w:rFonts w:ascii="Arial" w:hAnsi="Arial" w:cs="Arial"/>
          <w:sz w:val="30"/>
          <w:szCs w:val="30"/>
        </w:rPr>
        <w:t xml:space="preserve"> </w:t>
      </w:r>
    </w:p>
    <w:p w14:paraId="12BAAC97" w14:textId="1E907C83" w:rsidR="00F77EE4" w:rsidRDefault="00F03291" w:rsidP="00F77EE4">
      <w:r>
        <w:t>The proposed strategy is realised through four (4) key strategic pillars:</w:t>
      </w:r>
    </w:p>
    <w:p w14:paraId="496B96D1" w14:textId="1D17C93B" w:rsidR="006228DD" w:rsidRDefault="006228DD" w:rsidP="00F03291">
      <w:pPr>
        <w:pStyle w:val="ListParagraph"/>
        <w:numPr>
          <w:ilvl w:val="0"/>
          <w:numId w:val="8"/>
        </w:numPr>
      </w:pPr>
      <w:r>
        <w:t xml:space="preserve">Effective data </w:t>
      </w:r>
      <w:r w:rsidRPr="006228DD">
        <w:rPr>
          <w:b/>
          <w:bCs/>
          <w:i/>
          <w:iCs/>
        </w:rPr>
        <w:t>g</w:t>
      </w:r>
      <w:r w:rsidR="00F03291" w:rsidRPr="006228DD">
        <w:rPr>
          <w:b/>
          <w:bCs/>
          <w:i/>
          <w:iCs/>
        </w:rPr>
        <w:t>overnance</w:t>
      </w:r>
      <w:r>
        <w:t xml:space="preserve">, to </w:t>
      </w:r>
      <w:r w:rsidR="00D36D7E">
        <w:t xml:space="preserve">ensure </w:t>
      </w:r>
      <w:r w:rsidR="00EB1FF5">
        <w:t>robust</w:t>
      </w:r>
      <w:r w:rsidR="00D36D7E">
        <w:t xml:space="preserve"> oversight of a</w:t>
      </w:r>
      <w:r w:rsidR="0013270B">
        <w:t xml:space="preserve"> minimum national dataset</w:t>
      </w:r>
      <w:r w:rsidR="003D53E8">
        <w:t xml:space="preserve"> and its development</w:t>
      </w:r>
    </w:p>
    <w:p w14:paraId="18E462CE" w14:textId="490BC4C4" w:rsidR="00F03291" w:rsidRDefault="00B91481" w:rsidP="00F03291">
      <w:pPr>
        <w:pStyle w:val="ListParagraph"/>
        <w:numPr>
          <w:ilvl w:val="0"/>
          <w:numId w:val="8"/>
        </w:numPr>
      </w:pPr>
      <w:r>
        <w:t xml:space="preserve">Improvement to </w:t>
      </w:r>
      <w:r w:rsidRPr="00B91481">
        <w:rPr>
          <w:b/>
          <w:bCs/>
          <w:i/>
          <w:iCs/>
        </w:rPr>
        <w:t>data quality and collection</w:t>
      </w:r>
      <w:r>
        <w:t xml:space="preserve">, to realise a robust and longitudinal national </w:t>
      </w:r>
      <w:r w:rsidR="0043471C">
        <w:t xml:space="preserve">clinical </w:t>
      </w:r>
      <w:r w:rsidR="009A199D">
        <w:t>registry</w:t>
      </w:r>
      <w:r>
        <w:t>.</w:t>
      </w:r>
    </w:p>
    <w:p w14:paraId="3DDFF942" w14:textId="2AA7AE01" w:rsidR="00DB6AED" w:rsidRDefault="006223C5" w:rsidP="00F03291">
      <w:pPr>
        <w:pStyle w:val="ListParagraph"/>
        <w:numPr>
          <w:ilvl w:val="0"/>
          <w:numId w:val="8"/>
        </w:numPr>
      </w:pPr>
      <w:r>
        <w:t xml:space="preserve">Uplift to </w:t>
      </w:r>
      <w:r w:rsidR="00692A24">
        <w:t xml:space="preserve">ICT </w:t>
      </w:r>
      <w:r w:rsidR="00F0122F" w:rsidRPr="00F0122F">
        <w:rPr>
          <w:b/>
          <w:bCs/>
          <w:i/>
          <w:iCs/>
        </w:rPr>
        <w:t>i</w:t>
      </w:r>
      <w:r w:rsidR="00692A24" w:rsidRPr="00F0122F">
        <w:rPr>
          <w:b/>
          <w:bCs/>
          <w:i/>
          <w:iCs/>
        </w:rPr>
        <w:t>nfrastructure</w:t>
      </w:r>
      <w:r w:rsidR="00692A24">
        <w:t>,</w:t>
      </w:r>
      <w:r w:rsidR="00F0122F">
        <w:t xml:space="preserve"> to support increased and improved data</w:t>
      </w:r>
      <w:r w:rsidR="00DB6AED">
        <w:t xml:space="preserve"> storage, sharing, and structure.</w:t>
      </w:r>
    </w:p>
    <w:p w14:paraId="73D7BB52" w14:textId="30880677" w:rsidR="008D29D7" w:rsidRDefault="00DB6AED" w:rsidP="00F03291">
      <w:pPr>
        <w:pStyle w:val="ListParagraph"/>
        <w:numPr>
          <w:ilvl w:val="0"/>
          <w:numId w:val="8"/>
        </w:numPr>
      </w:pPr>
      <w:r>
        <w:t xml:space="preserve">Exploring </w:t>
      </w:r>
      <w:r w:rsidRPr="00DB6AED">
        <w:t>data</w:t>
      </w:r>
      <w:r w:rsidRPr="00DB6AED">
        <w:rPr>
          <w:b/>
          <w:bCs/>
          <w:i/>
          <w:iCs/>
        </w:rPr>
        <w:t xml:space="preserve"> linkage</w:t>
      </w:r>
      <w:r>
        <w:t xml:space="preserve"> opportunities, to ensure that fragmented datasets are brought together</w:t>
      </w:r>
      <w:r w:rsidR="008D29D7">
        <w:t xml:space="preserve"> to realise the intent of a national </w:t>
      </w:r>
      <w:r w:rsidR="0043471C">
        <w:t>clinical</w:t>
      </w:r>
      <w:r w:rsidR="008D29D7">
        <w:t xml:space="preserve"> </w:t>
      </w:r>
      <w:r w:rsidR="009A199D">
        <w:t>registry</w:t>
      </w:r>
      <w:r w:rsidR="008D29D7">
        <w:t>.</w:t>
      </w:r>
    </w:p>
    <w:p w14:paraId="667EE0E0" w14:textId="18B15BFC" w:rsidR="0092466E" w:rsidRDefault="008D29D7" w:rsidP="008D29D7">
      <w:r>
        <w:t xml:space="preserve">Following consultation, this report considers that there are </w:t>
      </w:r>
      <w:r w:rsidR="006F1EC3">
        <w:t>three</w:t>
      </w:r>
      <w:r w:rsidR="0092466E">
        <w:t xml:space="preserve"> (3) key enabling factors to realise success against these pillars:</w:t>
      </w:r>
    </w:p>
    <w:p w14:paraId="0234BB62" w14:textId="137564B4" w:rsidR="00C9087C" w:rsidRDefault="00351129" w:rsidP="0092466E">
      <w:pPr>
        <w:pStyle w:val="ListParagraph"/>
        <w:numPr>
          <w:ilvl w:val="0"/>
          <w:numId w:val="19"/>
        </w:numPr>
      </w:pPr>
      <w:r w:rsidRPr="004A54BB">
        <w:rPr>
          <w:b/>
          <w:bCs/>
          <w:i/>
          <w:iCs/>
        </w:rPr>
        <w:t>Inter-jurisdictional</w:t>
      </w:r>
      <w:r>
        <w:t xml:space="preserve"> </w:t>
      </w:r>
      <w:r w:rsidRPr="00351129">
        <w:rPr>
          <w:b/>
          <w:bCs/>
          <w:i/>
          <w:iCs/>
        </w:rPr>
        <w:t>commitment</w:t>
      </w:r>
      <w:r>
        <w:t xml:space="preserve"> and buy-in to the realisation of a national data </w:t>
      </w:r>
      <w:r w:rsidR="00254CBA">
        <w:t>strategy</w:t>
      </w:r>
    </w:p>
    <w:p w14:paraId="6ED80DB7" w14:textId="73609166" w:rsidR="00351129" w:rsidRDefault="00E20DC2" w:rsidP="0092466E">
      <w:pPr>
        <w:pStyle w:val="ListParagraph"/>
        <w:numPr>
          <w:ilvl w:val="0"/>
          <w:numId w:val="19"/>
        </w:numPr>
      </w:pPr>
      <w:r w:rsidRPr="004A54BB">
        <w:rPr>
          <w:b/>
          <w:bCs/>
          <w:i/>
          <w:iCs/>
        </w:rPr>
        <w:t>Strategic sponsorship and investment</w:t>
      </w:r>
      <w:r>
        <w:t xml:space="preserve"> </w:t>
      </w:r>
      <w:r w:rsidR="00FF7E1E">
        <w:t>to realise incremental improvements and increased advocacy within federal health settings</w:t>
      </w:r>
    </w:p>
    <w:p w14:paraId="128B2E99" w14:textId="56A7031C" w:rsidR="00FF7E1E" w:rsidRDefault="00FF7E1E" w:rsidP="0092466E">
      <w:pPr>
        <w:pStyle w:val="ListParagraph"/>
        <w:numPr>
          <w:ilvl w:val="0"/>
          <w:numId w:val="19"/>
        </w:numPr>
      </w:pPr>
      <w:r w:rsidRPr="00631814">
        <w:t xml:space="preserve">Centring </w:t>
      </w:r>
      <w:r w:rsidRPr="004A54BB">
        <w:t>consumer participation</w:t>
      </w:r>
      <w:r>
        <w:t xml:space="preserve"> into </w:t>
      </w:r>
      <w:r w:rsidR="00094EDE">
        <w:t xml:space="preserve">the development of the dataset to ensure that it supports those </w:t>
      </w:r>
      <w:r w:rsidR="005375A7">
        <w:t>with, and</w:t>
      </w:r>
      <w:r w:rsidR="00631814">
        <w:t xml:space="preserve"> </w:t>
      </w:r>
      <w:r w:rsidR="00631814" w:rsidRPr="004A54BB">
        <w:rPr>
          <w:b/>
          <w:bCs/>
          <w:i/>
          <w:iCs/>
        </w:rPr>
        <w:t>is informed by</w:t>
      </w:r>
      <w:r w:rsidR="008F25B5">
        <w:rPr>
          <w:b/>
          <w:bCs/>
          <w:i/>
          <w:iCs/>
        </w:rPr>
        <w:t>,</w:t>
      </w:r>
      <w:r w:rsidR="00631814" w:rsidRPr="004A54BB">
        <w:rPr>
          <w:b/>
          <w:bCs/>
          <w:i/>
          <w:iCs/>
        </w:rPr>
        <w:t xml:space="preserve"> a</w:t>
      </w:r>
      <w:r w:rsidR="00094EDE" w:rsidRPr="004A54BB">
        <w:rPr>
          <w:b/>
          <w:bCs/>
          <w:i/>
          <w:iCs/>
        </w:rPr>
        <w:t xml:space="preserve"> lived experience</w:t>
      </w:r>
      <w:r w:rsidR="00094EDE">
        <w:t xml:space="preserve"> of sepsis.</w:t>
      </w:r>
    </w:p>
    <w:p w14:paraId="793D41C7" w14:textId="2910BD8E" w:rsidR="00C94761" w:rsidRDefault="55AB06F4" w:rsidP="00C94761">
      <w:r>
        <w:t xml:space="preserve">The </w:t>
      </w:r>
      <w:r w:rsidR="45247B82">
        <w:t xml:space="preserve">strategy has been developed </w:t>
      </w:r>
      <w:r w:rsidR="5101465B">
        <w:t>with a</w:t>
      </w:r>
      <w:r w:rsidR="0EB68E72">
        <w:t xml:space="preserve"> </w:t>
      </w:r>
      <w:r w:rsidR="00123572">
        <w:t>five</w:t>
      </w:r>
      <w:r w:rsidR="0033685A">
        <w:t xml:space="preserve"> (5)</w:t>
      </w:r>
      <w:r w:rsidR="00123572">
        <w:t xml:space="preserve"> </w:t>
      </w:r>
      <w:r w:rsidR="5101465B">
        <w:t>year time horizon in mind, however this report recog</w:t>
      </w:r>
      <w:r w:rsidR="15EC519E">
        <w:t>nises that several dependencies may warrant choosing an alternate time horizon for several actions.</w:t>
      </w:r>
    </w:p>
    <w:p w14:paraId="1952A032" w14:textId="480842AC" w:rsidR="000845C4" w:rsidRDefault="00464DBA" w:rsidP="00C94761">
      <w:r w:rsidRPr="009F6F9B">
        <w:t xml:space="preserve">Figure </w:t>
      </w:r>
      <w:r w:rsidR="00141B4C">
        <w:t>3</w:t>
      </w:r>
      <w:r>
        <w:t xml:space="preserve"> </w:t>
      </w:r>
      <w:r w:rsidR="00EB0A6C">
        <w:t xml:space="preserve">shows </w:t>
      </w:r>
      <w:r w:rsidR="00032745">
        <w:t xml:space="preserve">the interrelation between </w:t>
      </w:r>
      <w:r w:rsidR="000573ED">
        <w:t xml:space="preserve">the strategic pillars and enabling factors in realising the </w:t>
      </w:r>
      <w:r w:rsidR="00906C2E">
        <w:t xml:space="preserve">vision for sepsis data </w:t>
      </w:r>
      <w:r w:rsidR="00547BD1">
        <w:t xml:space="preserve">and </w:t>
      </w:r>
      <w:r w:rsidR="00750F6D">
        <w:t>the proposed strategy.</w:t>
      </w:r>
    </w:p>
    <w:p w14:paraId="74D4101E" w14:textId="77777777" w:rsidR="000845C4" w:rsidRDefault="000845C4">
      <w:pPr>
        <w:snapToGrid/>
        <w:spacing w:before="0" w:after="0" w:line="240" w:lineRule="auto"/>
        <w:jc w:val="left"/>
      </w:pPr>
      <w:r>
        <w:br w:type="page"/>
      </w:r>
    </w:p>
    <w:p w14:paraId="71A5BBBE" w14:textId="60374629" w:rsidR="00960A9E" w:rsidRDefault="001069E6" w:rsidP="00C94761">
      <w:pPr>
        <w:rPr>
          <w:b/>
        </w:rPr>
      </w:pPr>
      <w:r w:rsidRPr="00F1101C">
        <w:rPr>
          <w:b/>
        </w:rPr>
        <w:lastRenderedPageBreak/>
        <w:t xml:space="preserve">Figure </w:t>
      </w:r>
      <w:r w:rsidR="00141B4C">
        <w:rPr>
          <w:b/>
          <w:bCs/>
        </w:rPr>
        <w:t>3</w:t>
      </w:r>
      <w:r w:rsidRPr="00F1101C">
        <w:rPr>
          <w:b/>
        </w:rPr>
        <w:t xml:space="preserve">: </w:t>
      </w:r>
      <w:r w:rsidR="00254BF0" w:rsidRPr="00F1101C">
        <w:rPr>
          <w:b/>
        </w:rPr>
        <w:t>Sepsis Data</w:t>
      </w:r>
      <w:r w:rsidR="00F0442C">
        <w:rPr>
          <w:b/>
        </w:rPr>
        <w:t xml:space="preserve"> </w:t>
      </w:r>
      <w:r w:rsidR="00254BF0" w:rsidRPr="00F1101C">
        <w:rPr>
          <w:b/>
        </w:rPr>
        <w:t>Strategy components</w:t>
      </w:r>
    </w:p>
    <w:p w14:paraId="1203D8F9" w14:textId="3D16D06B" w:rsidR="000845C4" w:rsidRPr="00653492" w:rsidRDefault="000845C4" w:rsidP="00C94761">
      <w:pPr>
        <w:rPr>
          <w:b/>
        </w:rPr>
      </w:pPr>
      <w:r w:rsidRPr="000845C4">
        <w:rPr>
          <w:b/>
          <w:noProof/>
        </w:rPr>
        <w:drawing>
          <wp:anchor distT="0" distB="0" distL="114300" distR="114300" simplePos="0" relativeHeight="251658243" behindDoc="0" locked="0" layoutInCell="1" allowOverlap="1" wp14:anchorId="7F2940BF" wp14:editId="481103B9">
            <wp:simplePos x="0" y="0"/>
            <wp:positionH relativeFrom="column">
              <wp:posOffset>617855</wp:posOffset>
            </wp:positionH>
            <wp:positionV relativeFrom="paragraph">
              <wp:posOffset>61595</wp:posOffset>
            </wp:positionV>
            <wp:extent cx="4297045" cy="3696970"/>
            <wp:effectExtent l="0" t="0" r="8255" b="0"/>
            <wp:wrapTopAndBottom/>
            <wp:docPr id="419165042"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65042" name="Picture 1" descr="A diagram of a building&#10;&#10;AI-generated content may be incorrect."/>
                    <pic:cNvPicPr/>
                  </pic:nvPicPr>
                  <pic:blipFill>
                    <a:blip r:embed="rId38"/>
                    <a:stretch>
                      <a:fillRect/>
                    </a:stretch>
                  </pic:blipFill>
                  <pic:spPr>
                    <a:xfrm>
                      <a:off x="0" y="0"/>
                      <a:ext cx="4297045" cy="3696970"/>
                    </a:xfrm>
                    <a:prstGeom prst="rect">
                      <a:avLst/>
                    </a:prstGeom>
                  </pic:spPr>
                </pic:pic>
              </a:graphicData>
            </a:graphic>
            <wp14:sizeRelH relativeFrom="margin">
              <wp14:pctWidth>0</wp14:pctWidth>
            </wp14:sizeRelH>
            <wp14:sizeRelV relativeFrom="margin">
              <wp14:pctHeight>0</wp14:pctHeight>
            </wp14:sizeRelV>
          </wp:anchor>
        </w:drawing>
      </w:r>
    </w:p>
    <w:p w14:paraId="3E1A10E0" w14:textId="63047559" w:rsidR="005A1743" w:rsidRPr="00382E6B" w:rsidRDefault="005A1743" w:rsidP="00CC7FDD">
      <w:pPr>
        <w:pStyle w:val="Heading2"/>
        <w:rPr>
          <w:rFonts w:ascii="Arial" w:hAnsi="Arial" w:cs="Arial"/>
          <w:sz w:val="30"/>
          <w:szCs w:val="30"/>
        </w:rPr>
      </w:pPr>
      <w:bookmarkStart w:id="37" w:name="_Toc204787724"/>
      <w:r w:rsidRPr="00382E6B">
        <w:rPr>
          <w:rFonts w:ascii="Arial" w:hAnsi="Arial" w:cs="Arial"/>
          <w:sz w:val="30"/>
          <w:szCs w:val="30"/>
        </w:rPr>
        <w:t>Strategic Pillars</w:t>
      </w:r>
      <w:bookmarkEnd w:id="37"/>
    </w:p>
    <w:p w14:paraId="7B4024A5" w14:textId="1176D477" w:rsidR="005A1743" w:rsidRDefault="005A1743" w:rsidP="005A1743">
      <w:r>
        <w:t>The proposed strategy is built around four (4) key strategic pillars.</w:t>
      </w:r>
    </w:p>
    <w:p w14:paraId="1B08288D" w14:textId="1EA107A9" w:rsidR="00847A40" w:rsidRDefault="00847A40" w:rsidP="00CC7FDD">
      <w:pPr>
        <w:pStyle w:val="Heading3"/>
      </w:pPr>
      <w:r>
        <w:t>Governance</w:t>
      </w:r>
    </w:p>
    <w:p w14:paraId="2436EBC1" w14:textId="62083966" w:rsidR="007F224B" w:rsidRDefault="007F224B" w:rsidP="007F224B">
      <w:r>
        <w:t xml:space="preserve">The future state of governance should play an active role in securing funding, supporting the continued development of the minimum national dataset, and </w:t>
      </w:r>
      <w:r w:rsidRPr="00253AC7">
        <w:t>support</w:t>
      </w:r>
      <w:r>
        <w:t xml:space="preserve">ing </w:t>
      </w:r>
      <w:r w:rsidRPr="00253AC7">
        <w:t xml:space="preserve">stakeholder engagement, </w:t>
      </w:r>
      <w:r>
        <w:t xml:space="preserve">including </w:t>
      </w:r>
      <w:r w:rsidRPr="00253AC7">
        <w:t>clinicians, researchers, and patients</w:t>
      </w:r>
      <w:r>
        <w:t>.</w:t>
      </w:r>
    </w:p>
    <w:p w14:paraId="0A4646C4" w14:textId="24817A14" w:rsidR="00D32932" w:rsidRDefault="00253AC7" w:rsidP="00253AC7">
      <w:r>
        <w:t xml:space="preserve">The governance pillar </w:t>
      </w:r>
      <w:r w:rsidR="00D32932">
        <w:t xml:space="preserve">seeks to realise </w:t>
      </w:r>
      <w:r w:rsidRPr="00253AC7">
        <w:t xml:space="preserve">a sustainable and trusted national sepsis </w:t>
      </w:r>
      <w:r w:rsidR="0043471C">
        <w:t>clinical</w:t>
      </w:r>
      <w:r w:rsidR="0043471C" w:rsidRPr="00253AC7">
        <w:t xml:space="preserve"> </w:t>
      </w:r>
      <w:r w:rsidR="009A199D">
        <w:t>registry</w:t>
      </w:r>
      <w:r w:rsidR="00D32932">
        <w:t xml:space="preserve">, underpinned by the effective </w:t>
      </w:r>
      <w:r w:rsidRPr="00253AC7">
        <w:t>leadership, oversight, and ethical frameworks needed to ensure data is collected, shared, and used responsibly.</w:t>
      </w:r>
    </w:p>
    <w:p w14:paraId="6729CB88" w14:textId="240BD909" w:rsidR="00D32932" w:rsidRDefault="003A438A" w:rsidP="00253AC7">
      <w:r>
        <w:t xml:space="preserve">This report recommends commencing </w:t>
      </w:r>
      <w:r w:rsidR="005A4854">
        <w:t>with the development of a national working group</w:t>
      </w:r>
      <w:r w:rsidR="004E3473">
        <w:t xml:space="preserve"> to </w:t>
      </w:r>
      <w:r w:rsidR="005D6AD8">
        <w:t>drive</w:t>
      </w:r>
      <w:r w:rsidR="004E3473">
        <w:t xml:space="preserve"> </w:t>
      </w:r>
      <w:r w:rsidR="000170E2">
        <w:t xml:space="preserve">the activities </w:t>
      </w:r>
      <w:r w:rsidR="00B0004C">
        <w:t xml:space="preserve">under </w:t>
      </w:r>
      <w:r w:rsidR="00CD2E22">
        <w:t>other pillars</w:t>
      </w:r>
      <w:r w:rsidR="005D6AD8">
        <w:t xml:space="preserve"> and further refine the business case for a minimum national dataset.</w:t>
      </w:r>
    </w:p>
    <w:p w14:paraId="685032F6" w14:textId="01526CDB" w:rsidR="00091B2F" w:rsidRDefault="005D6AD8" w:rsidP="00253AC7">
      <w:r>
        <w:t xml:space="preserve">From here, </w:t>
      </w:r>
      <w:r w:rsidR="7978A2E8">
        <w:t>the program of work within this</w:t>
      </w:r>
      <w:r w:rsidR="0031529A">
        <w:t xml:space="preserve"> pillar should focus on the </w:t>
      </w:r>
      <w:r w:rsidR="00091B2F">
        <w:t xml:space="preserve">development of artefacts </w:t>
      </w:r>
      <w:r w:rsidR="005C41B8">
        <w:t xml:space="preserve">and initiatives </w:t>
      </w:r>
      <w:r w:rsidR="00091B2F">
        <w:t>required to support the realisation of effective governance. This could include:</w:t>
      </w:r>
    </w:p>
    <w:p w14:paraId="4900ED71" w14:textId="1E617815" w:rsidR="3E6D0A72" w:rsidRDefault="00F12074" w:rsidP="133E4463">
      <w:pPr>
        <w:pStyle w:val="ListParagraph"/>
        <w:numPr>
          <w:ilvl w:val="0"/>
          <w:numId w:val="48"/>
        </w:numPr>
      </w:pPr>
      <w:r>
        <w:t>Identifying a</w:t>
      </w:r>
      <w:r w:rsidR="3E6D0A72">
        <w:t xml:space="preserve"> lead </w:t>
      </w:r>
      <w:r w:rsidR="5242ABFC">
        <w:t>national</w:t>
      </w:r>
      <w:r w:rsidR="3E6D0A72">
        <w:t xml:space="preserve"> agency to drive and coordinate strategy implementation and reporting</w:t>
      </w:r>
    </w:p>
    <w:p w14:paraId="34F4F11C" w14:textId="1017DDD8" w:rsidR="0043108E" w:rsidRDefault="00F12074" w:rsidP="004A54BB">
      <w:pPr>
        <w:pStyle w:val="ListParagraph"/>
        <w:numPr>
          <w:ilvl w:val="0"/>
          <w:numId w:val="48"/>
        </w:numPr>
      </w:pPr>
      <w:r w:rsidRPr="0043108E">
        <w:t>Developing a</w:t>
      </w:r>
      <w:r w:rsidR="00091B2F" w:rsidRPr="0043108E">
        <w:t xml:space="preserve"> </w:t>
      </w:r>
      <w:r w:rsidRPr="0043108E">
        <w:t>n</w:t>
      </w:r>
      <w:r w:rsidR="00091B2F" w:rsidRPr="0043108E">
        <w:t>ational governance framework, that outlines the</w:t>
      </w:r>
      <w:r w:rsidR="61E247C7" w:rsidRPr="0043108E">
        <w:t xml:space="preserve"> mandatory</w:t>
      </w:r>
      <w:r w:rsidR="00091B2F" w:rsidRPr="0043108E">
        <w:t xml:space="preserve"> privacy</w:t>
      </w:r>
      <w:r w:rsidR="00ED76F7" w:rsidRPr="0043108E">
        <w:t>, legal, and ethical requirements</w:t>
      </w:r>
      <w:r w:rsidR="1B9AF676" w:rsidRPr="0043108E">
        <w:t xml:space="preserve"> including jurisdictional alignment</w:t>
      </w:r>
    </w:p>
    <w:p w14:paraId="7D169B62" w14:textId="46A6CAE0" w:rsidR="00212271" w:rsidRDefault="0043108E" w:rsidP="0043108E">
      <w:pPr>
        <w:pStyle w:val="ListParagraph"/>
        <w:numPr>
          <w:ilvl w:val="0"/>
          <w:numId w:val="48"/>
        </w:numPr>
      </w:pPr>
      <w:r>
        <w:lastRenderedPageBreak/>
        <w:t>D</w:t>
      </w:r>
      <w:r w:rsidR="00ED76F7">
        <w:t>raft</w:t>
      </w:r>
      <w:r>
        <w:t>ing</w:t>
      </w:r>
      <w:r w:rsidR="00ED76F7">
        <w:t xml:space="preserve"> data sharing arrangements based on the national framework</w:t>
      </w:r>
      <w:r w:rsidR="00F72098">
        <w:t>, that support initial data sharing between jurisd</w:t>
      </w:r>
      <w:r w:rsidR="00212271">
        <w:t>ictions</w:t>
      </w:r>
    </w:p>
    <w:p w14:paraId="6D1C1567" w14:textId="17D3F037" w:rsidR="005D6AD8" w:rsidRDefault="00F12074" w:rsidP="0060465D">
      <w:pPr>
        <w:pStyle w:val="ListParagraph"/>
        <w:numPr>
          <w:ilvl w:val="0"/>
          <w:numId w:val="48"/>
        </w:numPr>
      </w:pPr>
      <w:r>
        <w:t>Providing c</w:t>
      </w:r>
      <w:r w:rsidR="00212271">
        <w:t>entral advocacy</w:t>
      </w:r>
      <w:r w:rsidR="00B351E2">
        <w:t>, stewardship</w:t>
      </w:r>
      <w:r w:rsidR="00212271">
        <w:t xml:space="preserve"> </w:t>
      </w:r>
      <w:r w:rsidR="00E71004">
        <w:t xml:space="preserve">and accountability </w:t>
      </w:r>
      <w:r w:rsidR="00212271">
        <w:t xml:space="preserve">for </w:t>
      </w:r>
      <w:r w:rsidR="00D4036F">
        <w:t>funding and</w:t>
      </w:r>
      <w:r w:rsidR="00E71004">
        <w:t xml:space="preserve"> explor</w:t>
      </w:r>
      <w:r w:rsidR="002F6E2B">
        <w:t>ing</w:t>
      </w:r>
      <w:r w:rsidR="00E71004">
        <w:t xml:space="preserve"> options to build blended funding streams</w:t>
      </w:r>
      <w:r w:rsidR="004D6943">
        <w:t>.</w:t>
      </w:r>
    </w:p>
    <w:p w14:paraId="60707374" w14:textId="051F86A1" w:rsidR="00253AC7" w:rsidRPr="00253AC7" w:rsidRDefault="005B0067" w:rsidP="00CC7FDD">
      <w:pPr>
        <w:pStyle w:val="Heading3"/>
      </w:pPr>
      <w:r>
        <w:t>Data quality and collection</w:t>
      </w:r>
    </w:p>
    <w:p w14:paraId="7D84BC00" w14:textId="470E5677" w:rsidR="0044437C" w:rsidRDefault="003541F0" w:rsidP="0044437C">
      <w:r>
        <w:t>The future state of data quality and collection seeks to</w:t>
      </w:r>
      <w:r w:rsidR="00CE1485">
        <w:t xml:space="preserve"> realise </w:t>
      </w:r>
      <w:r w:rsidR="00962AA6" w:rsidRPr="00781F60">
        <w:t>a consistent, clinically meaningful foundation for sepsis data</w:t>
      </w:r>
      <w:r w:rsidR="00F51268">
        <w:t>, that is co</w:t>
      </w:r>
      <w:r w:rsidR="0047039B">
        <w:t>nsistently reviewed and developed.</w:t>
      </w:r>
    </w:p>
    <w:p w14:paraId="329DBD4F" w14:textId="06E76710" w:rsidR="006E7BBB" w:rsidRDefault="0047039B" w:rsidP="00BA4BDC">
      <w:r>
        <w:t xml:space="preserve">The quality and collection pillar </w:t>
      </w:r>
      <w:r w:rsidR="00781F60">
        <w:t>begins with</w:t>
      </w:r>
      <w:r w:rsidR="003F5F47">
        <w:t xml:space="preserve"> building consensus on </w:t>
      </w:r>
      <w:r w:rsidR="00342C88">
        <w:t>key definitions and data points</w:t>
      </w:r>
      <w:r w:rsidR="00B57EE8">
        <w:t>, to ensure consistency within national data.</w:t>
      </w:r>
      <w:r w:rsidR="006E7BBB">
        <w:t xml:space="preserve"> This </w:t>
      </w:r>
      <w:r w:rsidR="29C669C4">
        <w:t>sh</w:t>
      </w:r>
      <w:r w:rsidR="006E7BBB">
        <w:t>ould include:</w:t>
      </w:r>
    </w:p>
    <w:p w14:paraId="7D944EC9" w14:textId="048CA121" w:rsidR="003F5F47" w:rsidRDefault="003A1BB8" w:rsidP="0060465D">
      <w:pPr>
        <w:pStyle w:val="ListParagraph"/>
        <w:numPr>
          <w:ilvl w:val="0"/>
          <w:numId w:val="49"/>
        </w:numPr>
      </w:pPr>
      <w:r>
        <w:t>Building c</w:t>
      </w:r>
      <w:r w:rsidR="006E7BBB">
        <w:t>onsensus on sepsis definitions and ‘time zero’ for data collection processes</w:t>
      </w:r>
    </w:p>
    <w:p w14:paraId="75E1E6DA" w14:textId="14D98044" w:rsidR="006E7BBB" w:rsidRDefault="00B24673" w:rsidP="0060465D">
      <w:pPr>
        <w:pStyle w:val="ListParagraph"/>
        <w:numPr>
          <w:ilvl w:val="0"/>
          <w:numId w:val="49"/>
        </w:numPr>
      </w:pPr>
      <w:r>
        <w:t xml:space="preserve">Developing a data </w:t>
      </w:r>
      <w:r w:rsidR="006656B6">
        <w:t>di</w:t>
      </w:r>
      <w:r w:rsidR="009E22AB">
        <w:t xml:space="preserve">ctionary </w:t>
      </w:r>
      <w:r w:rsidR="00282406">
        <w:t>to align data with the Sepsis Clinical Care Standard</w:t>
      </w:r>
    </w:p>
    <w:p w14:paraId="4D78E83E" w14:textId="24002EBB" w:rsidR="00282406" w:rsidRDefault="007F224B" w:rsidP="0060465D">
      <w:pPr>
        <w:pStyle w:val="ListParagraph"/>
        <w:numPr>
          <w:ilvl w:val="0"/>
          <w:numId w:val="49"/>
        </w:numPr>
      </w:pPr>
      <w:r>
        <w:t>Review</w:t>
      </w:r>
      <w:r w:rsidR="003A1BB8">
        <w:t>ing</w:t>
      </w:r>
      <w:r>
        <w:t xml:space="preserve"> PROMS and PREMS for post-sepsis care and</w:t>
      </w:r>
      <w:r w:rsidR="002F6E2B">
        <w:t xml:space="preserve"> to</w:t>
      </w:r>
      <w:r>
        <w:t xml:space="preserve"> determine if new long-term measures are </w:t>
      </w:r>
      <w:r w:rsidR="00F16E1B">
        <w:t>required</w:t>
      </w:r>
    </w:p>
    <w:p w14:paraId="26A91E59" w14:textId="1B2621A4" w:rsidR="00F16E1B" w:rsidRDefault="00F16E1B" w:rsidP="0060465D">
      <w:pPr>
        <w:pStyle w:val="ListParagraph"/>
        <w:numPr>
          <w:ilvl w:val="0"/>
          <w:numId w:val="49"/>
        </w:numPr>
      </w:pPr>
      <w:r>
        <w:t>Begin</w:t>
      </w:r>
      <w:r w:rsidR="003A1BB8">
        <w:t>ning</w:t>
      </w:r>
      <w:r>
        <w:t xml:space="preserve"> the design of a national snapshot audit.</w:t>
      </w:r>
    </w:p>
    <w:p w14:paraId="539B8A12" w14:textId="295F01EC" w:rsidR="00781F60" w:rsidRDefault="00F16E1B" w:rsidP="0044437C">
      <w:pPr>
        <w:rPr>
          <w:highlight w:val="darkCyan"/>
        </w:rPr>
      </w:pPr>
      <w:r>
        <w:t xml:space="preserve">From here, the quality and collection </w:t>
      </w:r>
      <w:r w:rsidR="18ADFE5F">
        <w:t>program of work should focus on</w:t>
      </w:r>
      <w:r>
        <w:t xml:space="preserve"> </w:t>
      </w:r>
      <w:r w:rsidR="0044437C">
        <w:t xml:space="preserve">continuous improvement by </w:t>
      </w:r>
      <w:r w:rsidR="00781F60">
        <w:t>support</w:t>
      </w:r>
      <w:r w:rsidR="00E426DF">
        <w:t xml:space="preserve">ing </w:t>
      </w:r>
      <w:r w:rsidR="00781F60">
        <w:t>the development of robust process and outcome measures, enabling benchmarking, quality improvement, and more informed decision-making.</w:t>
      </w:r>
    </w:p>
    <w:p w14:paraId="2E961065" w14:textId="3D378457" w:rsidR="00781F60" w:rsidRDefault="627139C4" w:rsidP="00BA4BDC">
      <w:r>
        <w:t xml:space="preserve">Improving </w:t>
      </w:r>
      <w:r w:rsidR="78C5E6A8">
        <w:t xml:space="preserve">clinical documentation and </w:t>
      </w:r>
      <w:r>
        <w:t>coding practices is essential to</w:t>
      </w:r>
      <w:r w:rsidR="33B4DF1B">
        <w:t xml:space="preserve"> ensure </w:t>
      </w:r>
      <w:r w:rsidR="5C6E3212">
        <w:t xml:space="preserve">sepsis cases are correctly reported and </w:t>
      </w:r>
      <w:r w:rsidR="00112806">
        <w:t xml:space="preserve">that </w:t>
      </w:r>
      <w:r w:rsidR="00830C5C">
        <w:t>comprehensive</w:t>
      </w:r>
      <w:r w:rsidR="00BA23B8">
        <w:t xml:space="preserve"> clinical observations of sepsis are </w:t>
      </w:r>
      <w:r w:rsidR="3DBFB8E2">
        <w:t>captured consistently across jurisdictions.</w:t>
      </w:r>
    </w:p>
    <w:p w14:paraId="0D0A8CC4" w14:textId="5794C21F" w:rsidR="009A2706" w:rsidRDefault="1617D7A5" w:rsidP="00CC7FDD">
      <w:pPr>
        <w:pStyle w:val="Heading3"/>
      </w:pPr>
      <w:r>
        <w:t>Infrastructure</w:t>
      </w:r>
    </w:p>
    <w:p w14:paraId="02BAFF01" w14:textId="1E080597" w:rsidR="00177EC3" w:rsidRDefault="00B82567" w:rsidP="00B82567">
      <w:r>
        <w:t xml:space="preserve">The future state of data </w:t>
      </w:r>
      <w:r w:rsidR="007461C8">
        <w:t>infrastructure</w:t>
      </w:r>
      <w:r>
        <w:t xml:space="preserve"> seeks to realise </w:t>
      </w:r>
      <w:r w:rsidR="007461C8">
        <w:t>improved</w:t>
      </w:r>
      <w:r w:rsidR="00177EC3">
        <w:t xml:space="preserve">, and where possible interoperable, </w:t>
      </w:r>
      <w:r w:rsidR="00F3135A">
        <w:t xml:space="preserve">ICT </w:t>
      </w:r>
      <w:r w:rsidR="00383A30">
        <w:t xml:space="preserve">to </w:t>
      </w:r>
      <w:r w:rsidR="00177EC3">
        <w:t>ensure data is effectively stored, shared</w:t>
      </w:r>
      <w:r w:rsidR="00792E03">
        <w:t>,</w:t>
      </w:r>
      <w:r w:rsidR="00177EC3">
        <w:t xml:space="preserve"> and linked with minimal manual intervention. </w:t>
      </w:r>
      <w:r w:rsidR="00B95339">
        <w:t xml:space="preserve">This report recognises that </w:t>
      </w:r>
      <w:r w:rsidR="0099663D">
        <w:t xml:space="preserve">improved ICT will present significant external benefits </w:t>
      </w:r>
      <w:r w:rsidR="00CE483E">
        <w:t>to the Australian health care system outside of sepsis</w:t>
      </w:r>
      <w:r w:rsidR="00114FBC">
        <w:t xml:space="preserve"> care models</w:t>
      </w:r>
      <w:r w:rsidR="00CE483E">
        <w:t>.</w:t>
      </w:r>
    </w:p>
    <w:p w14:paraId="3960CE90" w14:textId="177703E3" w:rsidR="00F74104" w:rsidRDefault="00177EC3" w:rsidP="00B82567">
      <w:r>
        <w:t>The infrastructure pillar begin</w:t>
      </w:r>
      <w:r w:rsidR="71254CC9">
        <w:t>s with</w:t>
      </w:r>
      <w:r w:rsidR="00172508">
        <w:t xml:space="preserve"> </w:t>
      </w:r>
      <w:r w:rsidR="00792E03">
        <w:t xml:space="preserve">a </w:t>
      </w:r>
      <w:r w:rsidR="001A19F0">
        <w:t xml:space="preserve">mapping </w:t>
      </w:r>
      <w:r w:rsidR="00792E03">
        <w:t xml:space="preserve">exercise </w:t>
      </w:r>
      <w:r w:rsidR="001A19F0">
        <w:t xml:space="preserve">to understand the </w:t>
      </w:r>
      <w:r w:rsidR="009079FA">
        <w:t xml:space="preserve">scope of </w:t>
      </w:r>
      <w:r w:rsidR="001359E0">
        <w:t>the data differences</w:t>
      </w:r>
      <w:r w:rsidR="00CB3733">
        <w:t xml:space="preserve">, </w:t>
      </w:r>
      <w:r w:rsidR="00F07ABF">
        <w:t>and</w:t>
      </w:r>
      <w:r w:rsidR="00CB3733">
        <w:t xml:space="preserve"> the magnitude of the changes that will be required to realise </w:t>
      </w:r>
      <w:r w:rsidR="00073145">
        <w:t xml:space="preserve">a minimum national data </w:t>
      </w:r>
      <w:r w:rsidR="009A199D">
        <w:t>collection</w:t>
      </w:r>
      <w:r w:rsidR="00073145">
        <w:t xml:space="preserve">. This strategy recognises that there is some additional work required </w:t>
      </w:r>
      <w:r w:rsidR="00892A44">
        <w:t xml:space="preserve">to determine the overlap between the direction of this pillar, </w:t>
      </w:r>
      <w:r w:rsidR="00245F74">
        <w:t xml:space="preserve">the </w:t>
      </w:r>
      <w:r w:rsidR="0055553C">
        <w:t xml:space="preserve">Sparked </w:t>
      </w:r>
      <w:r w:rsidR="00245F74">
        <w:t>CSI</w:t>
      </w:r>
      <w:r w:rsidR="00F74104">
        <w:t>RO standard</w:t>
      </w:r>
      <w:r w:rsidR="0041471F">
        <w:t>,</w:t>
      </w:r>
      <w:r w:rsidR="0055553C">
        <w:rPr>
          <w:rStyle w:val="FootnoteReference"/>
        </w:rPr>
        <w:footnoteReference w:id="45"/>
      </w:r>
      <w:r w:rsidR="0041471F">
        <w:t xml:space="preserve"> and the implementation of ICD-11 </w:t>
      </w:r>
      <w:r w:rsidR="0053365C">
        <w:t>in Australia.</w:t>
      </w:r>
    </w:p>
    <w:p w14:paraId="3363FC8A" w14:textId="545B4840" w:rsidR="005300A0" w:rsidRDefault="00F74104" w:rsidP="00B82567">
      <w:r>
        <w:t>Perhap</w:t>
      </w:r>
      <w:r w:rsidR="00833BA5">
        <w:t xml:space="preserve">s more </w:t>
      </w:r>
      <w:r w:rsidR="00547F4A">
        <w:t>than other</w:t>
      </w:r>
      <w:r w:rsidR="00FA529E">
        <w:t xml:space="preserve"> pillars, the infrastructure pillar will require significant investment</w:t>
      </w:r>
      <w:r w:rsidR="000D12C5">
        <w:t xml:space="preserve"> of both time and money</w:t>
      </w:r>
      <w:r w:rsidR="00FA529E">
        <w:t xml:space="preserve">. As a result, </w:t>
      </w:r>
      <w:r w:rsidR="000D12C5">
        <w:t xml:space="preserve">this strategy positions </w:t>
      </w:r>
      <w:r w:rsidR="0061791F">
        <w:t xml:space="preserve">several dependencies with infrastructure and </w:t>
      </w:r>
      <w:r w:rsidR="00E232B4">
        <w:t>funding and</w:t>
      </w:r>
      <w:r w:rsidR="0061791F">
        <w:t xml:space="preserve"> recognises that</w:t>
      </w:r>
      <w:r w:rsidR="005300A0">
        <w:t xml:space="preserve"> there are other opportunities that could be leveraged to partially realise this.</w:t>
      </w:r>
    </w:p>
    <w:p w14:paraId="4ED0D68A" w14:textId="2B36250E" w:rsidR="00B82567" w:rsidRDefault="00167488" w:rsidP="00B82567">
      <w:r>
        <w:t xml:space="preserve">Positioned in the long-term, though not a dependent sequence, it is recognised that </w:t>
      </w:r>
      <w:r w:rsidR="003E31C0">
        <w:t xml:space="preserve">there is significant potential for investment in </w:t>
      </w:r>
      <w:r w:rsidR="00B8349A">
        <w:t>analytical and generative tooling to support sepsis data insights.</w:t>
      </w:r>
    </w:p>
    <w:p w14:paraId="5A5D017F" w14:textId="31E58508" w:rsidR="00897FEA" w:rsidRDefault="00897FEA" w:rsidP="00CC7FDD">
      <w:pPr>
        <w:pStyle w:val="Heading3"/>
      </w:pPr>
      <w:r>
        <w:lastRenderedPageBreak/>
        <w:t>Linkage</w:t>
      </w:r>
    </w:p>
    <w:p w14:paraId="6780CA5A" w14:textId="12FF2EFD" w:rsidR="00145D78" w:rsidRDefault="00897FEA" w:rsidP="00B82567">
      <w:r>
        <w:t>The</w:t>
      </w:r>
      <w:r w:rsidR="0017062E">
        <w:t xml:space="preserve"> future state of linkage seeks to realise improved interoperability between </w:t>
      </w:r>
      <w:r w:rsidR="00244DE4">
        <w:t xml:space="preserve">data sets </w:t>
      </w:r>
      <w:r w:rsidR="00D36257">
        <w:t>(</w:t>
      </w:r>
      <w:r w:rsidR="00244DE4">
        <w:t>within and in between jurisdictions</w:t>
      </w:r>
      <w:r w:rsidR="00D36257">
        <w:t>)</w:t>
      </w:r>
      <w:r w:rsidR="002C334A">
        <w:t xml:space="preserve"> to ensure that data is available on the full patient journey.</w:t>
      </w:r>
    </w:p>
    <w:p w14:paraId="46CDC669" w14:textId="05EC239A" w:rsidR="00073145" w:rsidRDefault="00650A81" w:rsidP="00B82567">
      <w:r>
        <w:t>The linkage pillar takes an alternat</w:t>
      </w:r>
      <w:r w:rsidR="001C0BDD">
        <w:t xml:space="preserve">ive approach to realising a national </w:t>
      </w:r>
      <w:r w:rsidR="0043471C">
        <w:t xml:space="preserve">clinical </w:t>
      </w:r>
      <w:r w:rsidR="009A199D">
        <w:t>registry</w:t>
      </w:r>
      <w:r w:rsidR="001C0BDD">
        <w:t xml:space="preserve"> by exploring opportunities to link data sets between discrete services. </w:t>
      </w:r>
      <w:r w:rsidR="009D58A2">
        <w:t>Noting the current state of sepsis data, and broader healthcare data systems, it</w:t>
      </w:r>
      <w:r w:rsidR="00062ECE">
        <w:t xml:space="preserve"> seeks to </w:t>
      </w:r>
      <w:r w:rsidR="00177522">
        <w:t>realise</w:t>
      </w:r>
      <w:r w:rsidR="00062ECE">
        <w:t xml:space="preserve"> national data linkage and usage in the long-term.</w:t>
      </w:r>
    </w:p>
    <w:p w14:paraId="3AA9BA9A" w14:textId="14AEF352" w:rsidR="009D58A2" w:rsidRDefault="00062ECE" w:rsidP="00B82567">
      <w:r>
        <w:t>In the short</w:t>
      </w:r>
      <w:r w:rsidR="00F3134C">
        <w:t>-to-medium</w:t>
      </w:r>
      <w:r>
        <w:t xml:space="preserve"> term, i</w:t>
      </w:r>
      <w:r w:rsidRPr="00062ECE">
        <w:t>t begins with mapping where data exists and where it can be linked, followed by targeted pilot projects to test feasibility</w:t>
      </w:r>
      <w:r>
        <w:t>.</w:t>
      </w:r>
    </w:p>
    <w:p w14:paraId="3F606CB3" w14:textId="04AA84B6" w:rsidR="00062ECE" w:rsidRPr="00382E6B" w:rsidRDefault="001862E5" w:rsidP="00CC7FDD">
      <w:pPr>
        <w:pStyle w:val="Heading2"/>
        <w:rPr>
          <w:rFonts w:ascii="Arial" w:hAnsi="Arial" w:cs="Arial"/>
          <w:sz w:val="30"/>
          <w:szCs w:val="30"/>
        </w:rPr>
      </w:pPr>
      <w:bookmarkStart w:id="38" w:name="_Toc204787725"/>
      <w:r w:rsidRPr="00382E6B">
        <w:rPr>
          <w:rFonts w:ascii="Arial" w:hAnsi="Arial" w:cs="Arial"/>
          <w:sz w:val="30"/>
          <w:szCs w:val="30"/>
        </w:rPr>
        <w:t>Enabling Factors</w:t>
      </w:r>
      <w:bookmarkEnd w:id="38"/>
    </w:p>
    <w:p w14:paraId="06009B92" w14:textId="547F3828" w:rsidR="00B41B82" w:rsidRPr="00B41B82" w:rsidRDefault="00B41B82" w:rsidP="00B41B82">
      <w:r>
        <w:t>Following consultation, this report considers that there are three (3) key enabling factors to realise success against these pillars:</w:t>
      </w:r>
    </w:p>
    <w:p w14:paraId="03B42C16" w14:textId="1EDABE17" w:rsidR="00261649" w:rsidRDefault="00F3134C" w:rsidP="00CC7FDD">
      <w:pPr>
        <w:pStyle w:val="Heading3"/>
      </w:pPr>
      <w:r>
        <w:t>Inter-jurisdictional commitment</w:t>
      </w:r>
    </w:p>
    <w:p w14:paraId="51E0B9AE" w14:textId="4895B277" w:rsidR="00083FA3" w:rsidRDefault="00177522" w:rsidP="00261649">
      <w:r>
        <w:t xml:space="preserve">A minimum national dataset </w:t>
      </w:r>
      <w:r w:rsidR="007D23F6">
        <w:t xml:space="preserve">cannot be realised without </w:t>
      </w:r>
      <w:r w:rsidR="00440D18">
        <w:t>nat</w:t>
      </w:r>
      <w:r w:rsidR="00083FA3">
        <w:t>ional support.</w:t>
      </w:r>
    </w:p>
    <w:p w14:paraId="320C0CC7" w14:textId="07F63BEC" w:rsidR="00261649" w:rsidRDefault="00F56369" w:rsidP="00261649">
      <w:r>
        <w:t>U</w:t>
      </w:r>
      <w:r w:rsidR="00261649">
        <w:t>nified national commitment is essential to ensure consistency, coordination, and momentum across jurisdictions</w:t>
      </w:r>
      <w:r w:rsidR="000118EC">
        <w:t>.</w:t>
      </w:r>
      <w:r w:rsidR="00261649">
        <w:t xml:space="preserve"> Jurisdictional buy-in will enable interoperability, support benchmarking, and reduce duplication of effort.</w:t>
      </w:r>
    </w:p>
    <w:p w14:paraId="71F622D5" w14:textId="53DD2A64" w:rsidR="00261649" w:rsidRDefault="00F56369" w:rsidP="00CC7FDD">
      <w:pPr>
        <w:pStyle w:val="Heading3"/>
      </w:pPr>
      <w:r>
        <w:t>Strategic Sponsorship and Investment</w:t>
      </w:r>
    </w:p>
    <w:p w14:paraId="1224DABB" w14:textId="510C16E3" w:rsidR="00254AD2" w:rsidRDefault="00254AD2" w:rsidP="00261649">
      <w:r>
        <w:t>A minimum national dataset</w:t>
      </w:r>
      <w:r w:rsidR="000118EC">
        <w:t xml:space="preserve"> is unlikely to be realised </w:t>
      </w:r>
      <w:r>
        <w:t xml:space="preserve">without investment in </w:t>
      </w:r>
      <w:r w:rsidR="003B090C">
        <w:t>the healthcare workforce</w:t>
      </w:r>
      <w:r w:rsidR="000118EC">
        <w:t>.</w:t>
      </w:r>
    </w:p>
    <w:p w14:paraId="5AEFA870" w14:textId="61A5547C" w:rsidR="00DB6ABF" w:rsidRDefault="00261649" w:rsidP="00261649">
      <w:r>
        <w:t>Sustained and scalable funding is critical to support infrastructure upgrades, workforce development, and governance functions. Initial investment should focus on foundational elements</w:t>
      </w:r>
      <w:r w:rsidR="00DB6ABF">
        <w:t xml:space="preserve">, such as </w:t>
      </w:r>
      <w:r>
        <w:t>pilot projects</w:t>
      </w:r>
      <w:r w:rsidR="00DB6ABF">
        <w:t xml:space="preserve">, </w:t>
      </w:r>
      <w:r>
        <w:t xml:space="preserve">while longer-term funding </w:t>
      </w:r>
      <w:r w:rsidR="00DB6ABF">
        <w:t xml:space="preserve">could </w:t>
      </w:r>
      <w:r>
        <w:t xml:space="preserve">follow a hybrid model, combining federal, state, and research-based </w:t>
      </w:r>
      <w:r w:rsidR="00DB6ABF">
        <w:t>sources</w:t>
      </w:r>
      <w:r>
        <w:t>.</w:t>
      </w:r>
    </w:p>
    <w:p w14:paraId="0AA343C9" w14:textId="6D913C26" w:rsidR="00261649" w:rsidRDefault="00261649" w:rsidP="00261649">
      <w:r>
        <w:t>Demonstrable success in early initiatives will help build the case for continued investment.</w:t>
      </w:r>
    </w:p>
    <w:p w14:paraId="36F9225C" w14:textId="1F7C8C1D" w:rsidR="00261649" w:rsidRDefault="00F56369" w:rsidP="00CC7FDD">
      <w:pPr>
        <w:pStyle w:val="Heading3"/>
      </w:pPr>
      <w:r>
        <w:t>Informed by Lived Experience</w:t>
      </w:r>
    </w:p>
    <w:p w14:paraId="7945BBD9" w14:textId="1FCA3E32" w:rsidR="005D6986" w:rsidRDefault="00FC299C" w:rsidP="00261649">
      <w:r>
        <w:t>A minimum national dataset must be realised in partnership with those who have a lived experience of sepsis.</w:t>
      </w:r>
    </w:p>
    <w:p w14:paraId="3345AA3B" w14:textId="6818F59E" w:rsidR="00BF53FD" w:rsidRDefault="00261649" w:rsidP="00261649">
      <w:r>
        <w:t>Consumer involvement is vital to ensure that national sepsis data reflects real-world experiences and priorities. Patients and families bring unique insights into care gaps, long-term outcomes, and the importance of accessible information. Their participation in governance, indicator development, and outcome measurement will help ensure that the system is transparent, ethical, and responsive.</w:t>
      </w:r>
    </w:p>
    <w:p w14:paraId="407B147E" w14:textId="53C92C90" w:rsidR="00BD4AFA" w:rsidRDefault="00261649" w:rsidP="00A55663">
      <w:pPr>
        <w:jc w:val="left"/>
        <w:rPr>
          <w:rFonts w:eastAsia="Times New Roman" w:cstheme="minorHAnsi"/>
          <w:szCs w:val="24"/>
        </w:rPr>
      </w:pPr>
      <w:r>
        <w:t>Embedding consumer voices in co-design processes will also strengthen public trust and support broader awareness and engagement efforts, such as public reporting.</w:t>
      </w:r>
      <w:bookmarkStart w:id="39" w:name="_Toc204619288"/>
      <w:bookmarkEnd w:id="39"/>
      <w:r w:rsidR="00BD4AFA" w:rsidRPr="000400DB">
        <w:rPr>
          <w:rFonts w:eastAsia="Times New Roman" w:cstheme="minorHAnsi"/>
          <w:szCs w:val="24"/>
        </w:rPr>
        <w:br/>
      </w:r>
    </w:p>
    <w:p w14:paraId="7CC6D40B" w14:textId="77777777" w:rsidR="00BD4AFA" w:rsidRDefault="00BD4AFA" w:rsidP="00D806AD"/>
    <w:p w14:paraId="0144FE44" w14:textId="1CB3A1E5" w:rsidR="0098271F" w:rsidRDefault="0098271F" w:rsidP="00D806AD">
      <w:pPr>
        <w:sectPr w:rsidR="0098271F" w:rsidSect="00240BEA">
          <w:headerReference w:type="default" r:id="rId39"/>
          <w:footerReference w:type="default" r:id="rId40"/>
          <w:pgSz w:w="11906" w:h="16838"/>
          <w:pgMar w:top="1763" w:right="1440" w:bottom="1440" w:left="1440" w:header="709" w:footer="635" w:gutter="0"/>
          <w:pgNumType w:start="0"/>
          <w:cols w:space="708"/>
          <w:titlePg/>
          <w:docGrid w:linePitch="360"/>
        </w:sectPr>
      </w:pPr>
    </w:p>
    <w:p w14:paraId="704AA379" w14:textId="0E53CED3" w:rsidR="002618D1" w:rsidRDefault="002618D1" w:rsidP="002618D1">
      <w:pPr>
        <w:rPr>
          <w:b/>
        </w:rPr>
      </w:pPr>
      <w:r w:rsidRPr="002618D1">
        <w:rPr>
          <w:noProof/>
        </w:rPr>
        <w:lastRenderedPageBreak/>
        <w:drawing>
          <wp:anchor distT="0" distB="0" distL="114300" distR="114300" simplePos="0" relativeHeight="251658244" behindDoc="0" locked="0" layoutInCell="1" allowOverlap="1" wp14:anchorId="7CCFD015" wp14:editId="4FC8A5B3">
            <wp:simplePos x="0" y="0"/>
            <wp:positionH relativeFrom="column">
              <wp:posOffset>-62828</wp:posOffset>
            </wp:positionH>
            <wp:positionV relativeFrom="paragraph">
              <wp:posOffset>225475</wp:posOffset>
            </wp:positionV>
            <wp:extent cx="9309100" cy="5567680"/>
            <wp:effectExtent l="0" t="0" r="6350" b="0"/>
            <wp:wrapTopAndBottom/>
            <wp:docPr id="155865603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56030" name="Picture 1" descr="A screenshot of a computer screen&#10;&#10;AI-generated content may be incorrect."/>
                    <pic:cNvPicPr/>
                  </pic:nvPicPr>
                  <pic:blipFill>
                    <a:blip r:embed="rId41"/>
                    <a:stretch>
                      <a:fillRect/>
                    </a:stretch>
                  </pic:blipFill>
                  <pic:spPr>
                    <a:xfrm>
                      <a:off x="0" y="0"/>
                      <a:ext cx="9309100" cy="5567680"/>
                    </a:xfrm>
                    <a:prstGeom prst="rect">
                      <a:avLst/>
                    </a:prstGeom>
                  </pic:spPr>
                </pic:pic>
              </a:graphicData>
            </a:graphic>
            <wp14:sizeRelH relativeFrom="margin">
              <wp14:pctWidth>0</wp14:pctWidth>
            </wp14:sizeRelH>
            <wp14:sizeRelV relativeFrom="margin">
              <wp14:pctHeight>0</wp14:pctHeight>
            </wp14:sizeRelV>
          </wp:anchor>
        </w:drawing>
      </w:r>
      <w:r w:rsidRPr="00F1101C">
        <w:rPr>
          <w:b/>
        </w:rPr>
        <w:t xml:space="preserve">Figure </w:t>
      </w:r>
      <w:r w:rsidR="00141B4C">
        <w:rPr>
          <w:b/>
        </w:rPr>
        <w:t>4</w:t>
      </w:r>
      <w:r w:rsidRPr="00F1101C">
        <w:rPr>
          <w:b/>
        </w:rPr>
        <w:t xml:space="preserve">: Strategy </w:t>
      </w:r>
      <w:r>
        <w:rPr>
          <w:b/>
        </w:rPr>
        <w:t>Time Horizon</w:t>
      </w:r>
    </w:p>
    <w:p w14:paraId="6CCB0FCB" w14:textId="7A6E5DE0" w:rsidR="007C3AD7" w:rsidRDefault="007C3AD7" w:rsidP="00240BEA"/>
    <w:p w14:paraId="07D03880" w14:textId="77777777" w:rsidR="002618D1" w:rsidRDefault="002618D1" w:rsidP="00240BEA"/>
    <w:p w14:paraId="6AC3B072" w14:textId="6CE2B01E" w:rsidR="000645DE" w:rsidRPr="00382E6B" w:rsidRDefault="000645DE" w:rsidP="00A55663">
      <w:pPr>
        <w:pStyle w:val="Heading2"/>
        <w:rPr>
          <w:rFonts w:ascii="Arial" w:hAnsi="Arial" w:cs="Arial"/>
          <w:sz w:val="30"/>
          <w:szCs w:val="30"/>
        </w:rPr>
      </w:pPr>
      <w:bookmarkStart w:id="40" w:name="_Figure_5:_Strategy"/>
      <w:bookmarkStart w:id="41" w:name="_Strategy_Plan"/>
      <w:bookmarkStart w:id="42" w:name="_Toc204787726"/>
      <w:bookmarkEnd w:id="40"/>
      <w:bookmarkEnd w:id="41"/>
      <w:r w:rsidRPr="00382E6B">
        <w:rPr>
          <w:rFonts w:ascii="Arial" w:hAnsi="Arial" w:cs="Arial"/>
          <w:noProof/>
          <w:sz w:val="30"/>
          <w:szCs w:val="30"/>
        </w:rPr>
        <w:lastRenderedPageBreak/>
        <w:drawing>
          <wp:anchor distT="0" distB="0" distL="114300" distR="114300" simplePos="0" relativeHeight="251658245" behindDoc="0" locked="0" layoutInCell="1" allowOverlap="1" wp14:anchorId="62199F95" wp14:editId="5F89A788">
            <wp:simplePos x="0" y="0"/>
            <wp:positionH relativeFrom="column">
              <wp:posOffset>0</wp:posOffset>
            </wp:positionH>
            <wp:positionV relativeFrom="paragraph">
              <wp:posOffset>285750</wp:posOffset>
            </wp:positionV>
            <wp:extent cx="9017000" cy="5984240"/>
            <wp:effectExtent l="0" t="0" r="0" b="0"/>
            <wp:wrapTopAndBottom/>
            <wp:docPr id="18381892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89283" name="Picture 1" descr="A screenshot of a computer&#10;&#10;AI-generated content may be incorrect."/>
                    <pic:cNvPicPr/>
                  </pic:nvPicPr>
                  <pic:blipFill>
                    <a:blip r:embed="rId42"/>
                    <a:stretch>
                      <a:fillRect/>
                    </a:stretch>
                  </pic:blipFill>
                  <pic:spPr>
                    <a:xfrm>
                      <a:off x="0" y="0"/>
                      <a:ext cx="9017000" cy="5984240"/>
                    </a:xfrm>
                    <a:prstGeom prst="rect">
                      <a:avLst/>
                    </a:prstGeom>
                  </pic:spPr>
                </pic:pic>
              </a:graphicData>
            </a:graphic>
            <wp14:sizeRelH relativeFrom="margin">
              <wp14:pctWidth>0</wp14:pctWidth>
            </wp14:sizeRelH>
            <wp14:sizeRelV relativeFrom="margin">
              <wp14:pctHeight>0</wp14:pctHeight>
            </wp14:sizeRelV>
          </wp:anchor>
        </w:drawing>
      </w:r>
      <w:r w:rsidR="002618D1" w:rsidRPr="00382E6B">
        <w:rPr>
          <w:rFonts w:ascii="Arial" w:hAnsi="Arial" w:cs="Arial"/>
          <w:sz w:val="30"/>
          <w:szCs w:val="30"/>
        </w:rPr>
        <w:t xml:space="preserve">Strategy </w:t>
      </w:r>
      <w:r w:rsidR="00EB5A52" w:rsidRPr="00382E6B">
        <w:rPr>
          <w:rFonts w:ascii="Arial" w:hAnsi="Arial" w:cs="Arial"/>
          <w:sz w:val="30"/>
          <w:szCs w:val="30"/>
        </w:rPr>
        <w:t>Plan</w:t>
      </w:r>
      <w:bookmarkEnd w:id="42"/>
    </w:p>
    <w:p w14:paraId="2A7A9167" w14:textId="7D2EC4DE" w:rsidR="00240BEA" w:rsidRDefault="00240BEA" w:rsidP="00F63CB5">
      <w:pPr>
        <w:snapToGrid/>
        <w:spacing w:before="0" w:after="0" w:line="240" w:lineRule="auto"/>
        <w:sectPr w:rsidR="00240BEA" w:rsidSect="00750F6D">
          <w:headerReference w:type="default" r:id="rId43"/>
          <w:footerReference w:type="default" r:id="rId44"/>
          <w:footerReference w:type="first" r:id="rId45"/>
          <w:pgSz w:w="16838" w:h="11906" w:orient="landscape"/>
          <w:pgMar w:top="284" w:right="1763" w:bottom="284" w:left="1440" w:header="227" w:footer="635" w:gutter="0"/>
          <w:cols w:space="708"/>
          <w:docGrid w:linePitch="360"/>
        </w:sectPr>
      </w:pPr>
    </w:p>
    <w:p w14:paraId="6ED3863F" w14:textId="77777777" w:rsidR="00E73848" w:rsidRPr="00BA406E" w:rsidRDefault="00E73848" w:rsidP="005375A7">
      <w:pPr>
        <w:pStyle w:val="Heading1"/>
        <w:rPr>
          <w:rFonts w:ascii="Arial" w:hAnsi="Arial" w:cs="Arial"/>
        </w:rPr>
      </w:pPr>
      <w:bookmarkStart w:id="43" w:name="_Toc204787727"/>
      <w:r w:rsidRPr="00BA406E">
        <w:rPr>
          <w:rFonts w:ascii="Arial" w:hAnsi="Arial" w:cs="Arial"/>
        </w:rPr>
        <w:lastRenderedPageBreak/>
        <w:t>Conclusion</w:t>
      </w:r>
      <w:bookmarkEnd w:id="43"/>
    </w:p>
    <w:p w14:paraId="6EF4079E" w14:textId="77777777" w:rsidR="00E73848" w:rsidRPr="0049750F" w:rsidRDefault="00E73848" w:rsidP="00E73848">
      <w:r w:rsidRPr="0049750F">
        <w:t>Sepsis is a life-threatening and time critical condition that arises when the body’s response to an infection damages its own tissues and organs. It is a major cause of morbidity and mortality. Early detection, recognition and treatment of sepsis is key to preventing illness and death.</w:t>
      </w:r>
    </w:p>
    <w:p w14:paraId="25C4A2F5" w14:textId="03265B69" w:rsidR="00D675B9" w:rsidRDefault="00D675B9" w:rsidP="00D675B9">
      <w:r>
        <w:t>Within this, e</w:t>
      </w:r>
      <w:r w:rsidR="00E73848" w:rsidRPr="00D675B9">
        <w:t>pidemiological data is used to plan and evaluate health care delivery and guide clinical practice. Health services also need robust process and balancing data to measure the impact of quality improvement activities on patient outcomes.</w:t>
      </w:r>
      <w:r>
        <w:t xml:space="preserve"> However, c</w:t>
      </w:r>
      <w:r w:rsidR="00E73848" w:rsidRPr="00D675B9">
        <w:t>ollecting reliable and consistent sepsis data is challenging.</w:t>
      </w:r>
    </w:p>
    <w:p w14:paraId="669BF847" w14:textId="1229BFF0" w:rsidR="00E73848" w:rsidRPr="00D675B9" w:rsidRDefault="00E73848" w:rsidP="005375A7">
      <w:r w:rsidRPr="00D675B9">
        <w:t>In 2017, Stopping Sepsis: A National Action Plan called for the development of a National Minimum Data set,</w:t>
      </w:r>
      <w:r w:rsidR="00D675B9" w:rsidRPr="00D675B9">
        <w:rPr>
          <w:rStyle w:val="FootnoteReference"/>
        </w:rPr>
        <w:footnoteReference w:id="46"/>
      </w:r>
      <w:r w:rsidRPr="00D675B9">
        <w:t xml:space="preserve"> to address inconsistencies in documentation and coding. </w:t>
      </w:r>
      <w:r w:rsidR="002D13EB" w:rsidRPr="005375A7">
        <w:rPr>
          <w:rFonts w:eastAsia="Times New Roman" w:cs="Times New Roman"/>
          <w:szCs w:val="24"/>
          <w:lang w:val="en-GB"/>
        </w:rPr>
        <w:t>T</w:t>
      </w:r>
      <w:r w:rsidRPr="005375A7">
        <w:rPr>
          <w:rFonts w:eastAsia="Times New Roman" w:cs="Times New Roman"/>
          <w:szCs w:val="24"/>
          <w:lang w:val="en-GB"/>
        </w:rPr>
        <w:t>he</w:t>
      </w:r>
      <w:r w:rsidRPr="00D675B9">
        <w:rPr>
          <w:rFonts w:eastAsia="Times New Roman" w:cs="Times New Roman"/>
          <w:szCs w:val="24"/>
          <w:lang w:val="en-GB"/>
        </w:rPr>
        <w:t xml:space="preserve"> proposed National Data Plan Strategy has been developed to </w:t>
      </w:r>
      <w:r w:rsidR="008A0477" w:rsidRPr="005375A7">
        <w:rPr>
          <w:rFonts w:eastAsia="Times New Roman" w:cs="Times New Roman"/>
          <w:szCs w:val="24"/>
          <w:lang w:val="en-GB"/>
        </w:rPr>
        <w:t>outline</w:t>
      </w:r>
      <w:r w:rsidR="008A0477" w:rsidRPr="00D675B9">
        <w:rPr>
          <w:rFonts w:eastAsia="Times New Roman" w:cs="Times New Roman"/>
          <w:szCs w:val="24"/>
          <w:lang w:val="en-GB"/>
        </w:rPr>
        <w:t xml:space="preserve"> </w:t>
      </w:r>
      <w:r w:rsidRPr="00D675B9">
        <w:rPr>
          <w:rFonts w:eastAsia="Times New Roman" w:cs="Times New Roman"/>
          <w:szCs w:val="24"/>
          <w:lang w:val="en-GB"/>
        </w:rPr>
        <w:t>the current state of sepsis data, create a clear future vision and guide the transition from current to future state.</w:t>
      </w:r>
    </w:p>
    <w:p w14:paraId="0890A3F2" w14:textId="04113B04" w:rsidR="00E73848" w:rsidRPr="00D675B9" w:rsidRDefault="00E73848" w:rsidP="00E73848">
      <w:pPr>
        <w:spacing w:before="60" w:after="60"/>
        <w:rPr>
          <w:rFonts w:eastAsia="Times New Roman" w:cs="Times New Roman"/>
          <w:szCs w:val="24"/>
          <w:lang w:val="en-GB"/>
        </w:rPr>
      </w:pPr>
      <w:r w:rsidRPr="00D675B9">
        <w:rPr>
          <w:rFonts w:eastAsia="Times New Roman" w:cs="Times New Roman"/>
          <w:szCs w:val="24"/>
          <w:lang w:val="en-GB"/>
        </w:rPr>
        <w:t>Delivering the vision for the future of sepsis data will require leadership</w:t>
      </w:r>
      <w:r w:rsidR="004A250D" w:rsidRPr="005375A7">
        <w:rPr>
          <w:rFonts w:eastAsia="Times New Roman" w:cs="Times New Roman"/>
          <w:szCs w:val="24"/>
          <w:lang w:val="en-GB"/>
        </w:rPr>
        <w:t xml:space="preserve"> and</w:t>
      </w:r>
      <w:r w:rsidRPr="00D675B9">
        <w:rPr>
          <w:rFonts w:eastAsia="Times New Roman" w:cs="Times New Roman"/>
          <w:szCs w:val="24"/>
          <w:lang w:val="en-GB"/>
        </w:rPr>
        <w:t xml:space="preserve"> investment</w:t>
      </w:r>
      <w:r w:rsidR="004A250D" w:rsidRPr="005375A7">
        <w:rPr>
          <w:rFonts w:eastAsia="Times New Roman" w:cs="Times New Roman"/>
          <w:szCs w:val="24"/>
          <w:lang w:val="en-GB"/>
        </w:rPr>
        <w:t>. It will also require a</w:t>
      </w:r>
      <w:r w:rsidR="00D675B9" w:rsidRPr="005375A7">
        <w:rPr>
          <w:rFonts w:eastAsia="Times New Roman" w:cs="Times New Roman"/>
          <w:szCs w:val="24"/>
          <w:lang w:val="en-GB"/>
        </w:rPr>
        <w:t xml:space="preserve"> </w:t>
      </w:r>
      <w:r w:rsidRPr="00D675B9">
        <w:rPr>
          <w:rFonts w:eastAsia="Times New Roman" w:cs="Times New Roman"/>
          <w:szCs w:val="24"/>
          <w:lang w:val="en-GB"/>
        </w:rPr>
        <w:t xml:space="preserve">commitment to listen and engage with sepsis survivors and their families. These foundations will support the implementation of key activities outlined in each of </w:t>
      </w:r>
      <w:r w:rsidR="00B47B93">
        <w:rPr>
          <w:rFonts w:eastAsia="Times New Roman" w:cs="Times New Roman"/>
          <w:szCs w:val="24"/>
          <w:lang w:val="en-GB"/>
        </w:rPr>
        <w:t xml:space="preserve">the </w:t>
      </w:r>
      <w:r w:rsidRPr="00D675B9">
        <w:rPr>
          <w:rFonts w:eastAsia="Times New Roman" w:cs="Times New Roman"/>
          <w:szCs w:val="24"/>
          <w:lang w:val="en-GB"/>
        </w:rPr>
        <w:t>four strategic pillars</w:t>
      </w:r>
      <w:r w:rsidR="00213665" w:rsidRPr="005375A7">
        <w:rPr>
          <w:rFonts w:eastAsia="Times New Roman" w:cs="Times New Roman"/>
          <w:szCs w:val="24"/>
          <w:lang w:val="en-GB"/>
        </w:rPr>
        <w:t xml:space="preserve">: governance, quality and collection, </w:t>
      </w:r>
      <w:r w:rsidR="00BB19AF" w:rsidRPr="005375A7">
        <w:rPr>
          <w:rFonts w:eastAsia="Times New Roman" w:cs="Times New Roman"/>
          <w:szCs w:val="24"/>
          <w:lang w:val="en-GB"/>
        </w:rPr>
        <w:t>infrastructure and linkage</w:t>
      </w:r>
      <w:r w:rsidRPr="00D675B9">
        <w:rPr>
          <w:rFonts w:eastAsia="Times New Roman" w:cs="Times New Roman"/>
          <w:szCs w:val="24"/>
          <w:lang w:val="en-GB"/>
        </w:rPr>
        <w:t>.</w:t>
      </w:r>
    </w:p>
    <w:p w14:paraId="42446D6B" w14:textId="0DB70B81" w:rsidR="007F09DF" w:rsidRDefault="00E73848" w:rsidP="00E73848">
      <w:pPr>
        <w:spacing w:before="60" w:after="60"/>
      </w:pPr>
      <w:r w:rsidRPr="00D675B9">
        <w:rPr>
          <w:rFonts w:eastAsia="Times New Roman" w:cs="Times New Roman"/>
          <w:szCs w:val="24"/>
          <w:lang w:val="en-GB"/>
        </w:rPr>
        <w:t>Improving how sepsis data is collected, recorded, stored, managed, shared, and used will strengthen clinical practice, quality improvement and research</w:t>
      </w:r>
      <w:r w:rsidR="00F40AD0" w:rsidRPr="005375A7">
        <w:rPr>
          <w:rFonts w:eastAsia="Times New Roman" w:cs="Times New Roman"/>
          <w:szCs w:val="24"/>
          <w:lang w:val="en-GB"/>
        </w:rPr>
        <w:t>.</w:t>
      </w:r>
      <w:r w:rsidR="00D675B9" w:rsidRPr="005375A7">
        <w:rPr>
          <w:rFonts w:eastAsia="Times New Roman" w:cs="Times New Roman"/>
          <w:szCs w:val="24"/>
          <w:lang w:val="en-GB"/>
        </w:rPr>
        <w:t xml:space="preserve"> </w:t>
      </w:r>
      <w:r w:rsidRPr="00D675B9">
        <w:t xml:space="preserve">The progress </w:t>
      </w:r>
      <w:r w:rsidR="005E1E55" w:rsidRPr="005375A7">
        <w:t xml:space="preserve">already </w:t>
      </w:r>
      <w:r w:rsidRPr="00D675B9">
        <w:t xml:space="preserve">being realised at a grassroots level and the willingness of people to participate in the development of this report, </w:t>
      </w:r>
      <w:r w:rsidR="00672984" w:rsidRPr="005375A7">
        <w:t>demonstrates</w:t>
      </w:r>
      <w:r w:rsidR="00672984" w:rsidRPr="00D675B9">
        <w:t xml:space="preserve"> </w:t>
      </w:r>
      <w:r w:rsidRPr="00D675B9">
        <w:t>a</w:t>
      </w:r>
      <w:r w:rsidR="00F40AD0" w:rsidRPr="005375A7">
        <w:t xml:space="preserve"> strong</w:t>
      </w:r>
      <w:r w:rsidRPr="00D675B9">
        <w:t xml:space="preserve"> appetite among medical professionals, data scientists, policy analysts, survivors and researchers to work together to drive</w:t>
      </w:r>
      <w:r w:rsidR="005E1E55" w:rsidRPr="005375A7">
        <w:t xml:space="preserve"> this</w:t>
      </w:r>
      <w:r w:rsidRPr="00D675B9">
        <w:t xml:space="preserve"> long-term change.</w:t>
      </w:r>
    </w:p>
    <w:p w14:paraId="25F23229" w14:textId="77777777" w:rsidR="007F09DF" w:rsidRPr="004645AE" w:rsidRDefault="007F09DF" w:rsidP="007F09DF">
      <w:pPr>
        <w:rPr>
          <w:b/>
          <w:bCs/>
        </w:rPr>
      </w:pPr>
      <w:r w:rsidRPr="004645AE">
        <w:rPr>
          <w:b/>
          <w:bCs/>
        </w:rPr>
        <w:t>Recommendation</w:t>
      </w:r>
    </w:p>
    <w:p w14:paraId="577B201E" w14:textId="4EFE493F" w:rsidR="007F09DF" w:rsidRDefault="007F09DF" w:rsidP="007F09DF">
      <w:r w:rsidRPr="007F0095">
        <w:t xml:space="preserve">The </w:t>
      </w:r>
      <w:r w:rsidR="00A81810">
        <w:t>Australian Government</w:t>
      </w:r>
      <w:r w:rsidRPr="007F0095">
        <w:t xml:space="preserve"> should appoint a lead agency to drive the implementation of the National </w:t>
      </w:r>
      <w:r>
        <w:t xml:space="preserve">Sepsis </w:t>
      </w:r>
      <w:r w:rsidRPr="007F0095">
        <w:t>Data Plan</w:t>
      </w:r>
      <w:r>
        <w:t>.</w:t>
      </w:r>
    </w:p>
    <w:p w14:paraId="1E0B7F4A" w14:textId="77777777" w:rsidR="007F09DF" w:rsidRDefault="007F09DF" w:rsidP="00E73848">
      <w:pPr>
        <w:spacing w:before="60" w:after="60"/>
        <w:rPr>
          <w:rFonts w:eastAsia="Times New Roman" w:cs="Times New Roman"/>
          <w:szCs w:val="24"/>
          <w:lang w:val="en-GB"/>
        </w:rPr>
      </w:pPr>
    </w:p>
    <w:p w14:paraId="6177F25D" w14:textId="576D00F4" w:rsidR="005862B3" w:rsidRPr="00BA406E" w:rsidRDefault="005862B3" w:rsidP="00967F9A">
      <w:pPr>
        <w:pStyle w:val="Heading1"/>
        <w:rPr>
          <w:rFonts w:ascii="Arial" w:hAnsi="Arial" w:cs="Arial"/>
        </w:rPr>
      </w:pPr>
      <w:bookmarkStart w:id="44" w:name="_Toc204787728"/>
      <w:r w:rsidRPr="00BA406E">
        <w:rPr>
          <w:rFonts w:ascii="Arial" w:hAnsi="Arial" w:cs="Arial"/>
        </w:rPr>
        <w:lastRenderedPageBreak/>
        <w:t>Appendix A Methodol</w:t>
      </w:r>
      <w:r w:rsidR="00AB2C23" w:rsidRPr="00BA406E">
        <w:rPr>
          <w:rFonts w:ascii="Arial" w:hAnsi="Arial" w:cs="Arial"/>
        </w:rPr>
        <w:t>ogy</w:t>
      </w:r>
      <w:bookmarkEnd w:id="44"/>
    </w:p>
    <w:p w14:paraId="39110B03" w14:textId="64EB748A" w:rsidR="005C3CAF" w:rsidRDefault="000B2E93" w:rsidP="00EF5E59">
      <w:r w:rsidRPr="000B2E93">
        <w:t xml:space="preserve">This </w:t>
      </w:r>
      <w:r>
        <w:t>section</w:t>
      </w:r>
      <w:r w:rsidRPr="000B2E93">
        <w:t xml:space="preserve"> details the methodology that underpins this </w:t>
      </w:r>
      <w:r>
        <w:t>report and the consultation undertaken in support of it.</w:t>
      </w:r>
    </w:p>
    <w:p w14:paraId="1C1A30F3" w14:textId="026376BC" w:rsidR="000B2E93" w:rsidRDefault="007D71C1" w:rsidP="007D71C1">
      <w:pPr>
        <w:pStyle w:val="Heading3"/>
      </w:pPr>
      <w:r w:rsidRPr="005C3CAF">
        <w:t>Technical Advisory Group</w:t>
      </w:r>
    </w:p>
    <w:p w14:paraId="7238132C" w14:textId="25283302" w:rsidR="007F7552" w:rsidRDefault="00E967CB" w:rsidP="00EF5E59">
      <w:r w:rsidRPr="00E967CB">
        <w:t xml:space="preserve">To support the development of the National Sepsis Data Plan, </w:t>
      </w:r>
      <w:r>
        <w:t xml:space="preserve">the Commission established a </w:t>
      </w:r>
      <w:r w:rsidRPr="00E967CB">
        <w:t>Technical Advisory Group (TAG).</w:t>
      </w:r>
    </w:p>
    <w:p w14:paraId="22EE7FB0" w14:textId="55C3E20E" w:rsidR="00D61745" w:rsidRDefault="00E967CB" w:rsidP="00EF5E59">
      <w:r w:rsidRPr="00E967CB">
        <w:t>The TAG comprise</w:t>
      </w:r>
      <w:r w:rsidR="007F7552">
        <w:t>d</w:t>
      </w:r>
      <w:r w:rsidRPr="00E967CB">
        <w:t xml:space="preserve"> members nominated for their technical expertise and subject matter knowledge in areas such as sepsis care, data analytics, clinical governance, and health information systems. </w:t>
      </w:r>
      <w:r w:rsidR="00175F4A">
        <w:t>TAG m</w:t>
      </w:r>
      <w:r w:rsidRPr="00E967CB">
        <w:t>embers were appointed at the discretion of the Commission and nominating jurisdictions.</w:t>
      </w:r>
      <w:r w:rsidR="00916FEE">
        <w:t xml:space="preserve"> This included a representative from the Department of Health, Disability and Ageing who provided national insights and facilitated engagement with the Department, and the Australian Institute on Health and Welfare. </w:t>
      </w:r>
    </w:p>
    <w:p w14:paraId="1586FEF9" w14:textId="68363E0F" w:rsidR="00175F4A" w:rsidRDefault="00B778E4" w:rsidP="00EF5E59">
      <w:r>
        <w:t xml:space="preserve">TAG members </w:t>
      </w:r>
      <w:r w:rsidR="00EF693E">
        <w:t>c</w:t>
      </w:r>
      <w:r w:rsidR="00EF693E" w:rsidRPr="00EF693E">
        <w:t>ontribut</w:t>
      </w:r>
      <w:r w:rsidR="00EF693E">
        <w:t>ed</w:t>
      </w:r>
      <w:r w:rsidR="00EF693E" w:rsidRPr="00EF693E">
        <w:t xml:space="preserve"> to the selection of the preferred supplier, providing expert advice on local sepsis data and reporting systems, facilitating local engagement, reviewing draft materials, and ensuring t</w:t>
      </w:r>
      <w:r w:rsidR="00367B6A">
        <w:t xml:space="preserve">hat deliverables were </w:t>
      </w:r>
      <w:r w:rsidR="00EF693E" w:rsidRPr="00EF693E">
        <w:t>fit</w:t>
      </w:r>
      <w:r w:rsidR="004A46A1">
        <w:t>-</w:t>
      </w:r>
      <w:r w:rsidR="00EF693E" w:rsidRPr="00EF693E">
        <w:t>for</w:t>
      </w:r>
      <w:r w:rsidR="004A46A1">
        <w:t>-</w:t>
      </w:r>
      <w:r w:rsidR="00EF693E" w:rsidRPr="00EF693E">
        <w:t>purpose</w:t>
      </w:r>
      <w:r w:rsidR="00367B6A">
        <w:t>.</w:t>
      </w:r>
    </w:p>
    <w:p w14:paraId="223F707E" w14:textId="77777777" w:rsidR="00CB2BA0" w:rsidRDefault="00CB2BA0" w:rsidP="00CB2BA0">
      <w:pPr>
        <w:pStyle w:val="Heading3"/>
      </w:pPr>
      <w:r w:rsidRPr="005C3CAF">
        <w:t>Data Request</w:t>
      </w:r>
    </w:p>
    <w:p w14:paraId="76CB4C4A" w14:textId="031AAFED" w:rsidR="00CB2BA0" w:rsidRDefault="00CB2BA0" w:rsidP="00CB2BA0">
      <w:r w:rsidRPr="007254EC">
        <w:t xml:space="preserve">As part of the initial phase in developing the National Sepsis Data Strategy, information </w:t>
      </w:r>
      <w:r w:rsidR="00BD72BC">
        <w:t>was requested</w:t>
      </w:r>
      <w:r w:rsidRPr="007254EC">
        <w:t xml:space="preserve"> from each state and territory to build a comprehensive understanding of the current landscape of sepsis data collection and reporting. This request </w:t>
      </w:r>
      <w:r>
        <w:t xml:space="preserve">aimed to </w:t>
      </w:r>
      <w:r w:rsidRPr="007254EC">
        <w:t>identify existing data sources, known gaps, and limitations to inform more targeted and effective stakeholder engagement.</w:t>
      </w:r>
    </w:p>
    <w:p w14:paraId="703AADC3" w14:textId="77777777" w:rsidR="00CB2BA0" w:rsidRDefault="00CB2BA0" w:rsidP="00CB2BA0">
      <w:r>
        <w:t xml:space="preserve">A data request was sent on 9 April with responses sought by 17 April. </w:t>
      </w:r>
    </w:p>
    <w:p w14:paraId="5B9463F6" w14:textId="687B13C7" w:rsidR="005C3CAF" w:rsidRPr="007254EC" w:rsidRDefault="005C3CAF" w:rsidP="00CB2BA0">
      <w:r>
        <w:t>Following an initial review of the material, a high-level data gap analysis and targeted consultation</w:t>
      </w:r>
      <w:r w:rsidR="00954E89">
        <w:t xml:space="preserve"> was conducted</w:t>
      </w:r>
      <w:r w:rsidR="00DC033C">
        <w:t xml:space="preserve"> (see Appendix </w:t>
      </w:r>
      <w:r w:rsidR="006E6993">
        <w:t>B</w:t>
      </w:r>
      <w:r w:rsidR="00DC033C">
        <w:t>)</w:t>
      </w:r>
      <w:r>
        <w:t>.</w:t>
      </w:r>
    </w:p>
    <w:p w14:paraId="1512CD78" w14:textId="3243DD68" w:rsidR="007D71C1" w:rsidRPr="00A33CAB" w:rsidRDefault="007D71C1" w:rsidP="007D71C1">
      <w:pPr>
        <w:pStyle w:val="Heading3"/>
      </w:pPr>
      <w:r w:rsidRPr="002B4667">
        <w:t>Consultation</w:t>
      </w:r>
    </w:p>
    <w:p w14:paraId="5EF620E4" w14:textId="0340DB1D" w:rsidR="00B2721D" w:rsidRDefault="007D71C1" w:rsidP="00EF5E59">
      <w:r>
        <w:t xml:space="preserve">From May to June </w:t>
      </w:r>
      <w:r w:rsidR="00D84873">
        <w:t xml:space="preserve">2025, </w:t>
      </w:r>
      <w:r w:rsidR="00B20F48">
        <w:t>consultations were undertaken</w:t>
      </w:r>
      <w:r w:rsidR="00D84873">
        <w:t xml:space="preserve"> with </w:t>
      </w:r>
      <w:r w:rsidR="005F0A9A" w:rsidRPr="005F0A9A">
        <w:t>members of the National Sepsis Data Plan Technical Advisory Group and other stakeholders with expertise in sepsis care</w:t>
      </w:r>
      <w:r w:rsidR="001E14D8">
        <w:t xml:space="preserve">, healthcare </w:t>
      </w:r>
      <w:r w:rsidR="005F0A9A" w:rsidRPr="005F0A9A">
        <w:t>data management</w:t>
      </w:r>
      <w:r w:rsidR="001E14D8">
        <w:t>, or with a lived experience of sepsis</w:t>
      </w:r>
      <w:r w:rsidR="005F0A9A" w:rsidRPr="005F0A9A">
        <w:t>.</w:t>
      </w:r>
    </w:p>
    <w:p w14:paraId="00962584" w14:textId="01106BF0" w:rsidR="000B2E93" w:rsidRDefault="005F0A9A" w:rsidP="00EF5E59">
      <w:r w:rsidRPr="005F0A9A">
        <w:t xml:space="preserve">Using a semi-structured format, participants were guided through a series </w:t>
      </w:r>
      <w:r w:rsidR="00240DAA">
        <w:t xml:space="preserve">of </w:t>
      </w:r>
      <w:r w:rsidR="008409A8">
        <w:t xml:space="preserve">open-ended </w:t>
      </w:r>
      <w:r w:rsidRPr="005F0A9A">
        <w:t>questions</w:t>
      </w:r>
      <w:r w:rsidR="00502899">
        <w:t xml:space="preserve">, outlined at </w:t>
      </w:r>
      <w:r w:rsidR="005D70CB" w:rsidRPr="00F1101C">
        <w:t>F</w:t>
      </w:r>
      <w:r w:rsidR="00502899" w:rsidRPr="00F1101C">
        <w:t>igure</w:t>
      </w:r>
      <w:r w:rsidR="005D70CB" w:rsidRPr="00F1101C">
        <w:t xml:space="preserve"> </w:t>
      </w:r>
      <w:r w:rsidR="00141B4C">
        <w:t>6</w:t>
      </w:r>
      <w:r w:rsidR="008409A8" w:rsidRPr="00F1101C">
        <w:t>,</w:t>
      </w:r>
      <w:r w:rsidR="008409A8">
        <w:rPr>
          <w:b/>
          <w:bCs/>
        </w:rPr>
        <w:t xml:space="preserve"> </w:t>
      </w:r>
      <w:r w:rsidR="008409A8" w:rsidRPr="008409A8">
        <w:t>and provided in advance of consultation</w:t>
      </w:r>
      <w:r w:rsidRPr="005F0A9A">
        <w:t>. This approach allowed for both targeted responses and open-ended input, ensuring a comprehensive understanding of current practices, challenges, and opportunities related to sepsis data.</w:t>
      </w:r>
    </w:p>
    <w:p w14:paraId="55F404B5" w14:textId="7839D5C4" w:rsidR="005D70CB" w:rsidRPr="004A54BB" w:rsidRDefault="005D70CB" w:rsidP="00EF5E59">
      <w:pPr>
        <w:rPr>
          <w:b/>
          <w:bCs/>
          <w:highlight w:val="darkCyan"/>
        </w:rPr>
      </w:pPr>
      <w:r w:rsidRPr="004A54BB">
        <w:rPr>
          <w:b/>
          <w:bCs/>
        </w:rPr>
        <w:t xml:space="preserve">Figure </w:t>
      </w:r>
      <w:r w:rsidR="00141B4C">
        <w:rPr>
          <w:b/>
          <w:bCs/>
        </w:rPr>
        <w:t>6</w:t>
      </w:r>
      <w:r w:rsidRPr="004A54BB">
        <w:rPr>
          <w:b/>
          <w:bCs/>
        </w:rPr>
        <w:t xml:space="preserve">: </w:t>
      </w:r>
      <w:r w:rsidR="00F1101C" w:rsidRPr="004A54BB">
        <w:rPr>
          <w:b/>
          <w:bCs/>
        </w:rPr>
        <w:t>Consultation questions</w:t>
      </w:r>
    </w:p>
    <w:tbl>
      <w:tblPr>
        <w:tblStyle w:val="TableGrid"/>
        <w:tblW w:w="0" w:type="auto"/>
        <w:tblInd w:w="537"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7655"/>
      </w:tblGrid>
      <w:tr w:rsidR="00502899" w14:paraId="2E476FA0" w14:textId="77777777" w:rsidTr="00A82DB6">
        <w:tc>
          <w:tcPr>
            <w:tcW w:w="7655" w:type="dxa"/>
            <w:shd w:val="clear" w:color="auto" w:fill="EAE0FF"/>
          </w:tcPr>
          <w:p w14:paraId="1020509A" w14:textId="26D67758" w:rsidR="00502899" w:rsidRPr="00502899" w:rsidRDefault="00502899" w:rsidP="00502899">
            <w:pPr>
              <w:spacing w:before="240"/>
              <w:rPr>
                <w:rFonts w:ascii="Arial" w:eastAsia="Arial" w:hAnsi="Arial" w:cs="Times New Roman"/>
                <w:sz w:val="20"/>
                <w:szCs w:val="26"/>
              </w:rPr>
            </w:pPr>
            <w:r w:rsidRPr="00502899">
              <w:rPr>
                <w:rFonts w:ascii="Arial" w:eastAsia="Arial" w:hAnsi="Arial" w:cs="Times New Roman"/>
                <w:noProof/>
                <w:sz w:val="20"/>
                <w:szCs w:val="26"/>
              </w:rPr>
              <w:t>Callida are seeking your views on realising this future state for sepsis data, considering the lifecyle of data from documentation, capture and coding of information, reporting, storage, linkage and use. Specifically:</w:t>
            </w:r>
          </w:p>
          <w:p w14:paraId="42C0F0BF" w14:textId="29159625" w:rsidR="00502899" w:rsidRPr="00502899" w:rsidRDefault="00502899" w:rsidP="00502899">
            <w:pPr>
              <w:numPr>
                <w:ilvl w:val="0"/>
                <w:numId w:val="21"/>
              </w:numPr>
              <w:snapToGrid/>
              <w:spacing w:before="60" w:after="60" w:line="276" w:lineRule="auto"/>
              <w:ind w:left="714" w:hanging="357"/>
              <w:contextualSpacing/>
              <w:rPr>
                <w:rFonts w:ascii="Arial" w:eastAsia="Arial" w:hAnsi="Arial" w:cs="Times New Roman"/>
                <w:noProof/>
                <w:sz w:val="20"/>
                <w:szCs w:val="26"/>
              </w:rPr>
            </w:pPr>
            <w:r w:rsidRPr="00502899">
              <w:rPr>
                <w:rFonts w:ascii="Arial" w:eastAsia="Arial" w:hAnsi="Arial" w:cs="Times New Roman"/>
                <w:noProof/>
                <w:sz w:val="20"/>
                <w:szCs w:val="26"/>
              </w:rPr>
              <w:lastRenderedPageBreak/>
              <w:t>How increased sepsis data and data quality will enable clinicians and health services to better meet the needs of sepsis patients, survivors, their caregivers and the bereaved?</w:t>
            </w:r>
          </w:p>
          <w:p w14:paraId="7EE0B031" w14:textId="704280BB" w:rsidR="00502899" w:rsidRPr="00502899" w:rsidRDefault="00502899" w:rsidP="00502899">
            <w:pPr>
              <w:numPr>
                <w:ilvl w:val="0"/>
                <w:numId w:val="21"/>
              </w:numPr>
              <w:snapToGrid/>
              <w:spacing w:before="60" w:after="60" w:line="276" w:lineRule="auto"/>
              <w:ind w:left="714" w:hanging="357"/>
              <w:contextualSpacing/>
              <w:rPr>
                <w:rFonts w:ascii="Arial" w:eastAsia="Arial" w:hAnsi="Arial" w:cs="Times New Roman"/>
                <w:noProof/>
                <w:sz w:val="20"/>
                <w:szCs w:val="26"/>
              </w:rPr>
            </w:pPr>
            <w:r w:rsidRPr="00502899">
              <w:rPr>
                <w:rFonts w:ascii="Arial" w:eastAsia="Arial" w:hAnsi="Arial" w:cs="Times New Roman"/>
                <w:noProof/>
                <w:sz w:val="20"/>
                <w:szCs w:val="26"/>
              </w:rPr>
              <w:t xml:space="preserve">How increased sepsis data and data quality will improve clincal governance and safety and quality within health care services and support </w:t>
            </w:r>
            <w:r w:rsidR="003A6F33">
              <w:rPr>
                <w:rFonts w:ascii="Arial" w:eastAsia="Arial" w:hAnsi="Arial" w:cs="Times New Roman"/>
                <w:noProof/>
                <w:sz w:val="20"/>
                <w:szCs w:val="26"/>
              </w:rPr>
              <w:t xml:space="preserve">clinical </w:t>
            </w:r>
            <w:r w:rsidRPr="00502899">
              <w:rPr>
                <w:rFonts w:ascii="Arial" w:eastAsia="Arial" w:hAnsi="Arial" w:cs="Times New Roman"/>
                <w:noProof/>
                <w:sz w:val="20"/>
                <w:szCs w:val="26"/>
              </w:rPr>
              <w:t xml:space="preserve">practice? </w:t>
            </w:r>
          </w:p>
          <w:p w14:paraId="0CD43BB8" w14:textId="192CABE2" w:rsidR="00502899" w:rsidRPr="00502899" w:rsidRDefault="00502899" w:rsidP="00502899">
            <w:pPr>
              <w:numPr>
                <w:ilvl w:val="0"/>
                <w:numId w:val="21"/>
              </w:numPr>
              <w:snapToGrid/>
              <w:spacing w:before="60" w:after="60" w:line="276" w:lineRule="auto"/>
              <w:ind w:left="714" w:hanging="357"/>
              <w:contextualSpacing/>
              <w:rPr>
                <w:rFonts w:ascii="Arial" w:eastAsia="Arial" w:hAnsi="Arial" w:cs="Times New Roman"/>
                <w:noProof/>
                <w:sz w:val="20"/>
                <w:szCs w:val="26"/>
              </w:rPr>
            </w:pPr>
            <w:r w:rsidRPr="00502899">
              <w:rPr>
                <w:rFonts w:ascii="Arial" w:eastAsia="Arial" w:hAnsi="Arial" w:cs="Times New Roman"/>
                <w:noProof/>
                <w:sz w:val="20"/>
                <w:szCs w:val="26"/>
              </w:rPr>
              <w:t>The challenges and obstacles to realising a robust contemporaneous and longitudinal national data set, based on standardised data collection.</w:t>
            </w:r>
          </w:p>
          <w:p w14:paraId="4503B552" w14:textId="7B438BF0" w:rsidR="00502899" w:rsidRPr="00502899" w:rsidRDefault="00502899" w:rsidP="00502899">
            <w:pPr>
              <w:numPr>
                <w:ilvl w:val="0"/>
                <w:numId w:val="21"/>
              </w:numPr>
              <w:snapToGrid/>
              <w:spacing w:before="60" w:after="60" w:line="276" w:lineRule="auto"/>
              <w:ind w:left="714" w:hanging="357"/>
              <w:contextualSpacing/>
              <w:rPr>
                <w:rFonts w:ascii="Arial" w:eastAsia="Arial" w:hAnsi="Arial" w:cs="Times New Roman"/>
                <w:noProof/>
                <w:sz w:val="20"/>
                <w:szCs w:val="26"/>
              </w:rPr>
            </w:pPr>
            <w:r w:rsidRPr="00502899">
              <w:rPr>
                <w:rFonts w:ascii="Arial" w:eastAsia="Arial" w:hAnsi="Arial" w:cs="Times New Roman"/>
                <w:noProof/>
                <w:sz w:val="20"/>
                <w:szCs w:val="26"/>
              </w:rPr>
              <w:t>The opportunities for improved sepsis data and data collection that can be replicated, or otherwise scaled, to realise a national data set.</w:t>
            </w:r>
          </w:p>
          <w:p w14:paraId="3A4FDC76" w14:textId="57F60BFB" w:rsidR="00502899" w:rsidRPr="00502899" w:rsidRDefault="00502899" w:rsidP="00502899">
            <w:pPr>
              <w:numPr>
                <w:ilvl w:val="0"/>
                <w:numId w:val="21"/>
              </w:numPr>
              <w:snapToGrid/>
              <w:spacing w:before="60" w:after="60" w:line="276" w:lineRule="auto"/>
              <w:ind w:left="714" w:hanging="357"/>
              <w:contextualSpacing/>
              <w:rPr>
                <w:rFonts w:ascii="Arial" w:eastAsia="Arial" w:hAnsi="Arial" w:cs="Times New Roman"/>
                <w:noProof/>
                <w:sz w:val="20"/>
                <w:szCs w:val="26"/>
              </w:rPr>
            </w:pPr>
            <w:r w:rsidRPr="00502899">
              <w:rPr>
                <w:rFonts w:ascii="Arial" w:eastAsia="Arial" w:hAnsi="Arial" w:cs="Times New Roman"/>
                <w:noProof/>
                <w:sz w:val="20"/>
                <w:szCs w:val="26"/>
              </w:rPr>
              <w:t>Are there other data improvements that you would like to be prioritised in the short, medium, and long term?</w:t>
            </w:r>
          </w:p>
          <w:p w14:paraId="1B1FCEA6" w14:textId="0735BC7C" w:rsidR="00502899" w:rsidRPr="00502899" w:rsidRDefault="00502899" w:rsidP="00EF5E59">
            <w:pPr>
              <w:numPr>
                <w:ilvl w:val="0"/>
                <w:numId w:val="21"/>
              </w:numPr>
              <w:snapToGrid/>
              <w:spacing w:before="60" w:after="60" w:line="276" w:lineRule="auto"/>
              <w:ind w:left="714" w:hanging="357"/>
              <w:contextualSpacing/>
              <w:rPr>
                <w:rFonts w:ascii="Arial" w:eastAsia="Arial" w:hAnsi="Arial" w:cs="Times New Roman"/>
                <w:noProof/>
                <w:sz w:val="20"/>
                <w:szCs w:val="26"/>
              </w:rPr>
            </w:pPr>
            <w:r w:rsidRPr="00502899">
              <w:rPr>
                <w:rFonts w:ascii="Arial" w:eastAsia="Arial" w:hAnsi="Arial" w:cs="Times New Roman"/>
                <w:noProof/>
                <w:sz w:val="20"/>
                <w:szCs w:val="26"/>
              </w:rPr>
              <w:t xml:space="preserve">What should we consider when it comes to technology and innovation and its potential to impact sepsis data collection and data quality? For example AI, machine learning etc. </w:t>
            </w:r>
          </w:p>
        </w:tc>
      </w:tr>
    </w:tbl>
    <w:p w14:paraId="18DD645A" w14:textId="0BC7874D" w:rsidR="00EF5E59" w:rsidRPr="0035253C" w:rsidRDefault="0035253C" w:rsidP="00EF5E59">
      <w:r w:rsidRPr="0035253C">
        <w:lastRenderedPageBreak/>
        <w:t>Findings from this consultation have been summarised throughout this report.</w:t>
      </w:r>
    </w:p>
    <w:p w14:paraId="6315E0E2" w14:textId="1679768D" w:rsidR="001E1402" w:rsidRPr="00E01087" w:rsidRDefault="00956DA3" w:rsidP="003928A4">
      <w:pPr>
        <w:pStyle w:val="Heading3"/>
      </w:pPr>
      <w:r w:rsidRPr="00E01087">
        <w:t>Data Gap Analysis</w:t>
      </w:r>
    </w:p>
    <w:p w14:paraId="171DF9D4" w14:textId="04259F9D" w:rsidR="009F7579" w:rsidRDefault="009F7579" w:rsidP="0044468D">
      <w:r>
        <w:t>In support of the consultation,</w:t>
      </w:r>
      <w:r w:rsidR="00FE4DB4">
        <w:t xml:space="preserve"> </w:t>
      </w:r>
      <w:r>
        <w:t>a high-level thematic data gap analysis</w:t>
      </w:r>
      <w:r w:rsidR="00F11445">
        <w:t xml:space="preserve"> </w:t>
      </w:r>
      <w:r w:rsidR="00872B2D">
        <w:t xml:space="preserve">was undertaken </w:t>
      </w:r>
      <w:r w:rsidR="00F11445">
        <w:t>to understand</w:t>
      </w:r>
      <w:r w:rsidR="00161CD2">
        <w:t xml:space="preserve"> the distance between the current state and </w:t>
      </w:r>
      <w:r w:rsidR="00561CE5">
        <w:t xml:space="preserve">proposed </w:t>
      </w:r>
      <w:r w:rsidR="00161CD2">
        <w:t>future state of sepsis.</w:t>
      </w:r>
    </w:p>
    <w:p w14:paraId="2CC2169F" w14:textId="668D38DD" w:rsidR="00873E52" w:rsidRDefault="00873E52" w:rsidP="0044468D">
      <w:r>
        <w:t>Following the initial data request (</w:t>
      </w:r>
      <w:r w:rsidR="00CC04AB" w:rsidRPr="133E4463">
        <w:rPr>
          <w:i/>
          <w:iCs/>
        </w:rPr>
        <w:t>Section 7.1.2</w:t>
      </w:r>
      <w:r w:rsidR="00CC04AB">
        <w:t xml:space="preserve"> refers)</w:t>
      </w:r>
      <w:r w:rsidR="001C6C4D">
        <w:t xml:space="preserve">, </w:t>
      </w:r>
      <w:r w:rsidR="00872B2D">
        <w:t>it was</w:t>
      </w:r>
      <w:r w:rsidR="001C6C4D">
        <w:t xml:space="preserve"> determined that a full technical data gap analysis – an exercise to determine </w:t>
      </w:r>
      <w:r w:rsidR="00C846F0">
        <w:t xml:space="preserve">specific reforms to data structure, storage and transmission – </w:t>
      </w:r>
      <w:r w:rsidR="001C6C4D">
        <w:t>was not feasible</w:t>
      </w:r>
      <w:r w:rsidR="00C846F0">
        <w:t>, due to both the maturity of data reporting and interoperability issues.</w:t>
      </w:r>
      <w:r w:rsidR="00C846F0">
        <w:rPr>
          <w:rStyle w:val="FootnoteReference"/>
        </w:rPr>
        <w:footnoteReference w:id="47"/>
      </w:r>
    </w:p>
    <w:p w14:paraId="702179EE" w14:textId="79F45A1C" w:rsidR="00143941" w:rsidRDefault="00CE70EC" w:rsidP="0044468D">
      <w:r>
        <w:t xml:space="preserve">As a result, a </w:t>
      </w:r>
      <w:r w:rsidR="00181172">
        <w:t>higher-level</w:t>
      </w:r>
      <w:r>
        <w:t xml:space="preserve"> gap analysis was undertaken that provided a jurisdictional view of</w:t>
      </w:r>
      <w:r w:rsidR="00181172">
        <w:t xml:space="preserve"> responses to a range of key data requirements, such as </w:t>
      </w:r>
      <w:r w:rsidR="009C3F82">
        <w:t xml:space="preserve">‘approach to standardised reporting’, ‘implementation of electronic medical record’, ‘linkage to ambulance data’. </w:t>
      </w:r>
      <w:r w:rsidR="007B30DE">
        <w:t>The identified themes are data issues or gaps repeatedly raised by participants across the consultations</w:t>
      </w:r>
      <w:r w:rsidR="00B23BFB">
        <w:t xml:space="preserve"> and </w:t>
      </w:r>
      <w:r w:rsidR="00143941">
        <w:t>have informed the development of the strategy in this report.</w:t>
      </w:r>
    </w:p>
    <w:p w14:paraId="1BAC6BFB" w14:textId="77777777" w:rsidR="001A6D87" w:rsidRPr="0044468D" w:rsidRDefault="001A6D87" w:rsidP="0044468D">
      <w:pPr>
        <w:rPr>
          <w:highlight w:val="darkCyan"/>
        </w:rPr>
      </w:pPr>
    </w:p>
    <w:p w14:paraId="30AA4F2D" w14:textId="5B0208D1" w:rsidR="00D37606" w:rsidRPr="00BA406E" w:rsidRDefault="00801C9E" w:rsidP="009532F4">
      <w:pPr>
        <w:pStyle w:val="Heading1"/>
        <w:rPr>
          <w:rFonts w:asciiTheme="minorHAnsi" w:hAnsiTheme="minorHAnsi" w:cstheme="minorHAnsi"/>
        </w:rPr>
      </w:pPr>
      <w:bookmarkStart w:id="45" w:name="_Toc204787729"/>
      <w:r w:rsidRPr="00BA406E">
        <w:rPr>
          <w:rFonts w:asciiTheme="minorHAnsi" w:hAnsiTheme="minorHAnsi" w:cstheme="minorHAnsi"/>
        </w:rPr>
        <w:lastRenderedPageBreak/>
        <w:t xml:space="preserve">Appendix </w:t>
      </w:r>
      <w:r w:rsidR="005862B3" w:rsidRPr="00BA406E">
        <w:rPr>
          <w:rFonts w:asciiTheme="minorHAnsi" w:hAnsiTheme="minorHAnsi" w:cstheme="minorHAnsi"/>
        </w:rPr>
        <w:t>B</w:t>
      </w:r>
      <w:r w:rsidRPr="00BA406E">
        <w:rPr>
          <w:rFonts w:asciiTheme="minorHAnsi" w:hAnsiTheme="minorHAnsi" w:cstheme="minorHAnsi"/>
        </w:rPr>
        <w:t xml:space="preserve"> Data Gap Analysis</w:t>
      </w:r>
      <w:bookmarkEnd w:id="45"/>
    </w:p>
    <w:p w14:paraId="03AAC03D" w14:textId="77777777" w:rsidR="00095527" w:rsidRPr="009F3FAD" w:rsidRDefault="00095527" w:rsidP="00095527">
      <w:pPr>
        <w:pStyle w:val="Heading2"/>
        <w:rPr>
          <w:rFonts w:ascii="Arial" w:hAnsi="Arial" w:cs="Arial"/>
          <w:sz w:val="30"/>
          <w:szCs w:val="30"/>
        </w:rPr>
      </w:pPr>
      <w:bookmarkStart w:id="46" w:name="_Toc203177414"/>
      <w:bookmarkStart w:id="47" w:name="_Toc204787730"/>
      <w:r w:rsidRPr="009F3FAD">
        <w:rPr>
          <w:rFonts w:ascii="Arial" w:hAnsi="Arial" w:cs="Arial"/>
          <w:sz w:val="30"/>
          <w:szCs w:val="30"/>
        </w:rPr>
        <w:t>Purpose</w:t>
      </w:r>
      <w:bookmarkEnd w:id="46"/>
      <w:bookmarkEnd w:id="47"/>
    </w:p>
    <w:p w14:paraId="489D844E" w14:textId="6B3685F8" w:rsidR="00095527" w:rsidRDefault="00095527" w:rsidP="00095527">
      <w:r>
        <w:t xml:space="preserve">A </w:t>
      </w:r>
      <w:r w:rsidRPr="00C700C5">
        <w:t>data gap analysis is</w:t>
      </w:r>
      <w:r>
        <w:t xml:space="preserve"> </w:t>
      </w:r>
      <w:r w:rsidRPr="00C700C5">
        <w:t>used to identify discrepancies between the</w:t>
      </w:r>
      <w:r>
        <w:t xml:space="preserve"> </w:t>
      </w:r>
      <w:r w:rsidRPr="00C700C5">
        <w:t>desired</w:t>
      </w:r>
      <w:r>
        <w:t xml:space="preserve"> future</w:t>
      </w:r>
      <w:r w:rsidRPr="00C700C5">
        <w:t xml:space="preserve"> state of data</w:t>
      </w:r>
      <w:r>
        <w:t xml:space="preserve"> and</w:t>
      </w:r>
      <w:r w:rsidRPr="00C700C5">
        <w:t xml:space="preserve"> </w:t>
      </w:r>
      <w:r>
        <w:t xml:space="preserve">the </w:t>
      </w:r>
      <w:r w:rsidRPr="00C700C5">
        <w:t>current state</w:t>
      </w:r>
      <w:r>
        <w:t>,</w:t>
      </w:r>
      <w:r w:rsidRPr="00C700C5">
        <w:t xml:space="preserve"> revealing areas needing improvement </w:t>
      </w:r>
      <w:r>
        <w:t>in</w:t>
      </w:r>
      <w:r w:rsidRPr="00C700C5">
        <w:t xml:space="preserve"> data quality, accuracy, completeness, or usability.</w:t>
      </w:r>
      <w:r>
        <w:t xml:space="preserve"> This data gap analysis informs the sepsis data</w:t>
      </w:r>
      <w:r w:rsidR="00F0442C">
        <w:t xml:space="preserve"> </w:t>
      </w:r>
      <w:r>
        <w:t>strategy which identifies and prioritises the gaps to be addressed.</w:t>
      </w:r>
    </w:p>
    <w:p w14:paraId="5DE97B40" w14:textId="77777777" w:rsidR="00095527" w:rsidRPr="009F3FAD" w:rsidRDefault="00095527" w:rsidP="00095527">
      <w:pPr>
        <w:pStyle w:val="Heading2"/>
        <w:rPr>
          <w:rFonts w:ascii="Arial" w:hAnsi="Arial" w:cs="Arial"/>
          <w:sz w:val="30"/>
          <w:szCs w:val="30"/>
        </w:rPr>
      </w:pPr>
      <w:bookmarkStart w:id="48" w:name="_Toc203177415"/>
      <w:bookmarkStart w:id="49" w:name="_Toc204787731"/>
      <w:r w:rsidRPr="009F3FAD">
        <w:rPr>
          <w:rFonts w:ascii="Arial" w:hAnsi="Arial" w:cs="Arial"/>
          <w:sz w:val="30"/>
          <w:szCs w:val="30"/>
        </w:rPr>
        <w:t>Methodology</w:t>
      </w:r>
      <w:bookmarkEnd w:id="48"/>
      <w:bookmarkEnd w:id="49"/>
    </w:p>
    <w:p w14:paraId="612A3B10" w14:textId="7ADF82B0" w:rsidR="00095527" w:rsidRDefault="00095527" w:rsidP="00095527">
      <w:r>
        <w:t xml:space="preserve">This data gap analysis is based on a thematic analysis of information collected through a national data request and stakeholder consultations. In April 2025, </w:t>
      </w:r>
      <w:r w:rsidR="00872B2D">
        <w:t>an information request was s</w:t>
      </w:r>
      <w:r w:rsidR="00F22D83">
        <w:t xml:space="preserve">ent to </w:t>
      </w:r>
      <w:r w:rsidRPr="007254EC">
        <w:t>each state and territory</w:t>
      </w:r>
      <w:r>
        <w:t xml:space="preserve"> on the</w:t>
      </w:r>
      <w:r w:rsidRPr="007254EC">
        <w:t xml:space="preserve"> </w:t>
      </w:r>
      <w:r w:rsidRPr="006559B5">
        <w:t>current data collection and reporting undertaken for</w:t>
      </w:r>
      <w:r>
        <w:t xml:space="preserve"> sepsis, including the sources of the data and any known limitations. No underlying patient data was requested or provided.</w:t>
      </w:r>
    </w:p>
    <w:p w14:paraId="2C28B579" w14:textId="4E2525DD" w:rsidR="00095527" w:rsidRDefault="00095527" w:rsidP="00095527">
      <w:r>
        <w:t xml:space="preserve">From May to June 2025, consultations </w:t>
      </w:r>
      <w:r w:rsidR="00F22D83">
        <w:t xml:space="preserve">were undertaken </w:t>
      </w:r>
      <w:r>
        <w:t xml:space="preserve">with </w:t>
      </w:r>
      <w:r w:rsidRPr="005F0A9A">
        <w:t xml:space="preserve">members of the National </w:t>
      </w:r>
      <w:r>
        <w:t>Sepsis</w:t>
      </w:r>
      <w:r w:rsidRPr="005F0A9A">
        <w:t xml:space="preserve"> Data Plan Technical Advisory Group and other stakeholders with expertise in sepsis care</w:t>
      </w:r>
      <w:r>
        <w:t xml:space="preserve">, healthcare </w:t>
      </w:r>
      <w:r w:rsidRPr="005F0A9A">
        <w:t>data management</w:t>
      </w:r>
      <w:r>
        <w:t>, or with a lived experience of sepsis. The themes identified in this analysis are the data issues or gaps that were raised by participants during consultations.</w:t>
      </w:r>
    </w:p>
    <w:p w14:paraId="30C6A293" w14:textId="77777777" w:rsidR="00095527" w:rsidRPr="009F3FAD" w:rsidRDefault="00095527" w:rsidP="00095527">
      <w:pPr>
        <w:pStyle w:val="Heading2"/>
        <w:rPr>
          <w:rFonts w:ascii="Arial" w:hAnsi="Arial" w:cs="Arial"/>
          <w:sz w:val="30"/>
          <w:szCs w:val="30"/>
        </w:rPr>
      </w:pPr>
      <w:bookmarkStart w:id="50" w:name="_Toc203177416"/>
      <w:bookmarkStart w:id="51" w:name="_Toc204787732"/>
      <w:r w:rsidRPr="009F3FAD">
        <w:rPr>
          <w:rFonts w:ascii="Arial" w:hAnsi="Arial" w:cs="Arial"/>
          <w:sz w:val="30"/>
          <w:szCs w:val="30"/>
        </w:rPr>
        <w:t>Future state</w:t>
      </w:r>
      <w:bookmarkEnd w:id="50"/>
      <w:bookmarkEnd w:id="51"/>
    </w:p>
    <w:p w14:paraId="4F579D0B" w14:textId="77777777" w:rsidR="00095527" w:rsidRDefault="00095527" w:rsidP="00095527">
      <w:r>
        <w:t>Although specific details for the future state of sepsis data are yet to be determined, the TAG agreed on the following vision for a future state of sepsis data:</w:t>
      </w:r>
    </w:p>
    <w:p w14:paraId="6F309F50" w14:textId="77777777" w:rsidR="00095527" w:rsidRPr="00E051E2" w:rsidRDefault="00095527" w:rsidP="00095527">
      <w:pPr>
        <w:rPr>
          <w:rFonts w:ascii="Arial" w:eastAsia="Arial" w:hAnsi="Arial" w:cs="Times New Roman"/>
          <w:i/>
          <w:iCs/>
          <w:szCs w:val="20"/>
        </w:rPr>
      </w:pPr>
      <w:r w:rsidRPr="00E051E2">
        <w:rPr>
          <w:rFonts w:ascii="Arial" w:eastAsia="Arial" w:hAnsi="Arial" w:cs="Times New Roman"/>
          <w:i/>
          <w:iCs/>
          <w:szCs w:val="20"/>
        </w:rPr>
        <w:t xml:space="preserve">Australia will have a robust standardised </w:t>
      </w:r>
      <w:r w:rsidRPr="00E051E2">
        <w:rPr>
          <w:rFonts w:ascii="Arial" w:eastAsia="Arial" w:hAnsi="Arial" w:cs="Times New Roman"/>
          <w:i/>
          <w:iCs/>
          <w:noProof/>
          <w:szCs w:val="20"/>
        </w:rPr>
        <w:t xml:space="preserve">national data set that is contemporaneous and longitudinal. This will </w:t>
      </w:r>
      <w:r w:rsidRPr="00E051E2">
        <w:rPr>
          <w:rFonts w:ascii="Arial" w:eastAsia="Arial" w:hAnsi="Arial" w:cs="Times New Roman"/>
          <w:i/>
          <w:iCs/>
          <w:szCs w:val="20"/>
        </w:rPr>
        <w:t>harmonise how sepsis is recorded, coded, reported and how that data is used</w:t>
      </w:r>
      <w:r w:rsidRPr="00E051E2">
        <w:rPr>
          <w:rFonts w:ascii="Arial" w:eastAsia="Arial" w:hAnsi="Arial" w:cs="Times New Roman"/>
          <w:i/>
          <w:iCs/>
          <w:noProof/>
          <w:szCs w:val="20"/>
        </w:rPr>
        <w:t xml:space="preserve">. </w:t>
      </w:r>
      <w:r w:rsidRPr="00E051E2">
        <w:rPr>
          <w:rFonts w:ascii="Arial" w:eastAsia="Arial" w:hAnsi="Arial" w:cs="Times New Roman"/>
          <w:i/>
          <w:iCs/>
          <w:szCs w:val="20"/>
        </w:rPr>
        <w:t xml:space="preserve">The national </w:t>
      </w:r>
      <w:r w:rsidRPr="00E051E2">
        <w:rPr>
          <w:rFonts w:ascii="Arial" w:eastAsia="Arial" w:hAnsi="Arial" w:cs="Times New Roman"/>
          <w:i/>
          <w:iCs/>
          <w:noProof/>
          <w:szCs w:val="20"/>
        </w:rPr>
        <w:t xml:space="preserve">data set will establish the foundation for </w:t>
      </w:r>
      <w:r w:rsidRPr="00E051E2">
        <w:rPr>
          <w:rFonts w:ascii="Arial" w:eastAsia="Arial" w:hAnsi="Arial" w:cs="Times New Roman"/>
          <w:i/>
          <w:iCs/>
          <w:szCs w:val="20"/>
        </w:rPr>
        <w:t>understanding sepsis prevalence, health system impact and outcomes to enhance clinical decision making and care</w:t>
      </w:r>
      <w:r w:rsidRPr="00E051E2">
        <w:rPr>
          <w:rFonts w:ascii="Arial" w:eastAsia="Arial" w:hAnsi="Arial" w:cs="Times New Roman"/>
          <w:i/>
          <w:iCs/>
          <w:noProof/>
          <w:szCs w:val="20"/>
        </w:rPr>
        <w:t xml:space="preserve">, patient </w:t>
      </w:r>
      <w:r w:rsidRPr="00E051E2">
        <w:rPr>
          <w:rFonts w:ascii="Arial" w:eastAsia="Arial" w:hAnsi="Arial" w:cs="Times New Roman"/>
          <w:i/>
          <w:iCs/>
          <w:szCs w:val="20"/>
        </w:rPr>
        <w:t xml:space="preserve">safety, quality improvement, and health services planning. It will also </w:t>
      </w:r>
      <w:r w:rsidRPr="00E051E2">
        <w:rPr>
          <w:rFonts w:ascii="Arial" w:eastAsia="Arial" w:hAnsi="Arial" w:cs="Times New Roman"/>
          <w:i/>
          <w:iCs/>
          <w:noProof/>
          <w:szCs w:val="20"/>
        </w:rPr>
        <w:t>support and inform research priorities</w:t>
      </w:r>
      <w:r w:rsidRPr="00E051E2">
        <w:rPr>
          <w:rFonts w:ascii="Arial" w:eastAsia="Arial" w:hAnsi="Arial" w:cs="Times New Roman"/>
          <w:i/>
          <w:iCs/>
          <w:szCs w:val="20"/>
        </w:rPr>
        <w:t>.</w:t>
      </w:r>
    </w:p>
    <w:p w14:paraId="375CA49E" w14:textId="77777777" w:rsidR="00095527" w:rsidRDefault="00095527" w:rsidP="00095527">
      <w:r>
        <w:t>Consultation participants broadly agreed with this vision statement but cautioned on the practicality of achieving contemporaneous data, and the difficulty of consistently recording a complex condition such as sepsis. Participants identified that the benefits of this future state of national sepsis data would enable:</w:t>
      </w:r>
    </w:p>
    <w:p w14:paraId="7824123E" w14:textId="022A732B" w:rsidR="00095527" w:rsidRDefault="00095527" w:rsidP="00164CA5">
      <w:pPr>
        <w:pStyle w:val="ListParagraph"/>
        <w:numPr>
          <w:ilvl w:val="0"/>
          <w:numId w:val="41"/>
        </w:numPr>
      </w:pPr>
      <w:r>
        <w:t>An understanding of the burden of disease of sepsis</w:t>
      </w:r>
    </w:p>
    <w:p w14:paraId="1ADCD45B" w14:textId="3190F0F8" w:rsidR="00095527" w:rsidRDefault="00095527" w:rsidP="00164CA5">
      <w:pPr>
        <w:pStyle w:val="ListParagraph"/>
        <w:numPr>
          <w:ilvl w:val="0"/>
          <w:numId w:val="41"/>
        </w:numPr>
      </w:pPr>
      <w:r>
        <w:t>Testing of compliance against the Clinical Care Standards</w:t>
      </w:r>
    </w:p>
    <w:p w14:paraId="24CB560A" w14:textId="2079245A" w:rsidR="00095527" w:rsidRDefault="00095527" w:rsidP="00164CA5">
      <w:pPr>
        <w:pStyle w:val="ListParagraph"/>
        <w:numPr>
          <w:ilvl w:val="0"/>
          <w:numId w:val="41"/>
        </w:numPr>
      </w:pPr>
      <w:r>
        <w:t>Feedback on quality improvements in treatment or processes</w:t>
      </w:r>
    </w:p>
    <w:p w14:paraId="27B09334" w14:textId="77777777" w:rsidR="00095527" w:rsidRDefault="00095527" w:rsidP="00164CA5">
      <w:pPr>
        <w:pStyle w:val="ListParagraph"/>
        <w:numPr>
          <w:ilvl w:val="0"/>
          <w:numId w:val="41"/>
        </w:numPr>
      </w:pPr>
      <w:r>
        <w:t>Benchmarking across health services and states and territories.</w:t>
      </w:r>
    </w:p>
    <w:p w14:paraId="3C0BF600" w14:textId="77777777" w:rsidR="00095527" w:rsidRPr="009F3FAD" w:rsidRDefault="00095527" w:rsidP="00095527">
      <w:pPr>
        <w:pStyle w:val="Heading2"/>
        <w:rPr>
          <w:rFonts w:ascii="Arial" w:hAnsi="Arial" w:cs="Arial"/>
          <w:sz w:val="30"/>
          <w:szCs w:val="30"/>
        </w:rPr>
      </w:pPr>
      <w:bookmarkStart w:id="52" w:name="_Toc203177417"/>
      <w:bookmarkStart w:id="53" w:name="_Toc204787733"/>
      <w:r w:rsidRPr="009F3FAD">
        <w:rPr>
          <w:rFonts w:ascii="Arial" w:hAnsi="Arial" w:cs="Arial"/>
          <w:sz w:val="30"/>
          <w:szCs w:val="30"/>
        </w:rPr>
        <w:t>Current sepsis data and gaps</w:t>
      </w:r>
      <w:bookmarkEnd w:id="52"/>
      <w:bookmarkEnd w:id="53"/>
    </w:p>
    <w:p w14:paraId="31E93C1C" w14:textId="77777777" w:rsidR="00095527" w:rsidRDefault="00095527" w:rsidP="00095527">
      <w:r>
        <w:t>Current data relating to sepsis prevalence, treatment and outcomes is spread across multiple sources within the health system, including:</w:t>
      </w:r>
    </w:p>
    <w:p w14:paraId="5BB3DD68" w14:textId="62745B66" w:rsidR="00095527" w:rsidRDefault="00095527" w:rsidP="00164CA5">
      <w:pPr>
        <w:pStyle w:val="ListParagraph"/>
        <w:numPr>
          <w:ilvl w:val="0"/>
          <w:numId w:val="45"/>
        </w:numPr>
      </w:pPr>
      <w:r>
        <w:lastRenderedPageBreak/>
        <w:t>Structured health service data sets such as coded morbidity data and administrative data</w:t>
      </w:r>
    </w:p>
    <w:p w14:paraId="1E41B374" w14:textId="24E33591" w:rsidR="00095527" w:rsidRDefault="00095527" w:rsidP="00164CA5">
      <w:pPr>
        <w:pStyle w:val="ListParagraph"/>
        <w:numPr>
          <w:ilvl w:val="0"/>
          <w:numId w:val="45"/>
        </w:numPr>
      </w:pPr>
      <w:r>
        <w:t>Clinical data such as patient charts and clinical notes recorded in a semi-structured format within EMR systems, or unstructured data on scanned paper records</w:t>
      </w:r>
    </w:p>
    <w:p w14:paraId="598E265B" w14:textId="6DE8FF2C" w:rsidR="00095527" w:rsidRDefault="00095527" w:rsidP="00164CA5">
      <w:pPr>
        <w:pStyle w:val="ListParagraph"/>
        <w:numPr>
          <w:ilvl w:val="0"/>
          <w:numId w:val="45"/>
        </w:numPr>
      </w:pPr>
      <w:r>
        <w:t>Data external to hospitals including from death registers, primary care, ambulance services and pathology.</w:t>
      </w:r>
    </w:p>
    <w:p w14:paraId="3D625A42" w14:textId="77777777" w:rsidR="00095527" w:rsidRDefault="00095527" w:rsidP="00095527">
      <w:r>
        <w:t>The format of sepsis data varies across jurisdictions and health service providers. There is also a wide range of maturity across and within each state and territory for sepsis data collection, analysis, reporting and sharing. Across consultations, the following themes consistently surfaced identifying gaps in data availability or accuracy:</w:t>
      </w:r>
    </w:p>
    <w:p w14:paraId="012D70B8" w14:textId="77777777" w:rsidR="00095527" w:rsidRDefault="00095527" w:rsidP="00164CA5">
      <w:pPr>
        <w:pStyle w:val="ListParagraph"/>
        <w:numPr>
          <w:ilvl w:val="0"/>
          <w:numId w:val="44"/>
        </w:numPr>
      </w:pPr>
      <w:r>
        <w:t>Inconsistent definitions</w:t>
      </w:r>
    </w:p>
    <w:p w14:paraId="4749F50C" w14:textId="77777777" w:rsidR="00095527" w:rsidRDefault="00095527" w:rsidP="00164CA5">
      <w:pPr>
        <w:pStyle w:val="ListParagraph"/>
        <w:numPr>
          <w:ilvl w:val="0"/>
          <w:numId w:val="44"/>
        </w:numPr>
      </w:pPr>
      <w:r>
        <w:t>Sepsis ICD-10 coded data quality</w:t>
      </w:r>
    </w:p>
    <w:p w14:paraId="7B4A9BA8" w14:textId="77777777" w:rsidR="00095527" w:rsidRDefault="00095527" w:rsidP="00164CA5">
      <w:pPr>
        <w:pStyle w:val="ListParagraph"/>
        <w:numPr>
          <w:ilvl w:val="0"/>
          <w:numId w:val="44"/>
        </w:numPr>
      </w:pPr>
      <w:r>
        <w:t>Variations in data collection for Sepsis Clinical Care Standards</w:t>
      </w:r>
    </w:p>
    <w:p w14:paraId="78428094" w14:textId="77777777" w:rsidR="00095527" w:rsidRDefault="00095527" w:rsidP="00164CA5">
      <w:pPr>
        <w:pStyle w:val="ListParagraph"/>
        <w:numPr>
          <w:ilvl w:val="0"/>
          <w:numId w:val="44"/>
        </w:numPr>
      </w:pPr>
      <w:r>
        <w:t>ICT infrastructure &amp; electronic medical record systems</w:t>
      </w:r>
    </w:p>
    <w:p w14:paraId="2A4B940B" w14:textId="77777777" w:rsidR="00095527" w:rsidRDefault="00095527" w:rsidP="00164CA5">
      <w:pPr>
        <w:pStyle w:val="ListParagraph"/>
        <w:numPr>
          <w:ilvl w:val="0"/>
          <w:numId w:val="44"/>
        </w:numPr>
      </w:pPr>
      <w:r>
        <w:t>Linkages between data sets across the patient journey</w:t>
      </w:r>
    </w:p>
    <w:p w14:paraId="307B4197" w14:textId="044B239D" w:rsidR="00095527" w:rsidRDefault="00095527" w:rsidP="00164CA5">
      <w:pPr>
        <w:pStyle w:val="ListParagraph"/>
        <w:numPr>
          <w:ilvl w:val="0"/>
          <w:numId w:val="44"/>
        </w:numPr>
      </w:pPr>
      <w:r>
        <w:t>Patient experience and post-sepsis care</w:t>
      </w:r>
      <w:r w:rsidR="62BF2F2C">
        <w:t>.</w:t>
      </w:r>
    </w:p>
    <w:p w14:paraId="038FFE4C" w14:textId="77777777" w:rsidR="00095527" w:rsidRDefault="00095527" w:rsidP="00095527">
      <w:pPr>
        <w:pStyle w:val="Heading3"/>
      </w:pPr>
      <w:bookmarkStart w:id="54" w:name="_Toc203177418"/>
      <w:r>
        <w:t>Inconsistent definitions</w:t>
      </w:r>
      <w:bookmarkEnd w:id="54"/>
    </w:p>
    <w:p w14:paraId="461B652D" w14:textId="77777777" w:rsidR="00095527" w:rsidRDefault="00095527" w:rsidP="00095527">
      <w:r>
        <w:t>Participants repeatedly raised the importance of a clear and actionable definition of sepsis, to reliably and consistently identify sepsis across jurisdictions.</w:t>
      </w:r>
      <w:r w:rsidRPr="002761F9">
        <w:t xml:space="preserve"> </w:t>
      </w:r>
      <w:r>
        <w:t>Without a consistent operational definition that can be agreed and implemented across jurisdictions, it limits the ability to accurately compare sepsis prevalence and outcomes across states and territories.</w:t>
      </w:r>
    </w:p>
    <w:p w14:paraId="240558B3" w14:textId="6032C9C9" w:rsidR="00095527" w:rsidRDefault="00095527" w:rsidP="00095527">
      <w:r>
        <w:t xml:space="preserve">The definition of sepsis has changed over time with the current definition </w:t>
      </w:r>
      <w:r w:rsidR="00AC5EAC">
        <w:t>informed by</w:t>
      </w:r>
      <w:r>
        <w:t xml:space="preserve"> the </w:t>
      </w:r>
      <w:r w:rsidRPr="001D7C9C">
        <w:t>Third International Consensus Definitions for Sepsis and Septic Shock (Sepsis-3)</w:t>
      </w:r>
      <w:r>
        <w:t xml:space="preserve"> in 2016.</w:t>
      </w:r>
      <w:r>
        <w:rPr>
          <w:rStyle w:val="FootnoteReference"/>
        </w:rPr>
        <w:footnoteReference w:id="48"/>
      </w:r>
      <w:r>
        <w:t xml:space="preserve"> </w:t>
      </w:r>
      <w:r w:rsidRPr="006105EF">
        <w:t>Th</w:t>
      </w:r>
      <w:r>
        <w:t>at</w:t>
      </w:r>
      <w:r w:rsidRPr="006105EF">
        <w:t xml:space="preserve"> task force concluded the term </w:t>
      </w:r>
      <w:r w:rsidRPr="001C09F5">
        <w:rPr>
          <w:i/>
          <w:iCs/>
        </w:rPr>
        <w:t>severe sepsis</w:t>
      </w:r>
      <w:r w:rsidRPr="006105EF">
        <w:t> was redundant</w:t>
      </w:r>
      <w:r>
        <w:t>, and the term sepsis adopted for those cases.</w:t>
      </w:r>
    </w:p>
    <w:p w14:paraId="7C288D56" w14:textId="5A3E0362" w:rsidR="00095527" w:rsidRDefault="00095527" w:rsidP="00095527">
      <w:r>
        <w:t>Although there was broad agreement on the use of the Sepsis-3 definition, some participants indicated that this definition was research focused and not as applicable in a clinical setting. This is because sepsis does not have a single, uniform diagnostic test or threshold but relies heavily on clinical judgement, and in many cases requires a senior clinician to diagnose. Participants noted that this introduces variability in how and when sepsis is identified and documented.</w:t>
      </w:r>
    </w:p>
    <w:p w14:paraId="3AC312EE" w14:textId="77777777" w:rsidR="00095527" w:rsidRDefault="00095527" w:rsidP="00095527">
      <w:r>
        <w:t>In addition, sepsis is rarely experienced in isolation, it typically presents alongside other conditions. Participants noted that there wasn’t a culture of using the word ‘sepsis’ in charts. As sepsis is a syndrome of organ dysfunction that occurs as a result of infection, what is documented can often be a reference to the infection or pneumonia, limiting the data to inform where sepsis develops.</w:t>
      </w:r>
    </w:p>
    <w:p w14:paraId="68BA0382" w14:textId="77777777" w:rsidR="00095527" w:rsidRDefault="00095527" w:rsidP="00095527">
      <w:pPr>
        <w:pStyle w:val="Heading4"/>
      </w:pPr>
      <w:bookmarkStart w:id="57" w:name="_Toc203177419"/>
      <w:r>
        <w:t xml:space="preserve">Paediatric and neonatal </w:t>
      </w:r>
      <w:bookmarkEnd w:id="57"/>
      <w:r>
        <w:t>sepsis</w:t>
      </w:r>
    </w:p>
    <w:p w14:paraId="43258444" w14:textId="77777777" w:rsidR="00095527" w:rsidRDefault="00095527" w:rsidP="00095527">
      <w:r>
        <w:t>The Sepsis-3 definition was focused on adult patients, and similar clinical criteria does not exist for paediatric and neonatal cases. Sepsis often presents with non-specific symptoms such as fast heart or respiratory rates, particularly in younger age groups.</w:t>
      </w:r>
      <w:r>
        <w:rPr>
          <w:rStyle w:val="FootnoteReference"/>
        </w:rPr>
        <w:footnoteReference w:id="49"/>
      </w:r>
      <w:r>
        <w:t xml:space="preserve"> Participants working in paediatrics noted that this added additional variation to working definitions of sepsis across locations, as there </w:t>
      </w:r>
      <w:r>
        <w:lastRenderedPageBreak/>
        <w:t>was little to no guidance for diagnosis. Despite the difficulty in diagnosis, participants noted that sepsis remains an important issue for these groups given age is an important risk factor for sepsis, with newborns and infants particularly susceptible because their immune systems are immature.</w:t>
      </w:r>
    </w:p>
    <w:p w14:paraId="11501014" w14:textId="77777777" w:rsidR="00095527" w:rsidRPr="00B10F1B" w:rsidRDefault="00095527" w:rsidP="00095527">
      <w:pPr>
        <w:pStyle w:val="Heading4"/>
      </w:pPr>
      <w:bookmarkStart w:id="60" w:name="_Toc203177420"/>
      <w:r w:rsidRPr="00B10F1B">
        <w:t>Time zero</w:t>
      </w:r>
      <w:r>
        <w:t xml:space="preserve"> definition</w:t>
      </w:r>
      <w:bookmarkEnd w:id="60"/>
    </w:p>
    <w:p w14:paraId="47858DE8" w14:textId="6215ED1C" w:rsidR="00095527" w:rsidRDefault="00095527" w:rsidP="00095527">
      <w:r>
        <w:t>A key indicator for the Sepsis Clinical Care Standards is treatment with appropriate anti-biotics within 60 minutes of signs of sepsis.</w:t>
      </w:r>
      <w:r>
        <w:rPr>
          <w:rStyle w:val="FootnoteReference"/>
        </w:rPr>
        <w:footnoteReference w:id="50"/>
      </w:r>
      <w:r>
        <w:t xml:space="preserve"> Determining the point at which sepsis starts, is inherently difficult and was not consistently applied across jurisdictions.</w:t>
      </w:r>
    </w:p>
    <w:p w14:paraId="69A1D16C" w14:textId="77777777" w:rsidR="00095527" w:rsidRDefault="00095527" w:rsidP="00095527">
      <w:r>
        <w:t>As a condition of deterioration, sepsis evolves gradually, and the moment of onset may not be clear or determinable. As there is no standard test or simple diagnostic criteria for sepsis, the point of recognition can vary. In addition, the point of sepsis recognition may not be clearly recorded in clinical notes, so different hospitals and jurisdictions have adopted different definitions for ‘time zero’. The range of definitions include:</w:t>
      </w:r>
    </w:p>
    <w:p w14:paraId="7FEC1BC2" w14:textId="77777777" w:rsidR="00095527" w:rsidRDefault="00095527" w:rsidP="00164CA5">
      <w:pPr>
        <w:pStyle w:val="ListParagraph"/>
        <w:numPr>
          <w:ilvl w:val="0"/>
          <w:numId w:val="42"/>
        </w:numPr>
      </w:pPr>
      <w:r>
        <w:t>Time of sepsis recognition based on clinical judgment</w:t>
      </w:r>
    </w:p>
    <w:p w14:paraId="1FF1E787" w14:textId="77777777" w:rsidR="00095527" w:rsidRDefault="00095527" w:rsidP="00164CA5">
      <w:pPr>
        <w:pStyle w:val="ListParagraph"/>
        <w:numPr>
          <w:ilvl w:val="0"/>
          <w:numId w:val="42"/>
        </w:numPr>
      </w:pPr>
      <w:r>
        <w:t>Time the sepsis pathway was initiated</w:t>
      </w:r>
    </w:p>
    <w:p w14:paraId="1E4BD7DF" w14:textId="77777777" w:rsidR="00095527" w:rsidRDefault="00095527" w:rsidP="00164CA5">
      <w:pPr>
        <w:pStyle w:val="ListParagraph"/>
        <w:numPr>
          <w:ilvl w:val="0"/>
          <w:numId w:val="42"/>
        </w:numPr>
      </w:pPr>
      <w:r>
        <w:t>Triage time for emergency department presentations</w:t>
      </w:r>
    </w:p>
    <w:p w14:paraId="5EA557D5" w14:textId="0AF27703" w:rsidR="00095527" w:rsidRDefault="00095527" w:rsidP="00164CA5">
      <w:pPr>
        <w:pStyle w:val="ListParagraph"/>
        <w:numPr>
          <w:ilvl w:val="0"/>
          <w:numId w:val="42"/>
        </w:numPr>
      </w:pPr>
      <w:r>
        <w:t>Time of emergency calls for deteriorating ward patients</w:t>
      </w:r>
      <w:r w:rsidR="18E228E9">
        <w:t>.</w:t>
      </w:r>
    </w:p>
    <w:p w14:paraId="08276DB5" w14:textId="77777777" w:rsidR="00095527" w:rsidRDefault="00095527" w:rsidP="00095527">
      <w:r>
        <w:t xml:space="preserve">The definitions used by each jurisdiction are included later in this report in </w:t>
      </w:r>
      <w:r w:rsidRPr="00260A3A">
        <w:rPr>
          <w:i/>
          <w:iCs/>
        </w:rPr>
        <w:t xml:space="preserve">Table 2: Sepsis clinical care indicator </w:t>
      </w:r>
      <w:r>
        <w:rPr>
          <w:i/>
          <w:iCs/>
        </w:rPr>
        <w:t>analysis</w:t>
      </w:r>
      <w:r w:rsidRPr="00260A3A">
        <w:rPr>
          <w:i/>
          <w:iCs/>
        </w:rPr>
        <w:t xml:space="preserve"> by state &amp; territory</w:t>
      </w:r>
      <w:r>
        <w:rPr>
          <w:i/>
          <w:iCs/>
        </w:rPr>
        <w:t>.</w:t>
      </w:r>
    </w:p>
    <w:p w14:paraId="6BA87EBC" w14:textId="77777777" w:rsidR="00095527" w:rsidRDefault="00095527" w:rsidP="00095527">
      <w:pPr>
        <w:pStyle w:val="Heading3"/>
      </w:pPr>
      <w:bookmarkStart w:id="61" w:name="_Toc203177421"/>
      <w:r>
        <w:t>Sepsis coding quality</w:t>
      </w:r>
      <w:bookmarkEnd w:id="61"/>
    </w:p>
    <w:p w14:paraId="3A12E52A" w14:textId="77777777" w:rsidR="00095527" w:rsidRDefault="00095527" w:rsidP="00095527">
      <w:r>
        <w:t>Professional clinical coders classify and catalogue each case within a hospital and label it with a primary ICD-10 code and supplementary codes.</w:t>
      </w:r>
      <w:r>
        <w:rPr>
          <w:rStyle w:val="FootnoteReference"/>
        </w:rPr>
        <w:footnoteReference w:id="51"/>
      </w:r>
      <w:r>
        <w:t xml:space="preserve"> The definition and use of these codes are agreed nationally based on international standards and ICD-10 codes are used by both public and private hospitals. Coded data is collected in databases at the state and territory level and reported nationally to the </w:t>
      </w:r>
      <w:r w:rsidRPr="009350FB">
        <w:t>Australian Institute of Health and Welfare</w:t>
      </w:r>
      <w:r>
        <w:t xml:space="preserve"> (AIHW) as part of its A</w:t>
      </w:r>
      <w:r w:rsidRPr="0013111D">
        <w:t xml:space="preserve">dmitted </w:t>
      </w:r>
      <w:r>
        <w:t>P</w:t>
      </w:r>
      <w:r w:rsidRPr="0013111D">
        <w:t xml:space="preserve">atient </w:t>
      </w:r>
      <w:r>
        <w:t>C</w:t>
      </w:r>
      <w:r w:rsidRPr="0013111D">
        <w:t>are N</w:t>
      </w:r>
      <w:r>
        <w:t xml:space="preserve">ational </w:t>
      </w:r>
      <w:r w:rsidRPr="0013111D">
        <w:t>M</w:t>
      </w:r>
      <w:r>
        <w:t xml:space="preserve">inimum </w:t>
      </w:r>
      <w:r w:rsidRPr="0013111D">
        <w:t>D</w:t>
      </w:r>
      <w:r>
        <w:t>ata Set.</w:t>
      </w:r>
    </w:p>
    <w:p w14:paraId="01EE4145" w14:textId="37E8210A" w:rsidR="00095527" w:rsidRDefault="00095527" w:rsidP="00095527">
      <w:r>
        <w:t>As part of the initial National Sepsis Program an epidemiology of sepsis in Australia study was conducted on coded data. It found that the large increases in sepsis rates between 2013-14 and 2017-18 were correlated with the changes in coding practices between editions and the report recommended further work to assess the accuracy of sepsis coding.</w:t>
      </w:r>
    </w:p>
    <w:p w14:paraId="2C4AB2B5" w14:textId="7CDA1F7F" w:rsidR="00095527" w:rsidRDefault="00095527" w:rsidP="00095527">
      <w:r>
        <w:t>As part of the development of the Sepsis Clinical Care Standard the Commission collated a list of ICD-10 codes for explicit cases of sepsis.</w:t>
      </w:r>
      <w:r>
        <w:rPr>
          <w:rStyle w:val="FootnoteReference"/>
        </w:rPr>
        <w:footnoteReference w:id="52"/>
      </w:r>
      <w:r>
        <w:t xml:space="preserve"> Although all jurisdictions are currently able to quantify sepsis cases using these ICD-10 codes for sepsis, participants generally agreed that this data was not sufficient, due to the inconsistency, accuracy, and timeliness of the coded data.</w:t>
      </w:r>
    </w:p>
    <w:p w14:paraId="48B69DE7" w14:textId="77777777" w:rsidR="00095527" w:rsidRDefault="00095527" w:rsidP="00095527">
      <w:pPr>
        <w:pStyle w:val="Heading4"/>
      </w:pPr>
      <w:bookmarkStart w:id="62" w:name="_Toc203177422"/>
      <w:r>
        <w:t>Sepsis coding accuracy</w:t>
      </w:r>
      <w:bookmarkEnd w:id="62"/>
    </w:p>
    <w:p w14:paraId="20D470B9" w14:textId="52AB93AF" w:rsidR="00095527" w:rsidRDefault="00095527" w:rsidP="00095527">
      <w:r>
        <w:t xml:space="preserve">Participants in most jurisdictions raised concerns about the accuracy of sepsis coding. Many participants warned against relying on the explicit sepsis codes for tracking sepsis rates. In general </w:t>
      </w:r>
      <w:r>
        <w:lastRenderedPageBreak/>
        <w:t>participants felt that sepsis was underreported in the existing coded data. Only a subset of all sepsis cases are coded with explicit sepsis codes due to a variety of reasons raised by participants including:</w:t>
      </w:r>
    </w:p>
    <w:p w14:paraId="10F53FD4" w14:textId="468E206D" w:rsidR="00095527" w:rsidRDefault="00095527" w:rsidP="00164CA5">
      <w:pPr>
        <w:pStyle w:val="ListParagraph"/>
        <w:numPr>
          <w:ilvl w:val="0"/>
          <w:numId w:val="42"/>
        </w:numPr>
      </w:pPr>
      <w:r w:rsidRPr="00CA0271">
        <w:rPr>
          <w:b/>
          <w:bCs/>
        </w:rPr>
        <w:t>Clinical coder directions and clinical practices</w:t>
      </w:r>
      <w:r>
        <w:rPr>
          <w:b/>
          <w:bCs/>
        </w:rPr>
        <w:t xml:space="preserve"> – </w:t>
      </w:r>
      <w:r w:rsidRPr="00CA0271">
        <w:rPr>
          <w:bCs/>
        </w:rPr>
        <w:t>Clinical coders rely on the clinicians notes to assign diagnostic cases</w:t>
      </w:r>
      <w:r>
        <w:t xml:space="preserve">. For sepsis, they require a specific reference to sepsis for an explicit sepsis code, and coders will not infer sepsis from the clinical notes. Participants across multiple jurisdictions noted that there is a culture of not using the term sepsis in charts, instead clinical notes will generally focus on the infection, its type or source. In addition, participants noted that </w:t>
      </w:r>
      <w:r w:rsidR="00A909C1">
        <w:t>some</w:t>
      </w:r>
      <w:r>
        <w:t xml:space="preserve"> terms used by clinicians often do not result in an explicit sepsis code, suggesting a disconnect between clinical language and coding standards.</w:t>
      </w:r>
    </w:p>
    <w:p w14:paraId="2B9E5A98" w14:textId="77777777" w:rsidR="00095527" w:rsidRDefault="00095527" w:rsidP="00095527">
      <w:pPr>
        <w:pStyle w:val="ListParagraph"/>
        <w:spacing w:before="240" w:after="240"/>
        <w:ind w:left="714"/>
      </w:pPr>
    </w:p>
    <w:p w14:paraId="750643FF" w14:textId="77777777" w:rsidR="00095527" w:rsidRDefault="00095527" w:rsidP="00164CA5">
      <w:pPr>
        <w:pStyle w:val="ListParagraph"/>
        <w:numPr>
          <w:ilvl w:val="0"/>
          <w:numId w:val="42"/>
        </w:numPr>
        <w:spacing w:before="240" w:after="240"/>
        <w:ind w:left="714" w:hanging="357"/>
      </w:pPr>
      <w:r w:rsidRPr="000947C3">
        <w:rPr>
          <w:b/>
          <w:bCs/>
        </w:rPr>
        <w:t>Concurrence</w:t>
      </w:r>
      <w:r>
        <w:rPr>
          <w:b/>
          <w:bCs/>
        </w:rPr>
        <w:t xml:space="preserve"> of other conditions – </w:t>
      </w:r>
      <w:r>
        <w:t>As a condition of deterioration sepsis often occurs alongside other conditions being treated. Therefore, the focus of clinical notes may be on other conditions, resulting in sepsis being underreported.</w:t>
      </w:r>
    </w:p>
    <w:p w14:paraId="0C6B721E" w14:textId="189EA168" w:rsidR="00095527" w:rsidRDefault="00095527" w:rsidP="00095527">
      <w:pPr>
        <w:pStyle w:val="ListParagraph"/>
        <w:spacing w:before="240" w:after="240"/>
        <w:ind w:left="714"/>
      </w:pPr>
    </w:p>
    <w:p w14:paraId="1105B2B5" w14:textId="557EBF2D" w:rsidR="00095527" w:rsidRDefault="00095527" w:rsidP="00164CA5">
      <w:pPr>
        <w:pStyle w:val="ListParagraph"/>
        <w:numPr>
          <w:ilvl w:val="0"/>
          <w:numId w:val="42"/>
        </w:numPr>
      </w:pPr>
      <w:r>
        <w:rPr>
          <w:b/>
          <w:bCs/>
        </w:rPr>
        <w:t xml:space="preserve">Complex diagnostic criteria – </w:t>
      </w:r>
      <w:r>
        <w:t>As there are no simple diagnostic criteria for sepsis, diagnosis requires clinical judgement and expertise. Often requiring a senior clinician to diagnose, the references to sepsis may not be included by the junior staff who prepare the documentation.</w:t>
      </w:r>
    </w:p>
    <w:p w14:paraId="22A57A03" w14:textId="77777777" w:rsidR="00095527" w:rsidRDefault="00095527" w:rsidP="00095527">
      <w:r>
        <w:t>The development of explicit sepsis pathways for treatment of sepsis may raise the prominence of sepsis and increase the accuracy of coding sepsis.</w:t>
      </w:r>
    </w:p>
    <w:p w14:paraId="414677AB" w14:textId="77777777" w:rsidR="00095527" w:rsidRDefault="00095527" w:rsidP="00095527">
      <w:pPr>
        <w:pStyle w:val="Heading4"/>
      </w:pPr>
      <w:bookmarkStart w:id="63" w:name="_Toc203177423"/>
      <w:r>
        <w:t xml:space="preserve">Implicit sepsis </w:t>
      </w:r>
      <w:bookmarkEnd w:id="63"/>
      <w:r>
        <w:t>coding</w:t>
      </w:r>
    </w:p>
    <w:p w14:paraId="4769A5E6" w14:textId="7DB7B193" w:rsidR="00095527" w:rsidRDefault="00095527" w:rsidP="00095527">
      <w:r>
        <w:t>An alternative method for measuring sepsis rates is including implicit sepsis cases where there is an i</w:t>
      </w:r>
      <w:r w:rsidRPr="00D86E5B">
        <w:t>nfection</w:t>
      </w:r>
      <w:r>
        <w:t xml:space="preserve"> listed</w:t>
      </w:r>
      <w:r w:rsidRPr="00D86E5B">
        <w:t xml:space="preserve"> </w:t>
      </w:r>
      <w:r>
        <w:t>a</w:t>
      </w:r>
      <w:r w:rsidRPr="00D86E5B">
        <w:t>s</w:t>
      </w:r>
      <w:r>
        <w:t xml:space="preserve"> the</w:t>
      </w:r>
      <w:r w:rsidRPr="00D86E5B">
        <w:t xml:space="preserve"> primary </w:t>
      </w:r>
      <w:r w:rsidR="00480D87">
        <w:t>or secondary</w:t>
      </w:r>
      <w:r w:rsidRPr="00D86E5B">
        <w:t xml:space="preserve"> ICD</w:t>
      </w:r>
      <w:r>
        <w:t>-10</w:t>
      </w:r>
      <w:r w:rsidRPr="00D86E5B">
        <w:t xml:space="preserve"> code plus</w:t>
      </w:r>
      <w:r>
        <w:t xml:space="preserve"> an</w:t>
      </w:r>
      <w:r w:rsidRPr="00D86E5B">
        <w:t xml:space="preserve"> organ dysfunction </w:t>
      </w:r>
      <w:r>
        <w:t xml:space="preserve">ICD-10 </w:t>
      </w:r>
      <w:r w:rsidRPr="00D86E5B">
        <w:t>code</w:t>
      </w:r>
      <w:r>
        <w:t xml:space="preserve">. A 2025 published study conducted by the George Institute found that implicit methods were more accurate than relying on explicit sepsis codes, however, it found that </w:t>
      </w:r>
      <w:r w:rsidRPr="00994770">
        <w:rPr>
          <w:i/>
          <w:iCs/>
        </w:rPr>
        <w:t>“agreement between clinical sepsis and all ICD coding methods was low”</w:t>
      </w:r>
      <w:r>
        <w:t>.</w:t>
      </w:r>
      <w:r w:rsidRPr="007A6AB0">
        <w:rPr>
          <w:rStyle w:val="FootnoteReference"/>
        </w:rPr>
        <w:t xml:space="preserve"> </w:t>
      </w:r>
      <w:r>
        <w:rPr>
          <w:rStyle w:val="FootnoteReference"/>
        </w:rPr>
        <w:footnoteReference w:id="53"/>
      </w:r>
      <w:r>
        <w:t xml:space="preserve"> This matched the experience of participants who had performed audits of sepsis cases. They cautioned that</w:t>
      </w:r>
      <w:r w:rsidRPr="00DE54E8">
        <w:t xml:space="preserve"> </w:t>
      </w:r>
      <w:r>
        <w:t xml:space="preserve">relying on </w:t>
      </w:r>
      <w:r w:rsidRPr="00DD10D1">
        <w:t>implicit</w:t>
      </w:r>
      <w:r>
        <w:rPr>
          <w:i/>
          <w:iCs/>
        </w:rPr>
        <w:t xml:space="preserve"> </w:t>
      </w:r>
      <w:r>
        <w:t>sepsis codes to identify cases, as it was only a starting point for further examination of clinical notes. The value of using implicit codes can also vary between location, as it may be more useful in emergency departments where organ failure is a less common occurrence, than in ICUs where it may overstate the prevalence of sepsis.</w:t>
      </w:r>
    </w:p>
    <w:p w14:paraId="3B0E4D09" w14:textId="77777777" w:rsidR="00095527" w:rsidRDefault="00095527" w:rsidP="00095527">
      <w:pPr>
        <w:pStyle w:val="Heading4"/>
      </w:pPr>
      <w:bookmarkStart w:id="66" w:name="_Toc203177424"/>
      <w:r>
        <w:t>Time delays in coding</w:t>
      </w:r>
      <w:bookmarkEnd w:id="66"/>
    </w:p>
    <w:p w14:paraId="2EAE1C00" w14:textId="19AF556A" w:rsidR="00A04071" w:rsidRDefault="00095527" w:rsidP="00095527">
      <w:r>
        <w:t>Participants raised the issue of the timeliness of coded data. The coding of data usually takes place long after a patient has been discharged from hospital. Participants indicated that data generally took between a few weeks to a few months to be coded. The table below details the estimated time (collected through consultations) for data to be coded in public hospitals.</w:t>
      </w:r>
    </w:p>
    <w:p w14:paraId="766C7A21" w14:textId="77777777" w:rsidR="00A04071" w:rsidRDefault="00A04071">
      <w:pPr>
        <w:snapToGrid/>
        <w:spacing w:before="0" w:after="0" w:line="240" w:lineRule="auto"/>
        <w:jc w:val="left"/>
      </w:pPr>
      <w:r>
        <w:br w:type="page"/>
      </w:r>
    </w:p>
    <w:p w14:paraId="253C69B0" w14:textId="77777777" w:rsidR="00095527" w:rsidRDefault="00095527" w:rsidP="00095527"/>
    <w:tbl>
      <w:tblPr>
        <w:tblStyle w:val="GridTable4-Accent3"/>
        <w:tblW w:w="0" w:type="auto"/>
        <w:tblInd w:w="-113" w:type="dxa"/>
        <w:tblLook w:val="04A0" w:firstRow="1" w:lastRow="0" w:firstColumn="1" w:lastColumn="0" w:noHBand="0" w:noVBand="1"/>
      </w:tblPr>
      <w:tblGrid>
        <w:gridCol w:w="1384"/>
        <w:gridCol w:w="7745"/>
      </w:tblGrid>
      <w:tr w:rsidR="009D7449" w14:paraId="6AE6EC5D" w14:textId="77777777" w:rsidTr="00A82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9" w:type="dxa"/>
            <w:gridSpan w:val="2"/>
            <w:shd w:val="clear" w:color="auto" w:fill="421A75"/>
          </w:tcPr>
          <w:p w14:paraId="6874FBA6" w14:textId="77777777" w:rsidR="00095527" w:rsidRDefault="00095527" w:rsidP="00095527">
            <w:r>
              <w:t>Table 1: Estimates of time between treatment and coding</w:t>
            </w:r>
          </w:p>
        </w:tc>
      </w:tr>
      <w:tr w:rsidR="00991F45" w14:paraId="462809EA" w14:textId="77777777" w:rsidTr="00A82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EAE0FF"/>
          </w:tcPr>
          <w:p w14:paraId="38069C8E" w14:textId="77777777" w:rsidR="00095527" w:rsidRPr="00F92172" w:rsidRDefault="00095527" w:rsidP="00095527">
            <w:pPr>
              <w:rPr>
                <w:b w:val="0"/>
                <w:bCs w:val="0"/>
              </w:rPr>
            </w:pPr>
            <w:r w:rsidRPr="00F92172">
              <w:rPr>
                <w:b w:val="0"/>
                <w:bCs w:val="0"/>
              </w:rPr>
              <w:t>ACT</w:t>
            </w:r>
          </w:p>
        </w:tc>
        <w:tc>
          <w:tcPr>
            <w:tcW w:w="7745" w:type="dxa"/>
            <w:shd w:val="clear" w:color="auto" w:fill="EAE0FF"/>
          </w:tcPr>
          <w:p w14:paraId="70B0B54C"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rsidRPr="00290B48">
              <w:t>3 months</w:t>
            </w:r>
          </w:p>
        </w:tc>
      </w:tr>
      <w:tr w:rsidR="00095527" w14:paraId="0923FAE0" w14:textId="77777777" w:rsidTr="190CC2F4">
        <w:tc>
          <w:tcPr>
            <w:cnfStyle w:val="001000000000" w:firstRow="0" w:lastRow="0" w:firstColumn="1" w:lastColumn="0" w:oddVBand="0" w:evenVBand="0" w:oddHBand="0" w:evenHBand="0" w:firstRowFirstColumn="0" w:firstRowLastColumn="0" w:lastRowFirstColumn="0" w:lastRowLastColumn="0"/>
            <w:tcW w:w="1384" w:type="dxa"/>
          </w:tcPr>
          <w:p w14:paraId="09111FAA" w14:textId="77777777" w:rsidR="00095527" w:rsidRPr="00F92172" w:rsidRDefault="00095527" w:rsidP="00095527">
            <w:pPr>
              <w:rPr>
                <w:b w:val="0"/>
                <w:bCs w:val="0"/>
              </w:rPr>
            </w:pPr>
            <w:r w:rsidRPr="00F92172">
              <w:rPr>
                <w:b w:val="0"/>
                <w:bCs w:val="0"/>
              </w:rPr>
              <w:t>NSW</w:t>
            </w:r>
          </w:p>
        </w:tc>
        <w:tc>
          <w:tcPr>
            <w:tcW w:w="7745" w:type="dxa"/>
          </w:tcPr>
          <w:p w14:paraId="70F88570" w14:textId="77777777" w:rsidR="00095527" w:rsidRDefault="00095527" w:rsidP="00095527">
            <w:pPr>
              <w:cnfStyle w:val="000000000000" w:firstRow="0" w:lastRow="0" w:firstColumn="0" w:lastColumn="0" w:oddVBand="0" w:evenVBand="0" w:oddHBand="0" w:evenHBand="0" w:firstRowFirstColumn="0" w:firstRowLastColumn="0" w:lastRowFirstColumn="0" w:lastRowLastColumn="0"/>
            </w:pPr>
            <w:r>
              <w:t>3 – 6 months</w:t>
            </w:r>
          </w:p>
        </w:tc>
      </w:tr>
      <w:tr w:rsidR="00991F45" w14:paraId="57E492FF" w14:textId="77777777" w:rsidTr="00A82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EAE0FF"/>
          </w:tcPr>
          <w:p w14:paraId="445C071E" w14:textId="77777777" w:rsidR="00095527" w:rsidRPr="00F92172" w:rsidRDefault="00095527" w:rsidP="00095527">
            <w:pPr>
              <w:rPr>
                <w:b w:val="0"/>
                <w:bCs w:val="0"/>
              </w:rPr>
            </w:pPr>
            <w:r w:rsidRPr="00F92172">
              <w:rPr>
                <w:b w:val="0"/>
                <w:bCs w:val="0"/>
              </w:rPr>
              <w:t>NT</w:t>
            </w:r>
          </w:p>
        </w:tc>
        <w:tc>
          <w:tcPr>
            <w:tcW w:w="7745" w:type="dxa"/>
            <w:shd w:val="clear" w:color="auto" w:fill="EAE0FF"/>
          </w:tcPr>
          <w:p w14:paraId="1989D607"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t>2 – 3 months</w:t>
            </w:r>
          </w:p>
        </w:tc>
      </w:tr>
      <w:tr w:rsidR="00095527" w14:paraId="45AE528C" w14:textId="77777777" w:rsidTr="190CC2F4">
        <w:tc>
          <w:tcPr>
            <w:cnfStyle w:val="001000000000" w:firstRow="0" w:lastRow="0" w:firstColumn="1" w:lastColumn="0" w:oddVBand="0" w:evenVBand="0" w:oddHBand="0" w:evenHBand="0" w:firstRowFirstColumn="0" w:firstRowLastColumn="0" w:lastRowFirstColumn="0" w:lastRowLastColumn="0"/>
            <w:tcW w:w="1384" w:type="dxa"/>
          </w:tcPr>
          <w:p w14:paraId="76E83346" w14:textId="77777777" w:rsidR="00095527" w:rsidRPr="00F92172" w:rsidRDefault="00095527" w:rsidP="00095527">
            <w:pPr>
              <w:rPr>
                <w:b w:val="0"/>
                <w:bCs w:val="0"/>
              </w:rPr>
            </w:pPr>
            <w:r w:rsidRPr="00F92172">
              <w:rPr>
                <w:b w:val="0"/>
                <w:bCs w:val="0"/>
              </w:rPr>
              <w:t>TAS</w:t>
            </w:r>
          </w:p>
        </w:tc>
        <w:tc>
          <w:tcPr>
            <w:tcW w:w="7745" w:type="dxa"/>
          </w:tcPr>
          <w:p w14:paraId="4504012F" w14:textId="00C955FC" w:rsidR="00095527" w:rsidRDefault="00577DE2" w:rsidP="00095527">
            <w:pPr>
              <w:cnfStyle w:val="000000000000" w:firstRow="0" w:lastRow="0" w:firstColumn="0" w:lastColumn="0" w:oddVBand="0" w:evenVBand="0" w:oddHBand="0" w:evenHBand="0" w:firstRowFirstColumn="0" w:firstRowLastColumn="0" w:lastRowFirstColumn="0" w:lastRowLastColumn="0"/>
            </w:pPr>
            <w:r>
              <w:t>2 – 3 months</w:t>
            </w:r>
          </w:p>
        </w:tc>
      </w:tr>
      <w:tr w:rsidR="00991F45" w14:paraId="7E1EE22E" w14:textId="77777777" w:rsidTr="00A82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EAE0FF"/>
          </w:tcPr>
          <w:p w14:paraId="4BA1A2F8" w14:textId="77777777" w:rsidR="00095527" w:rsidRPr="00F92172" w:rsidRDefault="00095527" w:rsidP="00095527">
            <w:pPr>
              <w:rPr>
                <w:b w:val="0"/>
                <w:bCs w:val="0"/>
              </w:rPr>
            </w:pPr>
            <w:r w:rsidRPr="00F92172">
              <w:rPr>
                <w:b w:val="0"/>
                <w:bCs w:val="0"/>
              </w:rPr>
              <w:t>VIC</w:t>
            </w:r>
          </w:p>
        </w:tc>
        <w:tc>
          <w:tcPr>
            <w:tcW w:w="7745" w:type="dxa"/>
            <w:shd w:val="clear" w:color="auto" w:fill="EAE0FF"/>
          </w:tcPr>
          <w:p w14:paraId="12F5E355"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t>3 months</w:t>
            </w:r>
          </w:p>
        </w:tc>
      </w:tr>
      <w:tr w:rsidR="00095527" w14:paraId="01F91A44" w14:textId="77777777" w:rsidTr="190CC2F4">
        <w:tc>
          <w:tcPr>
            <w:cnfStyle w:val="001000000000" w:firstRow="0" w:lastRow="0" w:firstColumn="1" w:lastColumn="0" w:oddVBand="0" w:evenVBand="0" w:oddHBand="0" w:evenHBand="0" w:firstRowFirstColumn="0" w:firstRowLastColumn="0" w:lastRowFirstColumn="0" w:lastRowLastColumn="0"/>
            <w:tcW w:w="1384" w:type="dxa"/>
          </w:tcPr>
          <w:p w14:paraId="01D808A8" w14:textId="77777777" w:rsidR="00095527" w:rsidRPr="00F92172" w:rsidRDefault="00095527" w:rsidP="00095527">
            <w:pPr>
              <w:rPr>
                <w:b w:val="0"/>
                <w:bCs w:val="0"/>
              </w:rPr>
            </w:pPr>
            <w:r w:rsidRPr="00F92172">
              <w:rPr>
                <w:b w:val="0"/>
                <w:bCs w:val="0"/>
              </w:rPr>
              <w:t>WA</w:t>
            </w:r>
          </w:p>
        </w:tc>
        <w:tc>
          <w:tcPr>
            <w:tcW w:w="7745" w:type="dxa"/>
          </w:tcPr>
          <w:p w14:paraId="57D0D7F1" w14:textId="77777777" w:rsidR="00095527" w:rsidRDefault="00095527" w:rsidP="00095527">
            <w:pPr>
              <w:cnfStyle w:val="000000000000" w:firstRow="0" w:lastRow="0" w:firstColumn="0" w:lastColumn="0" w:oddVBand="0" w:evenVBand="0" w:oddHBand="0" w:evenHBand="0" w:firstRowFirstColumn="0" w:firstRowLastColumn="0" w:lastRowFirstColumn="0" w:lastRowLastColumn="0"/>
            </w:pPr>
            <w:r>
              <w:t>6 weeks on average but up to 6 months</w:t>
            </w:r>
          </w:p>
        </w:tc>
      </w:tr>
      <w:tr w:rsidR="00991F45" w14:paraId="6792B047" w14:textId="77777777" w:rsidTr="00A82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EAE0FF"/>
          </w:tcPr>
          <w:p w14:paraId="4C71416C" w14:textId="77777777" w:rsidR="00095527" w:rsidRPr="002319A1" w:rsidRDefault="00095527" w:rsidP="00095527">
            <w:pPr>
              <w:rPr>
                <w:b w:val="0"/>
                <w:bCs w:val="0"/>
              </w:rPr>
            </w:pPr>
            <w:r w:rsidRPr="002319A1">
              <w:rPr>
                <w:b w:val="0"/>
                <w:bCs w:val="0"/>
              </w:rPr>
              <w:t>National</w:t>
            </w:r>
          </w:p>
        </w:tc>
        <w:tc>
          <w:tcPr>
            <w:tcW w:w="7745" w:type="dxa"/>
            <w:shd w:val="clear" w:color="auto" w:fill="EAE0FF"/>
          </w:tcPr>
          <w:p w14:paraId="2FE7B836"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t>1 year – The A</w:t>
            </w:r>
            <w:r w:rsidRPr="0013111D">
              <w:t xml:space="preserve">dmitted </w:t>
            </w:r>
            <w:r>
              <w:t>P</w:t>
            </w:r>
            <w:r w:rsidRPr="0013111D">
              <w:t xml:space="preserve">atient </w:t>
            </w:r>
            <w:r>
              <w:t>C</w:t>
            </w:r>
            <w:r w:rsidRPr="0013111D">
              <w:t>are N</w:t>
            </w:r>
            <w:r>
              <w:t xml:space="preserve">ational </w:t>
            </w:r>
            <w:r w:rsidRPr="0013111D">
              <w:t>M</w:t>
            </w:r>
            <w:r>
              <w:t xml:space="preserve">inimum </w:t>
            </w:r>
            <w:r w:rsidRPr="0013111D">
              <w:t>D</w:t>
            </w:r>
            <w:r>
              <w:t>ata Set is usually released one year after the period it covers.</w:t>
            </w:r>
          </w:p>
        </w:tc>
      </w:tr>
    </w:tbl>
    <w:p w14:paraId="01818AA2" w14:textId="77777777" w:rsidR="00095527" w:rsidRDefault="00095527" w:rsidP="00095527">
      <w:pPr>
        <w:pStyle w:val="Heading3"/>
      </w:pPr>
      <w:bookmarkStart w:id="67" w:name="_Toc203177425"/>
      <w:r>
        <w:t>Variations in data collection for Sepsis Clinical Care standard indicators</w:t>
      </w:r>
      <w:bookmarkEnd w:id="67"/>
    </w:p>
    <w:p w14:paraId="61B01F79" w14:textId="2E6CF000" w:rsidR="00095527" w:rsidRDefault="00095527" w:rsidP="00095527">
      <w:r>
        <w:t>Over the last decade health services across Australia have been working to improve the standard of care for sepsis by developing sepsis pathways – standard care protocols for sepsis. In June 2022, as part of the National Sepsis Program, the Commission launched the Sepsis Clinical Care Standards, a national standard of care. To support the implementation of these standards the commission developed a set of 11 indicators.</w:t>
      </w:r>
      <w:r>
        <w:rPr>
          <w:rStyle w:val="FootnoteReference"/>
        </w:rPr>
        <w:footnoteReference w:id="54"/>
      </w:r>
    </w:p>
    <w:p w14:paraId="3CB44EC2" w14:textId="77777777" w:rsidR="00095527" w:rsidRDefault="00095527" w:rsidP="00095527">
      <w:r>
        <w:t>Health services across Australia have been working to collect data against these standards, and to improve their quality and performance. In addition, many health services began collecting data earlier to support the development of their own sepsis pathways. There is wide variation in how jurisdictions and hospitals have approached collecting this data. The main differences have been across:</w:t>
      </w:r>
    </w:p>
    <w:p w14:paraId="6C3E39B2" w14:textId="77777777" w:rsidR="00095527" w:rsidRDefault="00095527" w:rsidP="00164CA5">
      <w:pPr>
        <w:pStyle w:val="ListParagraph"/>
        <w:numPr>
          <w:ilvl w:val="0"/>
          <w:numId w:val="43"/>
        </w:numPr>
      </w:pPr>
      <w:r w:rsidRPr="00DD10D1">
        <w:rPr>
          <w:b/>
          <w:bCs/>
        </w:rPr>
        <w:t>Data collection</w:t>
      </w:r>
      <w:r>
        <w:t xml:space="preserve"> – The process for collecting the data varies due to the difficulty of extracting data from different systems which may be electronic or paper-based.</w:t>
      </w:r>
    </w:p>
    <w:p w14:paraId="2A385DF9" w14:textId="77777777" w:rsidR="00095527" w:rsidRDefault="00095527" w:rsidP="00164CA5">
      <w:pPr>
        <w:pStyle w:val="ListParagraph"/>
        <w:numPr>
          <w:ilvl w:val="0"/>
          <w:numId w:val="43"/>
        </w:numPr>
      </w:pPr>
      <w:r w:rsidRPr="00DD10D1">
        <w:rPr>
          <w:b/>
          <w:bCs/>
        </w:rPr>
        <w:t>The definition of sepsis</w:t>
      </w:r>
      <w:r>
        <w:t xml:space="preserve"> – How to identify the cases of sepsis or suspected sepsis to include in analysis.</w:t>
      </w:r>
    </w:p>
    <w:p w14:paraId="4F79DA1F" w14:textId="77777777" w:rsidR="00095527" w:rsidRDefault="00095527" w:rsidP="00164CA5">
      <w:pPr>
        <w:pStyle w:val="ListParagraph"/>
        <w:numPr>
          <w:ilvl w:val="0"/>
          <w:numId w:val="43"/>
        </w:numPr>
      </w:pPr>
      <w:r w:rsidRPr="00DD10D1">
        <w:rPr>
          <w:b/>
          <w:bCs/>
        </w:rPr>
        <w:t>The definition of time zero</w:t>
      </w:r>
      <w:r>
        <w:t xml:space="preserve"> – The start of sepsis diagnosis for the purposes of time to treat with antibiotics.</w:t>
      </w:r>
    </w:p>
    <w:p w14:paraId="10B1A7BD" w14:textId="4F79970A" w:rsidR="00A04071" w:rsidRDefault="00095527" w:rsidP="00095527">
      <w:r>
        <w:t>Table 2 summarises some of the data collection and analysis currently undertaken across the various jurisdictions.</w:t>
      </w:r>
    </w:p>
    <w:p w14:paraId="06A42BEF" w14:textId="77777777" w:rsidR="00A04071" w:rsidRDefault="00A04071">
      <w:pPr>
        <w:snapToGrid/>
        <w:spacing w:before="0" w:after="0" w:line="240" w:lineRule="auto"/>
        <w:jc w:val="left"/>
      </w:pPr>
      <w:r>
        <w:br w:type="page"/>
      </w:r>
    </w:p>
    <w:p w14:paraId="2E676424" w14:textId="77777777" w:rsidR="00095527" w:rsidRPr="007328AF" w:rsidRDefault="00095527" w:rsidP="00095527"/>
    <w:tbl>
      <w:tblPr>
        <w:tblStyle w:val="GridTable4-Accent3"/>
        <w:tblW w:w="0" w:type="auto"/>
        <w:tblLook w:val="04A0" w:firstRow="1" w:lastRow="0" w:firstColumn="1" w:lastColumn="0" w:noHBand="0" w:noVBand="1"/>
      </w:tblPr>
      <w:tblGrid>
        <w:gridCol w:w="846"/>
        <w:gridCol w:w="8170"/>
      </w:tblGrid>
      <w:tr w:rsidR="00095527" w14:paraId="6D1D17F4" w14:textId="77777777" w:rsidTr="00A82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421A75"/>
          </w:tcPr>
          <w:p w14:paraId="0A7CB449" w14:textId="77777777" w:rsidR="00095527" w:rsidRDefault="00095527" w:rsidP="00095527">
            <w:r>
              <w:t>Table 2: Sepsis clinical care indicator analysis by state &amp; territory</w:t>
            </w:r>
          </w:p>
        </w:tc>
      </w:tr>
      <w:tr w:rsidR="00095527" w14:paraId="21CF9B6E" w14:textId="77777777" w:rsidTr="00A82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AE0FF"/>
          </w:tcPr>
          <w:p w14:paraId="102CD7C4" w14:textId="77777777" w:rsidR="00095527" w:rsidRPr="00F92172" w:rsidRDefault="00095527" w:rsidP="00095527">
            <w:pPr>
              <w:rPr>
                <w:b w:val="0"/>
                <w:bCs w:val="0"/>
              </w:rPr>
            </w:pPr>
            <w:r w:rsidRPr="00F92172">
              <w:rPr>
                <w:b w:val="0"/>
                <w:bCs w:val="0"/>
              </w:rPr>
              <w:t>ACT</w:t>
            </w:r>
          </w:p>
        </w:tc>
        <w:tc>
          <w:tcPr>
            <w:tcW w:w="8170" w:type="dxa"/>
            <w:shd w:val="clear" w:color="auto" w:fill="EAE0FF"/>
          </w:tcPr>
          <w:p w14:paraId="235E31E0"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rPr>
                <w:b/>
                <w:bCs/>
              </w:rPr>
              <w:t xml:space="preserve">Summary: </w:t>
            </w:r>
            <w:r>
              <w:t>The ACT is developing longitudinal and real-time reporting of sepsis cases based on ICD-10 coded data. This will provide regular reporting on sepsis cases, patient outcomes and re-admission rates. For compliance with Sepsis Clinical Care Standards indicators, the ACT performs manual reviews of sepsis cases and these audits are used by the hospitals for local improvements.</w:t>
            </w:r>
          </w:p>
          <w:p w14:paraId="6FAC36A3"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rPr>
                <w:b/>
                <w:bCs/>
              </w:rPr>
              <w:t xml:space="preserve">Sepsis definition: </w:t>
            </w:r>
            <w:r w:rsidRPr="00A97D4A">
              <w:t xml:space="preserve">The </w:t>
            </w:r>
            <w:r>
              <w:t>ACT uses explicit sepsis codes and ANZICS reporting data to identify records to be manually reviewed.</w:t>
            </w:r>
          </w:p>
          <w:p w14:paraId="3CB90A5E" w14:textId="77777777" w:rsidR="00095527" w:rsidRPr="00EC5809" w:rsidRDefault="00095527" w:rsidP="00095527">
            <w:pPr>
              <w:cnfStyle w:val="000000100000" w:firstRow="0" w:lastRow="0" w:firstColumn="0" w:lastColumn="0" w:oddVBand="0" w:evenVBand="0" w:oddHBand="1" w:evenHBand="0" w:firstRowFirstColumn="0" w:firstRowLastColumn="0" w:lastRowFirstColumn="0" w:lastRowLastColumn="0"/>
              <w:rPr>
                <w:b/>
                <w:bCs/>
              </w:rPr>
            </w:pPr>
            <w:r>
              <w:rPr>
                <w:b/>
                <w:bCs/>
              </w:rPr>
              <w:t xml:space="preserve">Time Zero: </w:t>
            </w:r>
            <w:r>
              <w:t>Timing of sepsis recognition is determined on a case-by-case basis based on the clinical notes.</w:t>
            </w:r>
          </w:p>
        </w:tc>
      </w:tr>
      <w:tr w:rsidR="00095527" w14:paraId="3306D684" w14:textId="77777777" w:rsidTr="190CC2F4">
        <w:tc>
          <w:tcPr>
            <w:cnfStyle w:val="001000000000" w:firstRow="0" w:lastRow="0" w:firstColumn="1" w:lastColumn="0" w:oddVBand="0" w:evenVBand="0" w:oddHBand="0" w:evenHBand="0" w:firstRowFirstColumn="0" w:firstRowLastColumn="0" w:lastRowFirstColumn="0" w:lastRowLastColumn="0"/>
            <w:tcW w:w="846" w:type="dxa"/>
          </w:tcPr>
          <w:p w14:paraId="348A984A" w14:textId="77777777" w:rsidR="00095527" w:rsidRPr="00F92172" w:rsidRDefault="00095527" w:rsidP="00095527">
            <w:pPr>
              <w:rPr>
                <w:b w:val="0"/>
                <w:bCs w:val="0"/>
              </w:rPr>
            </w:pPr>
            <w:r w:rsidRPr="00F92172">
              <w:rPr>
                <w:b w:val="0"/>
                <w:bCs w:val="0"/>
              </w:rPr>
              <w:t>NSW</w:t>
            </w:r>
          </w:p>
        </w:tc>
        <w:tc>
          <w:tcPr>
            <w:tcW w:w="8170" w:type="dxa"/>
          </w:tcPr>
          <w:p w14:paraId="440113BE" w14:textId="77777777" w:rsidR="00095527" w:rsidRDefault="00095527" w:rsidP="00095527">
            <w:pPr>
              <w:cnfStyle w:val="000000000000" w:firstRow="0" w:lastRow="0" w:firstColumn="0" w:lastColumn="0" w:oddVBand="0" w:evenVBand="0" w:oddHBand="0" w:evenHBand="0" w:firstRowFirstColumn="0" w:firstRowLastColumn="0" w:lastRowFirstColumn="0" w:lastRowLastColumn="0"/>
            </w:pPr>
            <w:r>
              <w:rPr>
                <w:b/>
                <w:bCs/>
              </w:rPr>
              <w:t xml:space="preserve">Summary: </w:t>
            </w:r>
            <w:r>
              <w:t>The NSW Clinical Excellence Commission (NSW CEC) maintains a database of suspected sepsis cases for quality improvement while implementing its sepsis pathways, but this database is no longer heavily utilised, as it requires significant manual data entry. NSW CEC now has a sepsis measurement framework to provide guidance to hospitals to perform their own audits of sepsis cases for quality improvement and compliance with the Clinical Care Standards.</w:t>
            </w:r>
          </w:p>
          <w:p w14:paraId="785F3716" w14:textId="77777777" w:rsidR="00095527" w:rsidRDefault="00095527" w:rsidP="00095527">
            <w:pPr>
              <w:cnfStyle w:val="000000000000" w:firstRow="0" w:lastRow="0" w:firstColumn="0" w:lastColumn="0" w:oddVBand="0" w:evenVBand="0" w:oddHBand="0" w:evenHBand="0" w:firstRowFirstColumn="0" w:firstRowLastColumn="0" w:lastRowFirstColumn="0" w:lastRowLastColumn="0"/>
            </w:pPr>
            <w:r>
              <w:rPr>
                <w:b/>
                <w:bCs/>
              </w:rPr>
              <w:t xml:space="preserve">Sepsis Definition: </w:t>
            </w:r>
            <w:r>
              <w:t>The sepsis measurement framework definition for a</w:t>
            </w:r>
            <w:r w:rsidRPr="000842A8">
              <w:t xml:space="preserve"> </w:t>
            </w:r>
            <w:r>
              <w:t>known or suspected sepsis case is “</w:t>
            </w:r>
            <w:r w:rsidRPr="00C07203">
              <w:rPr>
                <w:i/>
                <w:iCs/>
              </w:rPr>
              <w:t>Any signs and/or symptoms of infection – PLUS Yellow or Red Zone criteria as per the relevant sepsis pathway. WITH or WITHOUT Any sepsis risk factors</w:t>
            </w:r>
            <w:r>
              <w:t>”</w:t>
            </w:r>
          </w:p>
          <w:p w14:paraId="77D149BD" w14:textId="77777777" w:rsidR="00095527" w:rsidRDefault="00095527" w:rsidP="00095527">
            <w:pPr>
              <w:cnfStyle w:val="000000000000" w:firstRow="0" w:lastRow="0" w:firstColumn="0" w:lastColumn="0" w:oddVBand="0" w:evenVBand="0" w:oddHBand="0" w:evenHBand="0" w:firstRowFirstColumn="0" w:firstRowLastColumn="0" w:lastRowFirstColumn="0" w:lastRowLastColumn="0"/>
            </w:pPr>
            <w:r w:rsidRPr="000842A8">
              <w:rPr>
                <w:b/>
                <w:bCs/>
              </w:rPr>
              <w:t>Time Zero</w:t>
            </w:r>
            <w:r>
              <w:t>: The sepsis recognition time zero is defined as: “</w:t>
            </w:r>
            <w:r w:rsidRPr="00DD10D1">
              <w:rPr>
                <w:i/>
                <w:iCs/>
              </w:rPr>
              <w:t>Time stamp for triage (emergency)’ or CERS call (ward)</w:t>
            </w:r>
            <w:r>
              <w:t xml:space="preserve">”. </w:t>
            </w:r>
            <w:r w:rsidRPr="00C90F73">
              <w:t xml:space="preserve">Clinical Emergency Response Systems </w:t>
            </w:r>
            <w:r>
              <w:t>(CERS) is an emergency call for a deteriorating patient.</w:t>
            </w:r>
          </w:p>
        </w:tc>
      </w:tr>
      <w:tr w:rsidR="00095527" w14:paraId="65DE3BA7" w14:textId="77777777" w:rsidTr="00A82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AE0FF"/>
          </w:tcPr>
          <w:p w14:paraId="28604D5D" w14:textId="77777777" w:rsidR="00095527" w:rsidRPr="00F92172" w:rsidRDefault="00095527" w:rsidP="00095527">
            <w:pPr>
              <w:rPr>
                <w:b w:val="0"/>
                <w:bCs w:val="0"/>
              </w:rPr>
            </w:pPr>
            <w:r w:rsidRPr="00F92172">
              <w:rPr>
                <w:b w:val="0"/>
                <w:bCs w:val="0"/>
              </w:rPr>
              <w:t>NT</w:t>
            </w:r>
          </w:p>
        </w:tc>
        <w:tc>
          <w:tcPr>
            <w:tcW w:w="8170" w:type="dxa"/>
            <w:shd w:val="clear" w:color="auto" w:fill="EAE0FF"/>
          </w:tcPr>
          <w:p w14:paraId="1184A03C" w14:textId="0156CCCB" w:rsidR="00095527" w:rsidRDefault="00095527" w:rsidP="00095527">
            <w:pPr>
              <w:cnfStyle w:val="000000100000" w:firstRow="0" w:lastRow="0" w:firstColumn="0" w:lastColumn="0" w:oddVBand="0" w:evenVBand="0" w:oddHBand="1" w:evenHBand="0" w:firstRowFirstColumn="0" w:firstRowLastColumn="0" w:lastRowFirstColumn="0" w:lastRowLastColumn="0"/>
            </w:pPr>
            <w:r w:rsidRPr="0DC72D4E">
              <w:rPr>
                <w:b/>
                <w:bCs/>
              </w:rPr>
              <w:t xml:space="preserve">Summary: </w:t>
            </w:r>
            <w:r>
              <w:t xml:space="preserve">NT </w:t>
            </w:r>
            <w:r w:rsidR="541F86E0">
              <w:t>H</w:t>
            </w:r>
            <w:r>
              <w:t>ealth analyses coded data for key trends and directs health services to perform manual audits of sepsis cases using an audit survey based on the Clinical Care Standards. The survey is open for one month. The manual audits are very time consuming so have small sample sizes.</w:t>
            </w:r>
          </w:p>
          <w:p w14:paraId="2803E129"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rPr>
                <w:b/>
                <w:bCs/>
              </w:rPr>
              <w:t xml:space="preserve">Sepsis definition: </w:t>
            </w:r>
            <w:r>
              <w:t>Uses explicit sepsis codes to identify sepsis cases.</w:t>
            </w:r>
          </w:p>
          <w:p w14:paraId="37E1A0AF"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rPr>
                <w:b/>
                <w:bCs/>
              </w:rPr>
              <w:t xml:space="preserve">Time Zero: </w:t>
            </w:r>
            <w:r>
              <w:t xml:space="preserve">The administration of medications (including the time of administration) is recorded in the </w:t>
            </w:r>
            <w:r w:rsidRPr="007A56DA">
              <w:t>electronic Medication Management application</w:t>
            </w:r>
            <w:r>
              <w:t xml:space="preserve"> (eMMa) database; however, the time of sepsis diagnosis is not electronically recorded so a manual review of clinical notes is required to determine on a case-by-case basis.</w:t>
            </w:r>
          </w:p>
        </w:tc>
      </w:tr>
      <w:tr w:rsidR="00095527" w14:paraId="3948BE97" w14:textId="77777777" w:rsidTr="190CC2F4">
        <w:tc>
          <w:tcPr>
            <w:cnfStyle w:val="001000000000" w:firstRow="0" w:lastRow="0" w:firstColumn="1" w:lastColumn="0" w:oddVBand="0" w:evenVBand="0" w:oddHBand="0" w:evenHBand="0" w:firstRowFirstColumn="0" w:firstRowLastColumn="0" w:lastRowFirstColumn="0" w:lastRowLastColumn="0"/>
            <w:tcW w:w="846" w:type="dxa"/>
          </w:tcPr>
          <w:p w14:paraId="19A36CF5" w14:textId="77777777" w:rsidR="00095527" w:rsidRPr="00F92172" w:rsidRDefault="00095527" w:rsidP="00095527">
            <w:pPr>
              <w:rPr>
                <w:b w:val="0"/>
                <w:bCs w:val="0"/>
              </w:rPr>
            </w:pPr>
            <w:r w:rsidRPr="00F92172">
              <w:rPr>
                <w:b w:val="0"/>
                <w:bCs w:val="0"/>
              </w:rPr>
              <w:t>QLD</w:t>
            </w:r>
          </w:p>
        </w:tc>
        <w:tc>
          <w:tcPr>
            <w:tcW w:w="8170" w:type="dxa"/>
          </w:tcPr>
          <w:p w14:paraId="2D97AD13" w14:textId="77777777" w:rsidR="00095527" w:rsidRDefault="00095527" w:rsidP="00095527">
            <w:pPr>
              <w:cnfStyle w:val="000000000000" w:firstRow="0" w:lastRow="0" w:firstColumn="0" w:lastColumn="0" w:oddVBand="0" w:evenVBand="0" w:oddHBand="0" w:evenHBand="0" w:firstRowFirstColumn="0" w:firstRowLastColumn="0" w:lastRowFirstColumn="0" w:lastRowLastColumn="0"/>
              <w:rPr>
                <w:lang w:val="en-US"/>
              </w:rPr>
            </w:pPr>
            <w:r>
              <w:rPr>
                <w:b/>
                <w:bCs/>
              </w:rPr>
              <w:t xml:space="preserve">Summary: </w:t>
            </w:r>
            <w:r>
              <w:t xml:space="preserve">Brisbane metro south has a sepsis dashboard </w:t>
            </w:r>
            <w:r>
              <w:rPr>
                <w:lang w:val="en-US"/>
              </w:rPr>
              <w:t>that</w:t>
            </w:r>
            <w:r w:rsidRPr="00F34403">
              <w:rPr>
                <w:lang w:val="en-US"/>
              </w:rPr>
              <w:t xml:space="preserve"> shows 12 months of sepsis performance for each of </w:t>
            </w:r>
            <w:r>
              <w:rPr>
                <w:lang w:val="en-US"/>
              </w:rPr>
              <w:t>the</w:t>
            </w:r>
            <w:r w:rsidRPr="00F34403">
              <w:rPr>
                <w:lang w:val="en-US"/>
              </w:rPr>
              <w:t xml:space="preserve"> five emergency departments.</w:t>
            </w:r>
            <w:r>
              <w:rPr>
                <w:lang w:val="en-US"/>
              </w:rPr>
              <w:t xml:space="preserve"> This is created with mostly automated data extraction from the EMR. The dashboard looks</w:t>
            </w:r>
            <w:r w:rsidRPr="00F34403">
              <w:rPr>
                <w:lang w:val="en-US"/>
              </w:rPr>
              <w:t xml:space="preserve"> at </w:t>
            </w:r>
            <w:r>
              <w:rPr>
                <w:lang w:val="en-US"/>
              </w:rPr>
              <w:t>four</w:t>
            </w:r>
            <w:r w:rsidRPr="00F34403">
              <w:rPr>
                <w:lang w:val="en-US"/>
              </w:rPr>
              <w:t xml:space="preserve"> main quality indicators and one </w:t>
            </w:r>
            <w:r>
              <w:rPr>
                <w:lang w:val="en-US"/>
              </w:rPr>
              <w:t>s</w:t>
            </w:r>
            <w:r w:rsidRPr="00F34403">
              <w:rPr>
                <w:lang w:val="en-US"/>
              </w:rPr>
              <w:t>entinel event indicator</w:t>
            </w:r>
            <w:r>
              <w:rPr>
                <w:lang w:val="en-US"/>
              </w:rPr>
              <w:t>.</w:t>
            </w:r>
          </w:p>
          <w:p w14:paraId="2ED782FA" w14:textId="7DA50CC8" w:rsidR="00095527" w:rsidRDefault="00095527" w:rsidP="00095527">
            <w:pPr>
              <w:cnfStyle w:val="000000000000" w:firstRow="0" w:lastRow="0" w:firstColumn="0" w:lastColumn="0" w:oddVBand="0" w:evenVBand="0" w:oddHBand="0" w:evenHBand="0" w:firstRowFirstColumn="0" w:firstRowLastColumn="0" w:lastRowFirstColumn="0" w:lastRowLastColumn="0"/>
              <w:rPr>
                <w:lang w:val="en-US"/>
              </w:rPr>
            </w:pPr>
            <w:r>
              <w:rPr>
                <w:b/>
                <w:bCs/>
                <w:lang w:val="en-US"/>
              </w:rPr>
              <w:t xml:space="preserve">Sepsis definition: </w:t>
            </w:r>
            <w:r>
              <w:rPr>
                <w:lang w:val="en-US"/>
              </w:rPr>
              <w:t xml:space="preserve">The population cohort </w:t>
            </w:r>
            <w:r w:rsidR="000648F5">
              <w:rPr>
                <w:lang w:val="en-US"/>
              </w:rPr>
              <w:t>used is</w:t>
            </w:r>
            <w:r>
              <w:rPr>
                <w:lang w:val="en-US"/>
              </w:rPr>
              <w:t xml:space="preserve"> patients for whom blood cultures were requested, as </w:t>
            </w:r>
            <w:r w:rsidR="000648F5">
              <w:rPr>
                <w:lang w:val="en-US"/>
              </w:rPr>
              <w:t xml:space="preserve">it </w:t>
            </w:r>
            <w:r>
              <w:rPr>
                <w:lang w:val="en-US"/>
              </w:rPr>
              <w:t xml:space="preserve">implies a </w:t>
            </w:r>
            <w:r w:rsidR="005C7C82">
              <w:rPr>
                <w:lang w:val="en-US"/>
              </w:rPr>
              <w:t>suspected</w:t>
            </w:r>
            <w:r>
              <w:rPr>
                <w:lang w:val="en-US"/>
              </w:rPr>
              <w:t xml:space="preserve"> case of sepsis. </w:t>
            </w:r>
            <w:r w:rsidR="00BE13AC">
              <w:rPr>
                <w:lang w:val="en-US"/>
              </w:rPr>
              <w:t xml:space="preserve">At the time </w:t>
            </w:r>
            <w:r w:rsidR="001B7021">
              <w:rPr>
                <w:lang w:val="en-US"/>
              </w:rPr>
              <w:t>the</w:t>
            </w:r>
            <w:r w:rsidR="00BE13AC">
              <w:rPr>
                <w:lang w:val="en-US"/>
              </w:rPr>
              <w:t xml:space="preserve"> dashboard </w:t>
            </w:r>
            <w:r w:rsidR="001B7021">
              <w:rPr>
                <w:lang w:val="en-US"/>
              </w:rPr>
              <w:lastRenderedPageBreak/>
              <w:t>was</w:t>
            </w:r>
            <w:r w:rsidR="00BE13AC">
              <w:rPr>
                <w:lang w:val="en-US"/>
              </w:rPr>
              <w:t xml:space="preserve"> design</w:t>
            </w:r>
            <w:r w:rsidR="001B7021">
              <w:rPr>
                <w:lang w:val="en-US"/>
              </w:rPr>
              <w:t>ed</w:t>
            </w:r>
            <w:r w:rsidR="00BE13AC">
              <w:rPr>
                <w:lang w:val="en-US"/>
              </w:rPr>
              <w:t xml:space="preserve"> it was not possible to automatically </w:t>
            </w:r>
            <w:r w:rsidR="00FB1D77">
              <w:rPr>
                <w:lang w:val="en-US"/>
              </w:rPr>
              <w:t>identify cases</w:t>
            </w:r>
            <w:r w:rsidR="006B41C1">
              <w:rPr>
                <w:lang w:val="en-US"/>
              </w:rPr>
              <w:t xml:space="preserve"> with</w:t>
            </w:r>
            <w:r w:rsidR="00FB1D77">
              <w:rPr>
                <w:lang w:val="en-US"/>
              </w:rPr>
              <w:t xml:space="preserve"> positive </w:t>
            </w:r>
            <w:r w:rsidR="006B41C1">
              <w:rPr>
                <w:lang w:val="en-US"/>
              </w:rPr>
              <w:t>blood cultures</w:t>
            </w:r>
            <w:r w:rsidR="0020233B">
              <w:rPr>
                <w:lang w:val="en-US"/>
              </w:rPr>
              <w:t xml:space="preserve"> from the extractable </w:t>
            </w:r>
            <w:r w:rsidR="00EF0590">
              <w:rPr>
                <w:lang w:val="en-US"/>
              </w:rPr>
              <w:t>pathology data</w:t>
            </w:r>
            <w:r>
              <w:rPr>
                <w:lang w:val="en-US"/>
              </w:rPr>
              <w:t>.</w:t>
            </w:r>
          </w:p>
          <w:p w14:paraId="1CC878D4" w14:textId="77777777" w:rsidR="00095527" w:rsidRDefault="00095527" w:rsidP="00095527">
            <w:pPr>
              <w:cnfStyle w:val="000000000000" w:firstRow="0" w:lastRow="0" w:firstColumn="0" w:lastColumn="0" w:oddVBand="0" w:evenVBand="0" w:oddHBand="0" w:evenHBand="0" w:firstRowFirstColumn="0" w:firstRowLastColumn="0" w:lastRowFirstColumn="0" w:lastRowLastColumn="0"/>
            </w:pPr>
            <w:r>
              <w:rPr>
                <w:b/>
                <w:bCs/>
              </w:rPr>
              <w:t xml:space="preserve">Time zero: </w:t>
            </w:r>
            <w:r>
              <w:t>The emergency department triage point.</w:t>
            </w:r>
          </w:p>
          <w:p w14:paraId="51D025D8" w14:textId="77777777" w:rsidR="00095527" w:rsidRPr="00E577C5" w:rsidRDefault="00095527" w:rsidP="00095527">
            <w:pPr>
              <w:cnfStyle w:val="000000000000" w:firstRow="0" w:lastRow="0" w:firstColumn="0" w:lastColumn="0" w:oddVBand="0" w:evenVBand="0" w:oddHBand="0" w:evenHBand="0" w:firstRowFirstColumn="0" w:firstRowLastColumn="0" w:lastRowFirstColumn="0" w:lastRowLastColumn="0"/>
            </w:pPr>
            <w:r>
              <w:t>In addition to this automated dashboard, smaller hospitals in Queensland perform manual audits of a small sample of cases coded with explicit sepsis codes for compliance with the Clinical Care Standard indicators.</w:t>
            </w:r>
          </w:p>
        </w:tc>
      </w:tr>
      <w:tr w:rsidR="00095527" w14:paraId="34943DFD" w14:textId="77777777" w:rsidTr="00A82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AE0FF"/>
          </w:tcPr>
          <w:p w14:paraId="36C468A5" w14:textId="77777777" w:rsidR="00095527" w:rsidRPr="00F92172" w:rsidRDefault="00095527" w:rsidP="00095527">
            <w:pPr>
              <w:rPr>
                <w:b w:val="0"/>
                <w:bCs w:val="0"/>
              </w:rPr>
            </w:pPr>
            <w:r w:rsidRPr="00F92172">
              <w:rPr>
                <w:b w:val="0"/>
                <w:bCs w:val="0"/>
              </w:rPr>
              <w:lastRenderedPageBreak/>
              <w:t>SA</w:t>
            </w:r>
          </w:p>
        </w:tc>
        <w:tc>
          <w:tcPr>
            <w:tcW w:w="8170" w:type="dxa"/>
            <w:shd w:val="clear" w:color="auto" w:fill="EAE0FF"/>
          </w:tcPr>
          <w:p w14:paraId="27EF47DA"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rPr>
                <w:b/>
                <w:bCs/>
              </w:rPr>
              <w:t xml:space="preserve">Summary: </w:t>
            </w:r>
            <w:r>
              <w:t>Hospitals in South Australia conduct manual audits of a sample of sepsis cases and have sepsis event reviews where they engage with cases of sepsis after the fact, even if not diagnosed at the time. A temporary trial of a real-time reporting dashboard of sepsis incidences was undertaken for one hospital.</w:t>
            </w:r>
          </w:p>
          <w:p w14:paraId="21A43BBB" w14:textId="77777777" w:rsidR="00095527" w:rsidRPr="00935742" w:rsidRDefault="00095527" w:rsidP="00095527">
            <w:pPr>
              <w:cnfStyle w:val="000000100000" w:firstRow="0" w:lastRow="0" w:firstColumn="0" w:lastColumn="0" w:oddVBand="0" w:evenVBand="0" w:oddHBand="1" w:evenHBand="0" w:firstRowFirstColumn="0" w:firstRowLastColumn="0" w:lastRowFirstColumn="0" w:lastRowLastColumn="0"/>
            </w:pPr>
            <w:r>
              <w:rPr>
                <w:b/>
                <w:bCs/>
                <w:lang w:val="en-US"/>
              </w:rPr>
              <w:t xml:space="preserve">Time zero: </w:t>
            </w:r>
            <w:r>
              <w:rPr>
                <w:lang w:val="en-US"/>
              </w:rPr>
              <w:t>Manually identified on a case-by-case basis.</w:t>
            </w:r>
          </w:p>
        </w:tc>
      </w:tr>
      <w:tr w:rsidR="00095527" w14:paraId="381DD5B1" w14:textId="77777777" w:rsidTr="190CC2F4">
        <w:tc>
          <w:tcPr>
            <w:cnfStyle w:val="001000000000" w:firstRow="0" w:lastRow="0" w:firstColumn="1" w:lastColumn="0" w:oddVBand="0" w:evenVBand="0" w:oddHBand="0" w:evenHBand="0" w:firstRowFirstColumn="0" w:firstRowLastColumn="0" w:lastRowFirstColumn="0" w:lastRowLastColumn="0"/>
            <w:tcW w:w="846" w:type="dxa"/>
          </w:tcPr>
          <w:p w14:paraId="361AF092" w14:textId="77777777" w:rsidR="00095527" w:rsidRPr="00F92172" w:rsidRDefault="00095527" w:rsidP="00095527">
            <w:pPr>
              <w:rPr>
                <w:b w:val="0"/>
                <w:bCs w:val="0"/>
              </w:rPr>
            </w:pPr>
            <w:r w:rsidRPr="00F92172">
              <w:rPr>
                <w:b w:val="0"/>
                <w:bCs w:val="0"/>
              </w:rPr>
              <w:t>TAS</w:t>
            </w:r>
          </w:p>
        </w:tc>
        <w:tc>
          <w:tcPr>
            <w:tcW w:w="8170" w:type="dxa"/>
          </w:tcPr>
          <w:p w14:paraId="428BECD4" w14:textId="26109960" w:rsidR="00095527" w:rsidRDefault="535B812D" w:rsidP="00095527">
            <w:pPr>
              <w:cnfStyle w:val="000000000000" w:firstRow="0" w:lastRow="0" w:firstColumn="0" w:lastColumn="0" w:oddVBand="0" w:evenVBand="0" w:oddHBand="0" w:evenHBand="0" w:firstRowFirstColumn="0" w:firstRowLastColumn="0" w:lastRowFirstColumn="0" w:lastRowLastColumn="0"/>
            </w:pPr>
            <w:r w:rsidRPr="190CC2F4">
              <w:rPr>
                <w:b/>
                <w:bCs/>
              </w:rPr>
              <w:t xml:space="preserve">Summary: </w:t>
            </w:r>
            <w:r w:rsidR="000C7389" w:rsidRPr="004A54BB">
              <w:t>The audit process in Tasmania is heterogeneous among South, Northwest and North</w:t>
            </w:r>
            <w:r w:rsidR="000C7389">
              <w:t>.</w:t>
            </w:r>
            <w:r w:rsidR="000C7389" w:rsidRPr="000C7389">
              <w:rPr>
                <w:b/>
                <w:bCs/>
              </w:rPr>
              <w:t xml:space="preserve"> </w:t>
            </w:r>
            <w:r>
              <w:t>Not currently using an audit tool, but in the process of developing one. Currently only review “</w:t>
            </w:r>
            <w:r w:rsidRPr="190CC2F4">
              <w:rPr>
                <w:i/>
                <w:iCs/>
              </w:rPr>
              <w:t>significant incident events</w:t>
            </w:r>
            <w:r>
              <w:t>”.</w:t>
            </w:r>
          </w:p>
          <w:p w14:paraId="0D09480D" w14:textId="4B6E6808" w:rsidR="00095527" w:rsidRDefault="535B812D" w:rsidP="00095527">
            <w:pPr>
              <w:cnfStyle w:val="000000000000" w:firstRow="0" w:lastRow="0" w:firstColumn="0" w:lastColumn="0" w:oddVBand="0" w:evenVBand="0" w:oddHBand="0" w:evenHBand="0" w:firstRowFirstColumn="0" w:firstRowLastColumn="0" w:lastRowFirstColumn="0" w:lastRowLastColumn="0"/>
            </w:pPr>
            <w:r w:rsidRPr="190CC2F4">
              <w:rPr>
                <w:b/>
                <w:bCs/>
                <w:lang w:val="en-US"/>
              </w:rPr>
              <w:t xml:space="preserve">Sepsis definition: </w:t>
            </w:r>
            <w:r>
              <w:t>Plan to audit using explicit sepsis codes</w:t>
            </w:r>
            <w:r w:rsidR="186D6B92">
              <w:t>, likely with addition of cases identified through use of sepsis pathway</w:t>
            </w:r>
            <w:r w:rsidR="5392F7B7">
              <w:t xml:space="preserve"> which would need to be assessed for sepsis case definition</w:t>
            </w:r>
            <w:r w:rsidR="186D6B92">
              <w:t xml:space="preserve">, </w:t>
            </w:r>
            <w:r>
              <w:t>once a process is established.</w:t>
            </w:r>
          </w:p>
        </w:tc>
      </w:tr>
      <w:tr w:rsidR="00095527" w14:paraId="0443DAC2" w14:textId="77777777" w:rsidTr="00A82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EAE0FF"/>
          </w:tcPr>
          <w:p w14:paraId="6B9BBF44" w14:textId="77777777" w:rsidR="00095527" w:rsidRPr="00F92172" w:rsidRDefault="00095527" w:rsidP="00095527">
            <w:pPr>
              <w:rPr>
                <w:b w:val="0"/>
                <w:bCs w:val="0"/>
              </w:rPr>
            </w:pPr>
            <w:r w:rsidRPr="00F92172">
              <w:rPr>
                <w:b w:val="0"/>
                <w:bCs w:val="0"/>
              </w:rPr>
              <w:t>VIC</w:t>
            </w:r>
          </w:p>
        </w:tc>
        <w:tc>
          <w:tcPr>
            <w:tcW w:w="8170" w:type="dxa"/>
            <w:shd w:val="clear" w:color="auto" w:fill="EAE0FF"/>
          </w:tcPr>
          <w:p w14:paraId="510576FB" w14:textId="77777777" w:rsidR="00095527" w:rsidRPr="00FE0B9C" w:rsidRDefault="00095527" w:rsidP="00095527">
            <w:pPr>
              <w:cnfStyle w:val="000000100000" w:firstRow="0" w:lastRow="0" w:firstColumn="0" w:lastColumn="0" w:oddVBand="0" w:evenVBand="0" w:oddHBand="1" w:evenHBand="0" w:firstRowFirstColumn="0" w:firstRowLastColumn="0" w:lastRowFirstColumn="0" w:lastRowLastColumn="0"/>
              <w:rPr>
                <w:b/>
                <w:bCs/>
              </w:rPr>
            </w:pPr>
            <w:r>
              <w:rPr>
                <w:b/>
                <w:bCs/>
              </w:rPr>
              <w:t xml:space="preserve">Summary: </w:t>
            </w:r>
            <w:r>
              <w:t>Safer Care Victoria developed a toolkit in 2018 to assist the implementations of adult sepsis pathways which recommended a variety of data collection methods due to the range of systems used in Victoria. These included integrating the pathway into the EMR, creating a physical logbook of sepsis cases, or linking the pathway to antibiotic approvals or pathology ordering.</w:t>
            </w:r>
          </w:p>
          <w:p w14:paraId="59B26EF2"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rPr>
                <w:b/>
                <w:bCs/>
                <w:lang w:val="en-US"/>
              </w:rPr>
              <w:t xml:space="preserve">Sepsis definition: </w:t>
            </w:r>
            <w:r>
              <w:t>Advised to use the Victorian admitted episodes dataset (VAED) discharge codes related to sepsis to identify patient cases.</w:t>
            </w:r>
          </w:p>
          <w:p w14:paraId="2D572C1B"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rPr>
                <w:b/>
                <w:bCs/>
              </w:rPr>
              <w:t xml:space="preserve">Time Zero: </w:t>
            </w:r>
            <w:r>
              <w:t>For emergency departments the definition is number of minutes from triage. For wards the definition is from ‘meeting sepsis criteria’ – this information can be collected from the observation chart or medical record (or EMR).</w:t>
            </w:r>
          </w:p>
        </w:tc>
      </w:tr>
      <w:tr w:rsidR="00095527" w14:paraId="29FDB84B" w14:textId="77777777" w:rsidTr="190CC2F4">
        <w:tc>
          <w:tcPr>
            <w:cnfStyle w:val="001000000000" w:firstRow="0" w:lastRow="0" w:firstColumn="1" w:lastColumn="0" w:oddVBand="0" w:evenVBand="0" w:oddHBand="0" w:evenHBand="0" w:firstRowFirstColumn="0" w:firstRowLastColumn="0" w:lastRowFirstColumn="0" w:lastRowLastColumn="0"/>
            <w:tcW w:w="846" w:type="dxa"/>
          </w:tcPr>
          <w:p w14:paraId="3A2BFAE0" w14:textId="77777777" w:rsidR="00095527" w:rsidRPr="00F92172" w:rsidRDefault="00095527" w:rsidP="00095527">
            <w:pPr>
              <w:rPr>
                <w:b w:val="0"/>
                <w:bCs w:val="0"/>
              </w:rPr>
            </w:pPr>
            <w:r w:rsidRPr="00F92172">
              <w:rPr>
                <w:b w:val="0"/>
                <w:bCs w:val="0"/>
              </w:rPr>
              <w:t>WA</w:t>
            </w:r>
          </w:p>
        </w:tc>
        <w:tc>
          <w:tcPr>
            <w:tcW w:w="8170" w:type="dxa"/>
          </w:tcPr>
          <w:p w14:paraId="44443845" w14:textId="77777777" w:rsidR="00095527" w:rsidRDefault="00095527" w:rsidP="00095527">
            <w:pPr>
              <w:cnfStyle w:val="000000000000" w:firstRow="0" w:lastRow="0" w:firstColumn="0" w:lastColumn="0" w:oddVBand="0" w:evenVBand="0" w:oddHBand="0" w:evenHBand="0" w:firstRowFirstColumn="0" w:firstRowLastColumn="0" w:lastRowFirstColumn="0" w:lastRowLastColumn="0"/>
            </w:pPr>
            <w:r>
              <w:rPr>
                <w:b/>
                <w:bCs/>
              </w:rPr>
              <w:t xml:space="preserve">Summary: </w:t>
            </w:r>
            <w:r w:rsidRPr="00176DD9">
              <w:t>W</w:t>
            </w:r>
            <w:r>
              <w:t>estern Australia</w:t>
            </w:r>
            <w:r w:rsidRPr="00176DD9">
              <w:t xml:space="preserve"> has a statewide </w:t>
            </w:r>
            <w:r>
              <w:t>s</w:t>
            </w:r>
            <w:r w:rsidRPr="00176DD9">
              <w:t xml:space="preserve">epsis dashboard </w:t>
            </w:r>
            <w:r>
              <w:t>built from a combination of coded morbidity data,</w:t>
            </w:r>
            <w:r w:rsidRPr="00176DD9">
              <w:t xml:space="preserve"> </w:t>
            </w:r>
            <w:r>
              <w:t xml:space="preserve">death registry and </w:t>
            </w:r>
            <w:r w:rsidRPr="00176DD9">
              <w:t xml:space="preserve">emergency department </w:t>
            </w:r>
            <w:r>
              <w:t>activity data to track sepsis cases and readmissions. WA Health also uses a REDCap survey tool and database to collect data on sepsis cases for Clinical Care Standard indicators.</w:t>
            </w:r>
          </w:p>
          <w:p w14:paraId="082F8131" w14:textId="77777777" w:rsidR="00095527" w:rsidRDefault="00095527" w:rsidP="00095527">
            <w:pPr>
              <w:cnfStyle w:val="000000000000" w:firstRow="0" w:lastRow="0" w:firstColumn="0" w:lastColumn="0" w:oddVBand="0" w:evenVBand="0" w:oddHBand="0" w:evenHBand="0" w:firstRowFirstColumn="0" w:firstRowLastColumn="0" w:lastRowFirstColumn="0" w:lastRowLastColumn="0"/>
            </w:pPr>
            <w:r>
              <w:rPr>
                <w:b/>
                <w:bCs/>
              </w:rPr>
              <w:t>Sepsis definition:</w:t>
            </w:r>
            <w:r>
              <w:t xml:space="preserve"> Uses explicit sepsis codes as well as references to sepsis on discharge summaries.</w:t>
            </w:r>
          </w:p>
          <w:p w14:paraId="217BEB47" w14:textId="77777777" w:rsidR="00095527" w:rsidRDefault="00095527" w:rsidP="00095527">
            <w:pPr>
              <w:cnfStyle w:val="000000000000" w:firstRow="0" w:lastRow="0" w:firstColumn="0" w:lastColumn="0" w:oddVBand="0" w:evenVBand="0" w:oddHBand="0" w:evenHBand="0" w:firstRowFirstColumn="0" w:firstRowLastColumn="0" w:lastRowFirstColumn="0" w:lastRowLastColumn="0"/>
            </w:pPr>
            <w:r w:rsidRPr="005A754E">
              <w:rPr>
                <w:b/>
                <w:bCs/>
              </w:rPr>
              <w:t>Time zero:</w:t>
            </w:r>
            <w:r>
              <w:t xml:space="preserve"> Time of sepsis recognition based on clinical judgement.</w:t>
            </w:r>
          </w:p>
        </w:tc>
      </w:tr>
    </w:tbl>
    <w:p w14:paraId="0593E340" w14:textId="77777777" w:rsidR="00095527" w:rsidRDefault="00095527" w:rsidP="00095527"/>
    <w:p w14:paraId="1581C51A" w14:textId="77777777" w:rsidR="00095527" w:rsidRDefault="00095527" w:rsidP="00095527">
      <w:pPr>
        <w:pStyle w:val="Heading3"/>
      </w:pPr>
      <w:bookmarkStart w:id="68" w:name="_Toc203177426"/>
      <w:r>
        <w:t>ICT infrastructure &amp; Electronic Medical Records</w:t>
      </w:r>
      <w:bookmarkEnd w:id="68"/>
    </w:p>
    <w:p w14:paraId="2E73286D" w14:textId="4470D813" w:rsidR="00095527" w:rsidRDefault="00095527" w:rsidP="00095527">
      <w:r>
        <w:t>A barrier to standardised national data is the variety of digital infrastructure used for data collection and storage across jurisdictions, and the lack of interoperability.</w:t>
      </w:r>
    </w:p>
    <w:p w14:paraId="12E296FF" w14:textId="41C8C12E" w:rsidR="00095527" w:rsidRDefault="00095527" w:rsidP="00095527">
      <w:r>
        <w:lastRenderedPageBreak/>
        <w:t xml:space="preserve">There are a range of medical record systems across Australia including both paper-based and electronic systems. In paper-based systems </w:t>
      </w:r>
      <w:r w:rsidRPr="00207AB6">
        <w:t>patient charts, clinical notes, and discharge summaries are handwritten and later scanned into digital repositories.</w:t>
      </w:r>
    </w:p>
    <w:p w14:paraId="19C76D5C" w14:textId="77777777" w:rsidR="00095527" w:rsidRDefault="00095527" w:rsidP="00095527">
      <w:r>
        <w:t>All ICD-10 coded data is digitally recorded in databases, however, the data fields captured are limited. Extracting additional detail or information from clinical notes such as time to receive antibiotics can require large amounts of staff time to review records. Participants in Queensland noted that manual audits of patient records for sepsis audits requires “hundreds of hours of valuable clinician time”. As a result, an EMR and automated data extraction are crucial for contemporaneous reporting of sepsis data.</w:t>
      </w:r>
    </w:p>
    <w:p w14:paraId="12BB2928" w14:textId="77777777" w:rsidR="00095527" w:rsidRDefault="00095527" w:rsidP="00095527">
      <w:r>
        <w:t>Table 3 summarises the electronic medical record infrastructure in public hospitals across each jurisdiction.</w:t>
      </w:r>
    </w:p>
    <w:tbl>
      <w:tblPr>
        <w:tblStyle w:val="GridTable4-Accent3"/>
        <w:tblW w:w="9121" w:type="dxa"/>
        <w:tblLook w:val="04A0" w:firstRow="1" w:lastRow="0" w:firstColumn="1" w:lastColumn="0" w:noHBand="0" w:noVBand="1"/>
      </w:tblPr>
      <w:tblGrid>
        <w:gridCol w:w="825"/>
        <w:gridCol w:w="8296"/>
      </w:tblGrid>
      <w:tr w:rsidR="00095527" w14:paraId="332DDA5C" w14:textId="77777777" w:rsidTr="00044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1" w:type="dxa"/>
            <w:gridSpan w:val="2"/>
            <w:shd w:val="clear" w:color="auto" w:fill="421A75"/>
          </w:tcPr>
          <w:p w14:paraId="3126A8FE" w14:textId="257018C7" w:rsidR="00095527" w:rsidRDefault="00095527" w:rsidP="00095527">
            <w:r>
              <w:t>Table 3: Electronic Medical Records Systems</w:t>
            </w:r>
          </w:p>
        </w:tc>
      </w:tr>
      <w:tr w:rsidR="000E09F8" w14:paraId="0FA14DE5" w14:textId="77777777" w:rsidTr="00260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EAE0FF"/>
          </w:tcPr>
          <w:p w14:paraId="011EDD35" w14:textId="77777777" w:rsidR="00095527" w:rsidRPr="00F92172" w:rsidRDefault="00095527" w:rsidP="00095527">
            <w:pPr>
              <w:rPr>
                <w:b w:val="0"/>
                <w:bCs w:val="0"/>
              </w:rPr>
            </w:pPr>
            <w:r w:rsidRPr="00F92172">
              <w:rPr>
                <w:b w:val="0"/>
                <w:bCs w:val="0"/>
              </w:rPr>
              <w:t>ACT</w:t>
            </w:r>
          </w:p>
        </w:tc>
        <w:tc>
          <w:tcPr>
            <w:tcW w:w="8296" w:type="dxa"/>
            <w:shd w:val="clear" w:color="auto" w:fill="EAE0FF"/>
          </w:tcPr>
          <w:p w14:paraId="1818EF4E"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t>The ACT has an EMR – the ACT Health Digital Health Record (DHR),</w:t>
            </w:r>
            <w:r w:rsidRPr="00290B48">
              <w:t xml:space="preserve"> in all </w:t>
            </w:r>
            <w:r>
              <w:t>p</w:t>
            </w:r>
            <w:r w:rsidRPr="00290B48">
              <w:t>ublic Hospitals</w:t>
            </w:r>
            <w:r>
              <w:t xml:space="preserve"> since 2022.</w:t>
            </w:r>
          </w:p>
        </w:tc>
      </w:tr>
      <w:tr w:rsidR="00095527" w14:paraId="1B9ECA5F" w14:textId="77777777" w:rsidTr="0022174B">
        <w:tc>
          <w:tcPr>
            <w:cnfStyle w:val="001000000000" w:firstRow="0" w:lastRow="0" w:firstColumn="1" w:lastColumn="0" w:oddVBand="0" w:evenVBand="0" w:oddHBand="0" w:evenHBand="0" w:firstRowFirstColumn="0" w:firstRowLastColumn="0" w:lastRowFirstColumn="0" w:lastRowLastColumn="0"/>
            <w:tcW w:w="0" w:type="dxa"/>
          </w:tcPr>
          <w:p w14:paraId="3A35FEE7" w14:textId="77777777" w:rsidR="00095527" w:rsidRPr="00F92172" w:rsidRDefault="00095527" w:rsidP="00095527">
            <w:pPr>
              <w:rPr>
                <w:b w:val="0"/>
                <w:bCs w:val="0"/>
              </w:rPr>
            </w:pPr>
            <w:r w:rsidRPr="00F92172">
              <w:rPr>
                <w:b w:val="0"/>
                <w:bCs w:val="0"/>
              </w:rPr>
              <w:t>NSW</w:t>
            </w:r>
          </w:p>
        </w:tc>
        <w:tc>
          <w:tcPr>
            <w:tcW w:w="0" w:type="dxa"/>
          </w:tcPr>
          <w:p w14:paraId="4480C8A9" w14:textId="77777777" w:rsidR="00095527" w:rsidRDefault="00095527" w:rsidP="00095527">
            <w:pPr>
              <w:cnfStyle w:val="000000000000" w:firstRow="0" w:lastRow="0" w:firstColumn="0" w:lastColumn="0" w:oddVBand="0" w:evenVBand="0" w:oddHBand="0" w:evenHBand="0" w:firstRowFirstColumn="0" w:firstRowLastColumn="0" w:lastRowFirstColumn="0" w:lastRowLastColumn="0"/>
            </w:pPr>
            <w:r>
              <w:t>NSW has EMRs in all public hospitals. This is currently a patchwork of different systems, but NSW is moving to one Single Digital Patient Record with a roll-out for completion in 2029/30.</w:t>
            </w:r>
          </w:p>
        </w:tc>
      </w:tr>
      <w:tr w:rsidR="000E09F8" w14:paraId="2918D85F" w14:textId="77777777" w:rsidTr="00260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EAE0FF"/>
          </w:tcPr>
          <w:p w14:paraId="35C66339" w14:textId="77777777" w:rsidR="00095527" w:rsidRPr="00F92172" w:rsidRDefault="00095527" w:rsidP="00095527">
            <w:pPr>
              <w:rPr>
                <w:b w:val="0"/>
                <w:bCs w:val="0"/>
              </w:rPr>
            </w:pPr>
            <w:r w:rsidRPr="00F92172">
              <w:rPr>
                <w:b w:val="0"/>
                <w:bCs w:val="0"/>
              </w:rPr>
              <w:t>NT</w:t>
            </w:r>
          </w:p>
        </w:tc>
        <w:tc>
          <w:tcPr>
            <w:tcW w:w="8296" w:type="dxa"/>
            <w:shd w:val="clear" w:color="auto" w:fill="EAE0FF"/>
          </w:tcPr>
          <w:p w14:paraId="16D94AD7"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t>All paper records that are later scanned onto a digital repository.</w:t>
            </w:r>
          </w:p>
        </w:tc>
      </w:tr>
      <w:tr w:rsidR="00095527" w14:paraId="4D01C4B5" w14:textId="77777777" w:rsidTr="0022174B">
        <w:tc>
          <w:tcPr>
            <w:cnfStyle w:val="001000000000" w:firstRow="0" w:lastRow="0" w:firstColumn="1" w:lastColumn="0" w:oddVBand="0" w:evenVBand="0" w:oddHBand="0" w:evenHBand="0" w:firstRowFirstColumn="0" w:firstRowLastColumn="0" w:lastRowFirstColumn="0" w:lastRowLastColumn="0"/>
            <w:tcW w:w="0" w:type="dxa"/>
          </w:tcPr>
          <w:p w14:paraId="39318C2E" w14:textId="77777777" w:rsidR="00095527" w:rsidRPr="00F92172" w:rsidRDefault="00095527" w:rsidP="00095527">
            <w:pPr>
              <w:rPr>
                <w:b w:val="0"/>
                <w:bCs w:val="0"/>
              </w:rPr>
            </w:pPr>
            <w:r w:rsidRPr="00F92172">
              <w:rPr>
                <w:b w:val="0"/>
                <w:bCs w:val="0"/>
              </w:rPr>
              <w:t>QLD</w:t>
            </w:r>
          </w:p>
        </w:tc>
        <w:tc>
          <w:tcPr>
            <w:tcW w:w="0" w:type="dxa"/>
          </w:tcPr>
          <w:p w14:paraId="3CDB881E" w14:textId="77777777" w:rsidR="00095527" w:rsidRDefault="00095527" w:rsidP="00095527">
            <w:pPr>
              <w:cnfStyle w:val="000000000000" w:firstRow="0" w:lastRow="0" w:firstColumn="0" w:lastColumn="0" w:oddVBand="0" w:evenVBand="0" w:oddHBand="0" w:evenHBand="0" w:firstRowFirstColumn="0" w:firstRowLastColumn="0" w:lastRowFirstColumn="0" w:lastRowLastColumn="0"/>
            </w:pPr>
            <w:r>
              <w:t>The integrated electronic Medical Record (ieMR) is a unified EMR that has been rolled out in most hospitals in Queensland but not all. Smaller rural and regional hospitals still use paper records. The EMR roll-out is scheduled to finish in late 2020s.</w:t>
            </w:r>
          </w:p>
        </w:tc>
      </w:tr>
      <w:tr w:rsidR="000E09F8" w14:paraId="1C5D420A" w14:textId="77777777" w:rsidTr="00260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EAE0FF"/>
          </w:tcPr>
          <w:p w14:paraId="57E43D7A" w14:textId="77777777" w:rsidR="00095527" w:rsidRPr="00F92172" w:rsidRDefault="00095527" w:rsidP="00095527">
            <w:pPr>
              <w:rPr>
                <w:b w:val="0"/>
                <w:bCs w:val="0"/>
              </w:rPr>
            </w:pPr>
            <w:r w:rsidRPr="00F92172">
              <w:rPr>
                <w:b w:val="0"/>
                <w:bCs w:val="0"/>
              </w:rPr>
              <w:t>SA</w:t>
            </w:r>
          </w:p>
        </w:tc>
        <w:tc>
          <w:tcPr>
            <w:tcW w:w="8296" w:type="dxa"/>
            <w:shd w:val="clear" w:color="auto" w:fill="EAE0FF"/>
          </w:tcPr>
          <w:p w14:paraId="6A175679"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rsidRPr="00803AD0">
              <w:t>Sunrise EMR is a state-based electronic medical record used at</w:t>
            </w:r>
            <w:r>
              <w:t xml:space="preserve"> all</w:t>
            </w:r>
            <w:r w:rsidRPr="00803AD0">
              <w:t xml:space="preserve"> public hospitals</w:t>
            </w:r>
            <w:r>
              <w:t xml:space="preserve"> in South Australia. The roll-out was completed in March 2025.</w:t>
            </w:r>
          </w:p>
        </w:tc>
      </w:tr>
      <w:tr w:rsidR="00095527" w14:paraId="571532E3" w14:textId="77777777" w:rsidTr="0022174B">
        <w:tc>
          <w:tcPr>
            <w:cnfStyle w:val="001000000000" w:firstRow="0" w:lastRow="0" w:firstColumn="1" w:lastColumn="0" w:oddVBand="0" w:evenVBand="0" w:oddHBand="0" w:evenHBand="0" w:firstRowFirstColumn="0" w:firstRowLastColumn="0" w:lastRowFirstColumn="0" w:lastRowLastColumn="0"/>
            <w:tcW w:w="0" w:type="dxa"/>
          </w:tcPr>
          <w:p w14:paraId="40BB4A8E" w14:textId="77777777" w:rsidR="00095527" w:rsidRPr="00F92172" w:rsidRDefault="00095527" w:rsidP="00095527">
            <w:pPr>
              <w:rPr>
                <w:b w:val="0"/>
                <w:bCs w:val="0"/>
              </w:rPr>
            </w:pPr>
            <w:r w:rsidRPr="00F92172">
              <w:rPr>
                <w:b w:val="0"/>
                <w:bCs w:val="0"/>
              </w:rPr>
              <w:t>TAS</w:t>
            </w:r>
          </w:p>
        </w:tc>
        <w:tc>
          <w:tcPr>
            <w:tcW w:w="0" w:type="dxa"/>
          </w:tcPr>
          <w:p w14:paraId="6C280A04" w14:textId="175F4D77" w:rsidR="00095527" w:rsidRDefault="00095527" w:rsidP="00095527">
            <w:pPr>
              <w:cnfStyle w:val="000000000000" w:firstRow="0" w:lastRow="0" w:firstColumn="0" w:lastColumn="0" w:oddVBand="0" w:evenVBand="0" w:oddHBand="0" w:evenHBand="0" w:firstRowFirstColumn="0" w:firstRowLastColumn="0" w:lastRowFirstColumn="0" w:lastRowLastColumn="0"/>
            </w:pPr>
            <w:r>
              <w:t>Emergency department admissions are electronic, but all other records are paper based. The paper-based records are scanned after discharge to the Digital Medical Records</w:t>
            </w:r>
            <w:r w:rsidR="48BCCD2C">
              <w:t xml:space="preserve"> (DMR)</w:t>
            </w:r>
            <w:r>
              <w:t>. For all major hospitals, all admission notes are scanned, but for district hospitals only discharge summaries are scanned.</w:t>
            </w:r>
          </w:p>
        </w:tc>
      </w:tr>
      <w:tr w:rsidR="000E09F8" w14:paraId="0656D1F1" w14:textId="77777777" w:rsidTr="00260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EAE0FF"/>
          </w:tcPr>
          <w:p w14:paraId="634E1CFB" w14:textId="77777777" w:rsidR="00095527" w:rsidRPr="00F92172" w:rsidRDefault="00095527" w:rsidP="00095527">
            <w:pPr>
              <w:rPr>
                <w:b w:val="0"/>
                <w:bCs w:val="0"/>
              </w:rPr>
            </w:pPr>
            <w:r w:rsidRPr="00F92172">
              <w:rPr>
                <w:b w:val="0"/>
                <w:bCs w:val="0"/>
              </w:rPr>
              <w:t>VIC</w:t>
            </w:r>
          </w:p>
        </w:tc>
        <w:tc>
          <w:tcPr>
            <w:tcW w:w="8296" w:type="dxa"/>
            <w:shd w:val="clear" w:color="auto" w:fill="EAE0FF"/>
          </w:tcPr>
          <w:p w14:paraId="46BAC650" w14:textId="77777777" w:rsidR="00095527" w:rsidRDefault="00095527" w:rsidP="00095527">
            <w:pPr>
              <w:cnfStyle w:val="000000100000" w:firstRow="0" w:lastRow="0" w:firstColumn="0" w:lastColumn="0" w:oddVBand="0" w:evenVBand="0" w:oddHBand="1" w:evenHBand="0" w:firstRowFirstColumn="0" w:firstRowLastColumn="0" w:lastRowFirstColumn="0" w:lastRowLastColumn="0"/>
            </w:pPr>
            <w:r>
              <w:t>Most public hospitals in Victoria have EMRs, but some smaller hospitals still use paper records. Victoria has 60 local hospital network areas, with a patchwork of different systems across network areas. Victoria Health maintains a standard of a minimum set of functional requirements and interoperability for all EMRs.</w:t>
            </w:r>
          </w:p>
        </w:tc>
      </w:tr>
      <w:tr w:rsidR="00095527" w14:paraId="1BF70F65" w14:textId="77777777" w:rsidTr="0022174B">
        <w:tc>
          <w:tcPr>
            <w:cnfStyle w:val="001000000000" w:firstRow="0" w:lastRow="0" w:firstColumn="1" w:lastColumn="0" w:oddVBand="0" w:evenVBand="0" w:oddHBand="0" w:evenHBand="0" w:firstRowFirstColumn="0" w:firstRowLastColumn="0" w:lastRowFirstColumn="0" w:lastRowLastColumn="0"/>
            <w:tcW w:w="0" w:type="dxa"/>
          </w:tcPr>
          <w:p w14:paraId="4BC0CD16" w14:textId="77777777" w:rsidR="00095527" w:rsidRPr="00F92172" w:rsidRDefault="00095527" w:rsidP="00095527">
            <w:pPr>
              <w:rPr>
                <w:b w:val="0"/>
                <w:bCs w:val="0"/>
              </w:rPr>
            </w:pPr>
            <w:r w:rsidRPr="00F92172">
              <w:rPr>
                <w:b w:val="0"/>
                <w:bCs w:val="0"/>
              </w:rPr>
              <w:t>WA</w:t>
            </w:r>
          </w:p>
        </w:tc>
        <w:tc>
          <w:tcPr>
            <w:tcW w:w="0" w:type="dxa"/>
          </w:tcPr>
          <w:p w14:paraId="3E88AA39" w14:textId="574AE382" w:rsidR="00095527" w:rsidRDefault="00095527" w:rsidP="00095527">
            <w:pPr>
              <w:cnfStyle w:val="000000000000" w:firstRow="0" w:lastRow="0" w:firstColumn="0" w:lastColumn="0" w:oddVBand="0" w:evenVBand="0" w:oddHBand="0" w:evenHBand="0" w:firstRowFirstColumn="0" w:firstRowLastColumn="0" w:lastRowFirstColumn="0" w:lastRowLastColumn="0"/>
            </w:pPr>
            <w:r>
              <w:t xml:space="preserve">Western Australia has </w:t>
            </w:r>
            <w:r w:rsidR="3FB7E9B4">
              <w:t>D</w:t>
            </w:r>
            <w:r w:rsidR="2AE45158">
              <w:t>igital Medical Records (DMR)</w:t>
            </w:r>
            <w:r>
              <w:t xml:space="preserve"> in many metropolitan public hospitals, but not in regional or rural hospitals where paper-based systems are still standard. In April 2025 WA Health released an expression of interest for a single statewide EMR solution</w:t>
            </w:r>
            <w:r w:rsidR="00BC752B">
              <w:t xml:space="preserve"> that will replace the DMR</w:t>
            </w:r>
            <w:r>
              <w:t>, with an expected 10-year phase-in period.</w:t>
            </w:r>
          </w:p>
        </w:tc>
      </w:tr>
    </w:tbl>
    <w:p w14:paraId="7016627E" w14:textId="77777777" w:rsidR="00095527" w:rsidRDefault="00095527" w:rsidP="00095527">
      <w:pPr>
        <w:pStyle w:val="Heading4"/>
        <w:spacing w:before="240"/>
      </w:pPr>
      <w:bookmarkStart w:id="69" w:name="_Toc203177427"/>
      <w:r>
        <w:lastRenderedPageBreak/>
        <w:t>Automation and Artificial Intelligence (AI)</w:t>
      </w:r>
      <w:bookmarkEnd w:id="69"/>
    </w:p>
    <w:p w14:paraId="25CD5C95" w14:textId="0C92CB9B" w:rsidR="00095527" w:rsidRDefault="00095527" w:rsidP="00095527">
      <w:r>
        <w:t xml:space="preserve">Participants noted that AI presents significant opportunities to improve clinical diagnosis of sepsis and reduce the time from data collection to diagnosis. Although hospitals with established EMRs and data analytics capabilities can begin to take advantage of AI, given the mix of hospitals </w:t>
      </w:r>
      <w:r w:rsidR="52ACFB59">
        <w:t>that</w:t>
      </w:r>
      <w:r>
        <w:t xml:space="preserve"> rely on </w:t>
      </w:r>
      <w:r w:rsidR="00BC752B">
        <w:t>paper-based</w:t>
      </w:r>
      <w:r>
        <w:t xml:space="preserve"> records versus those using an EMR, any opportunities for the widespread use of AI will be dependent on ICT investment and development of systems </w:t>
      </w:r>
      <w:r w:rsidR="78DD67F3">
        <w:t>to</w:t>
      </w:r>
      <w:r>
        <w:t xml:space="preserve"> provide timely accessible data. Feedback from participants is that based on previous AI projects, further work </w:t>
      </w:r>
      <w:r w:rsidR="7BA2BBCB">
        <w:t>is required</w:t>
      </w:r>
      <w:r>
        <w:t xml:space="preserve"> </w:t>
      </w:r>
      <w:r w:rsidR="006D786B">
        <w:t xml:space="preserve">over the longer term </w:t>
      </w:r>
      <w:r>
        <w:t>on the use of AI and its ability to accurately interpret clinical notes to inform patient care.</w:t>
      </w:r>
    </w:p>
    <w:p w14:paraId="52658DAE" w14:textId="77777777" w:rsidR="00095527" w:rsidRDefault="00095527" w:rsidP="00095527">
      <w:pPr>
        <w:pStyle w:val="Heading3"/>
      </w:pPr>
      <w:bookmarkStart w:id="70" w:name="_Toc203177428"/>
      <w:r>
        <w:t>Data Linkages and Interoperability</w:t>
      </w:r>
      <w:bookmarkEnd w:id="70"/>
    </w:p>
    <w:p w14:paraId="1CF925FA" w14:textId="084D531B" w:rsidR="00095527" w:rsidRDefault="00095527" w:rsidP="00095527">
      <w:r>
        <w:t xml:space="preserve">Sepsis is a condition that often spans multiple points of care meaning relevant data is collected by different entities throughout the patient journey, </w:t>
      </w:r>
      <w:r w:rsidRPr="00680232">
        <w:t>resulting in fragmented data sets of</w:t>
      </w:r>
      <w:r>
        <w:t xml:space="preserve"> varying value.</w:t>
      </w:r>
    </w:p>
    <w:p w14:paraId="1D32B287" w14:textId="77777777" w:rsidR="00095527" w:rsidRDefault="00095527" w:rsidP="00095527">
      <w:pPr>
        <w:pStyle w:val="Heading4"/>
        <w:spacing w:before="240"/>
      </w:pPr>
      <w:r w:rsidRPr="00AE156C">
        <w:t>Primary Health data</w:t>
      </w:r>
    </w:p>
    <w:p w14:paraId="3CF79C31" w14:textId="27293870" w:rsidR="00095527" w:rsidRDefault="00095527" w:rsidP="00095527">
      <w:r>
        <w:t>The primary health sector (including, general practitioners, and pharmacists) plays an important role in the identification of sepsis and supporting survivors of sepsis. Most jurisdictions share very little data between primary health care and hospitals. T</w:t>
      </w:r>
      <w:r w:rsidRPr="003A11E3">
        <w:t>here are some projects to address this such as the Lumos project, a collaboration between</w:t>
      </w:r>
      <w:r w:rsidRPr="00DD10D1">
        <w:t xml:space="preserve"> the NSW Ministry of Health, NSW Primary Health Networks (PHNs) and general practices.</w:t>
      </w:r>
      <w:r w:rsidRPr="00DD10D1">
        <w:rPr>
          <w:rStyle w:val="FootnoteReference"/>
        </w:rPr>
        <w:footnoteReference w:id="55"/>
      </w:r>
      <w:r w:rsidRPr="003A11E3">
        <w:t xml:space="preserve"> </w:t>
      </w:r>
      <w:r w:rsidRPr="00DD10D1">
        <w:t>In Lumos, de-identified patient data from primary care</w:t>
      </w:r>
      <w:r>
        <w:t xml:space="preserve"> settings is </w:t>
      </w:r>
      <w:r w:rsidRPr="00DD10D1">
        <w:t xml:space="preserve">linked with other </w:t>
      </w:r>
      <w:r>
        <w:t>public</w:t>
      </w:r>
      <w:r w:rsidRPr="00DD10D1">
        <w:t xml:space="preserve"> hospital</w:t>
      </w:r>
      <w:r>
        <w:t xml:space="preserve"> </w:t>
      </w:r>
      <w:r w:rsidRPr="00CE75FF">
        <w:t>health service</w:t>
      </w:r>
      <w:r>
        <w:t>s</w:t>
      </w:r>
      <w:r w:rsidRPr="00CE75FF">
        <w:t xml:space="preserve"> data</w:t>
      </w:r>
      <w:r w:rsidRPr="00DD10D1">
        <w:t xml:space="preserve"> to provide a comprehensive view of patient journeys.</w:t>
      </w:r>
    </w:p>
    <w:p w14:paraId="022FD1A8" w14:textId="77777777" w:rsidR="00095527" w:rsidRDefault="00095527" w:rsidP="00095527">
      <w:r>
        <w:t xml:space="preserve">Currently all jurisdictions provide discharge letters which can be given to primary health care providers. However, participants noted that in many cases no reference to sepsis is included in the discharge letters and no consistent approach to what information is recorded in discharge letters for sepsis patients. </w:t>
      </w:r>
      <w:r w:rsidRPr="00DD10D1">
        <w:t xml:space="preserve">The CSIRO Sparked initiative is developing a core set of Fast Healthcare </w:t>
      </w:r>
      <w:r>
        <w:t>I</w:t>
      </w:r>
      <w:r w:rsidRPr="00DD10D1">
        <w:t xml:space="preserve">nteroperable </w:t>
      </w:r>
      <w:r>
        <w:t>R</w:t>
      </w:r>
      <w:r w:rsidRPr="00DD10D1">
        <w:t>esources (FHIR)</w:t>
      </w:r>
      <w:r>
        <w:t>, with</w:t>
      </w:r>
      <w:r w:rsidRPr="00DD10D1">
        <w:t xml:space="preserve"> </w:t>
      </w:r>
      <w:r>
        <w:t>o</w:t>
      </w:r>
      <w:r w:rsidRPr="00DD10D1">
        <w:t xml:space="preserve">ne component of </w:t>
      </w:r>
      <w:r>
        <w:t>the project aimed at</w:t>
      </w:r>
      <w:r w:rsidRPr="00DD10D1">
        <w:t xml:space="preserve"> developing standardised patient summaries on discharge to assist information sharing between hospitals and primary care.</w:t>
      </w:r>
      <w:r w:rsidRPr="00DD10D1">
        <w:rPr>
          <w:rStyle w:val="FootnoteReference"/>
        </w:rPr>
        <w:footnoteReference w:id="56"/>
      </w:r>
    </w:p>
    <w:p w14:paraId="110FD0B8" w14:textId="0909BA81" w:rsidR="007B36D0" w:rsidRDefault="000635F4" w:rsidP="00095527">
      <w:r>
        <w:t>There</w:t>
      </w:r>
      <w:r w:rsidR="00B74D63">
        <w:t xml:space="preserve"> may also be valuable information in the</w:t>
      </w:r>
      <w:r w:rsidR="00A72F5D">
        <w:t xml:space="preserve"> </w:t>
      </w:r>
      <w:r w:rsidR="003A6F33" w:rsidRPr="00A72F5D">
        <w:t>Medicine Insight</w:t>
      </w:r>
      <w:r w:rsidR="00B74D63">
        <w:t xml:space="preserve"> </w:t>
      </w:r>
      <w:r w:rsidR="0076505A">
        <w:t>data</w:t>
      </w:r>
      <w:r w:rsidR="005B3F42">
        <w:t xml:space="preserve"> </w:t>
      </w:r>
      <w:r w:rsidR="0076505A">
        <w:t>set. Medicine Insight</w:t>
      </w:r>
      <w:r w:rsidR="00A72F5D" w:rsidRPr="00A72F5D">
        <w:t xml:space="preserve"> is a national primary health care data program run by the Commission</w:t>
      </w:r>
      <w:r w:rsidR="00B62EB2">
        <w:t xml:space="preserve"> </w:t>
      </w:r>
      <w:r w:rsidR="0076505A">
        <w:t>that</w:t>
      </w:r>
      <w:r w:rsidR="00B62EB2">
        <w:t xml:space="preserve"> collects </w:t>
      </w:r>
      <w:r w:rsidR="00F22FFC" w:rsidRPr="00F22FFC">
        <w:t>longitudinal, non-identifiable data</w:t>
      </w:r>
      <w:r w:rsidR="0076505A">
        <w:t xml:space="preserve"> from participating</w:t>
      </w:r>
      <w:r w:rsidR="0076505A" w:rsidRPr="00F22FFC">
        <w:t xml:space="preserve"> </w:t>
      </w:r>
      <w:r w:rsidR="0076505A">
        <w:t>primary</w:t>
      </w:r>
      <w:r w:rsidR="0076505A" w:rsidRPr="00F22FFC">
        <w:t xml:space="preserve"> practice</w:t>
      </w:r>
      <w:r w:rsidR="0076505A">
        <w:t>s</w:t>
      </w:r>
      <w:r w:rsidR="00B0603D">
        <w:t>,</w:t>
      </w:r>
      <w:r w:rsidR="00F22FFC" w:rsidRPr="00F22FFC">
        <w:t xml:space="preserve"> from the patient medical records </w:t>
      </w:r>
      <w:r w:rsidR="0076505A">
        <w:t>in</w:t>
      </w:r>
      <w:r w:rsidR="00B62EB2">
        <w:t xml:space="preserve"> the software used to write prescriptions.</w:t>
      </w:r>
      <w:r w:rsidR="005A5B97">
        <w:rPr>
          <w:rStyle w:val="FootnoteReference"/>
        </w:rPr>
        <w:footnoteReference w:id="57"/>
      </w:r>
    </w:p>
    <w:p w14:paraId="7F8AC2F0" w14:textId="77777777" w:rsidR="00095527" w:rsidRDefault="00095527" w:rsidP="00095527">
      <w:pPr>
        <w:pStyle w:val="Heading4"/>
        <w:spacing w:before="240"/>
      </w:pPr>
      <w:bookmarkStart w:id="71" w:name="_Toc203177430"/>
      <w:r>
        <w:t>Ambulance data</w:t>
      </w:r>
      <w:bookmarkEnd w:id="71"/>
    </w:p>
    <w:p w14:paraId="09657824" w14:textId="08F00825" w:rsidR="00095527" w:rsidRDefault="00095527" w:rsidP="00095527">
      <w:r>
        <w:t xml:space="preserve">In most jurisdictions there is little to no </w:t>
      </w:r>
      <w:r w:rsidR="00A50B81">
        <w:t xml:space="preserve">regular reporting </w:t>
      </w:r>
      <w:r>
        <w:t>between hospital and ambulance data. A</w:t>
      </w:r>
      <w:r w:rsidRPr="005242BB">
        <w:t xml:space="preserve">s </w:t>
      </w:r>
      <w:r w:rsidRPr="00CE75FF">
        <w:t>80% of sepsis cases occur in the community</w:t>
      </w:r>
      <w:r>
        <w:t>,</w:t>
      </w:r>
      <w:r w:rsidRPr="00CE75FF">
        <w:rPr>
          <w:rStyle w:val="FootnoteReference"/>
        </w:rPr>
        <w:footnoteReference w:id="58"/>
      </w:r>
      <w:r>
        <w:t xml:space="preserve"> participants agreed that </w:t>
      </w:r>
      <w:r w:rsidR="00753908">
        <w:t>more coordinated</w:t>
      </w:r>
      <w:r w:rsidR="004E4E69">
        <w:t xml:space="preserve"> reporting of admission and</w:t>
      </w:r>
      <w:r>
        <w:t xml:space="preserve"> ambulance data could be useful for training paramedics in the recognition of sepsis by providing confirmation of sepsis diagnosis</w:t>
      </w:r>
      <w:r w:rsidRPr="005242BB">
        <w:t>.</w:t>
      </w:r>
    </w:p>
    <w:p w14:paraId="14BEA65E" w14:textId="338A1108" w:rsidR="00095527" w:rsidRDefault="00095527" w:rsidP="00095527">
      <w:r>
        <w:lastRenderedPageBreak/>
        <w:t>In Queensland there is some linkage between hospital and ambulance data, with paramedics able to access limited data through a master linkage file. This enables them to view information such as the ICD-10 code attached to a case and patient outcomes. However, there is currently no reporting provided to ambulance services specifically for sepsis.</w:t>
      </w:r>
    </w:p>
    <w:p w14:paraId="71011AD8" w14:textId="77777777" w:rsidR="00095527" w:rsidRPr="00AE156C" w:rsidRDefault="00095527" w:rsidP="00095527">
      <w:pPr>
        <w:pStyle w:val="Heading4"/>
        <w:spacing w:before="240"/>
      </w:pPr>
      <w:bookmarkStart w:id="72" w:name="_Toc203177433"/>
      <w:r>
        <w:t>Pathology</w:t>
      </w:r>
      <w:bookmarkEnd w:id="72"/>
    </w:p>
    <w:p w14:paraId="526FC13C" w14:textId="77777777" w:rsidR="00095527" w:rsidRDefault="00095527" w:rsidP="00095527">
      <w:r>
        <w:t>Pathology, the collection and analysis of blood samples is an important aspect of sepsis diagnosis and treatment. Participants raised the value of tracking the types of bacteria responsible for sepsis cases. However, many participants noted that this data is usually not in a format where it can be easily extracted and tracked.</w:t>
      </w:r>
    </w:p>
    <w:p w14:paraId="245502E0" w14:textId="77777777" w:rsidR="00095527" w:rsidRDefault="00095527" w:rsidP="00095527">
      <w:pPr>
        <w:pStyle w:val="Heading3"/>
      </w:pPr>
      <w:bookmarkStart w:id="73" w:name="_Toc203177434"/>
      <w:r>
        <w:t>Patient data and feedback</w:t>
      </w:r>
      <w:bookmarkEnd w:id="73"/>
    </w:p>
    <w:p w14:paraId="6C5C0A50" w14:textId="2035C438" w:rsidR="00095527" w:rsidRDefault="00095527" w:rsidP="00095527">
      <w:r>
        <w:t xml:space="preserve">Participants confirmed that </w:t>
      </w:r>
      <w:r w:rsidRPr="00D42791">
        <w:t>Patient Reported Experience Measures (PREMs) and Patient Reported Outcome Measures (PROMs)</w:t>
      </w:r>
      <w:r>
        <w:t xml:space="preserve"> surveys were used by health services across all jurisdictions. The </w:t>
      </w:r>
      <w:r w:rsidRPr="006A06B9">
        <w:t>Australian Hospital Patient Experience Question Set</w:t>
      </w:r>
      <w:r>
        <w:t xml:space="preserve"> released by the Commission in 2018 is a nationally consistent set of PREMs questions. The response from this survey forms part of the Sepsis Clinical Care Standards indicators – </w:t>
      </w:r>
      <w:r w:rsidRPr="00DD10D1">
        <w:rPr>
          <w:i/>
          <w:iCs/>
        </w:rPr>
        <w:t>5a-Proportion of patients with sepsis who reported they were kept informed as much as they wanted about their treatment and care</w:t>
      </w:r>
      <w:r>
        <w:t>.</w:t>
      </w:r>
    </w:p>
    <w:p w14:paraId="22048F15" w14:textId="04B7008B" w:rsidR="00095527" w:rsidRPr="000C133C" w:rsidRDefault="00095527" w:rsidP="00095527">
      <w:r>
        <w:t>Despite these feedback mechanisms, survivors noted the l</w:t>
      </w:r>
      <w:r w:rsidRPr="00D26CA3">
        <w:t xml:space="preserve">ack of accessible, understandable data for consumers on </w:t>
      </w:r>
      <w:r>
        <w:t>s</w:t>
      </w:r>
      <w:r w:rsidRPr="00D26CA3">
        <w:t>epsis prevalence, risks, and diagnosis</w:t>
      </w:r>
      <w:r>
        <w:t>. They shared that during the treatment of sepsis in hospital, difficult decisions about treatment had to be made by family members without access to reliable and contemporary data on potential outcomes of sepsis treatment options and what it would mean for patients.</w:t>
      </w:r>
    </w:p>
    <w:p w14:paraId="23F1E163" w14:textId="77777777" w:rsidR="00095527" w:rsidRDefault="00095527" w:rsidP="00095527">
      <w:pPr>
        <w:pStyle w:val="Heading4"/>
        <w:spacing w:before="240"/>
      </w:pPr>
      <w:r>
        <w:t>Post-sepsis syndrome</w:t>
      </w:r>
    </w:p>
    <w:p w14:paraId="116054C1" w14:textId="4C1AB9E6" w:rsidR="00095527" w:rsidRDefault="00095527" w:rsidP="00095527">
      <w:r w:rsidRPr="005D22AA">
        <w:t>Post-sepsis syndrome is a condition that affects up to 50% of sepsis survivors.</w:t>
      </w:r>
      <w:r>
        <w:rPr>
          <w:rStyle w:val="FootnoteReference"/>
        </w:rPr>
        <w:footnoteReference w:id="59"/>
      </w:r>
      <w:r>
        <w:t xml:space="preserve"> Participants noted that limited data is collected on post-sepsis syndrome as many of the symptoms will be experienced without interacting with the hospital. Sepsis survivors shared that this is an area where additional data would be highly valuable as it would aid with recovery planning and provide some comfort to patients that what they are experiencing is not unique to them but a common side effect of sepsis.</w:t>
      </w:r>
    </w:p>
    <w:p w14:paraId="355E7491" w14:textId="1E25F13C" w:rsidR="006D04D5" w:rsidRDefault="00095527" w:rsidP="00095527">
      <w:r>
        <w:t>Survivors also noted that the lack of linkage between existing</w:t>
      </w:r>
      <w:r w:rsidRPr="00877546">
        <w:t xml:space="preserve"> </w:t>
      </w:r>
      <w:r>
        <w:t>health services</w:t>
      </w:r>
      <w:r w:rsidRPr="00877546">
        <w:t xml:space="preserve"> data and </w:t>
      </w:r>
      <w:r>
        <w:t>the</w:t>
      </w:r>
      <w:r w:rsidRPr="00877546">
        <w:t xml:space="preserve"> N</w:t>
      </w:r>
      <w:r>
        <w:t>DI</w:t>
      </w:r>
      <w:r w:rsidRPr="00877546">
        <w:t>S</w:t>
      </w:r>
      <w:r>
        <w:t xml:space="preserve"> can make it difficult to access support services, particularly where the term sepsis was not included in discharge papers.</w:t>
      </w:r>
    </w:p>
    <w:p w14:paraId="30A43BCD" w14:textId="77777777" w:rsidR="006D04D5" w:rsidRDefault="006D04D5">
      <w:pPr>
        <w:snapToGrid/>
        <w:spacing w:before="0" w:after="0" w:line="240" w:lineRule="auto"/>
        <w:jc w:val="left"/>
      </w:pPr>
      <w:r>
        <w:br w:type="page"/>
      </w:r>
    </w:p>
    <w:p w14:paraId="0B8C3DA7" w14:textId="0C904925" w:rsidR="00D37606" w:rsidRPr="00D37606" w:rsidRDefault="006D04D5" w:rsidP="00095527">
      <w:r>
        <w:rPr>
          <w:noProof/>
        </w:rPr>
        <w:lastRenderedPageBreak/>
        <mc:AlternateContent>
          <mc:Choice Requires="wps">
            <w:drawing>
              <wp:anchor distT="0" distB="0" distL="114300" distR="114300" simplePos="0" relativeHeight="251672585" behindDoc="0" locked="0" layoutInCell="1" allowOverlap="1" wp14:anchorId="1652D00F" wp14:editId="01D11AFC">
                <wp:simplePos x="0" y="0"/>
                <wp:positionH relativeFrom="column">
                  <wp:posOffset>-272330</wp:posOffset>
                </wp:positionH>
                <wp:positionV relativeFrom="paragraph">
                  <wp:posOffset>6605147</wp:posOffset>
                </wp:positionV>
                <wp:extent cx="3345886" cy="2072738"/>
                <wp:effectExtent l="0" t="0" r="6985" b="3810"/>
                <wp:wrapNone/>
                <wp:docPr id="66082305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5886" cy="2072738"/>
                        </a:xfrm>
                        <a:prstGeom prst="rect">
                          <a:avLst/>
                        </a:prstGeom>
                        <a:noFill/>
                        <a:ln w="6350">
                          <a:noFill/>
                        </a:ln>
                      </wps:spPr>
                      <wps:txbx>
                        <w:txbxContent>
                          <w:p w14:paraId="44A18102" w14:textId="77777777" w:rsidR="006D04D5" w:rsidRPr="009527AE" w:rsidRDefault="006D04D5" w:rsidP="006D04D5">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06154A17" wp14:editId="79C819BC">
                                  <wp:extent cx="1697040" cy="586800"/>
                                  <wp:effectExtent l="0" t="0" r="0" b="3810"/>
                                  <wp:docPr id="12" name="Graphic 11">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pic:cNvPr>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1697040" cy="586800"/>
                                          </a:xfrm>
                                          <a:prstGeom prst="rect">
                                            <a:avLst/>
                                          </a:prstGeom>
                                        </pic:spPr>
                                      </pic:pic>
                                    </a:graphicData>
                                  </a:graphic>
                                </wp:inline>
                              </w:drawing>
                            </w:r>
                          </w:p>
                          <w:p w14:paraId="02DF02D2" w14:textId="77777777" w:rsidR="006D04D5" w:rsidRPr="009527AE" w:rsidRDefault="006D04D5" w:rsidP="006D04D5">
                            <w:pPr>
                              <w:spacing w:before="0" w:after="0" w:line="264" w:lineRule="auto"/>
                              <w:rPr>
                                <w:color w:val="FFFFFF" w:themeColor="background1"/>
                              </w:rPr>
                            </w:pPr>
                          </w:p>
                          <w:p w14:paraId="407BE4A4" w14:textId="77777777" w:rsidR="006D04D5" w:rsidRPr="009527AE" w:rsidRDefault="006D04D5" w:rsidP="006D04D5">
                            <w:pPr>
                              <w:pStyle w:val="NoSpacing"/>
                              <w:spacing w:line="264" w:lineRule="auto"/>
                              <w:rPr>
                                <w:color w:val="FFFFFF" w:themeColor="background1"/>
                              </w:rPr>
                            </w:pPr>
                            <w:r w:rsidRPr="009527AE">
                              <w:rPr>
                                <w:color w:val="FFFFFF" w:themeColor="background1"/>
                              </w:rPr>
                              <w:t xml:space="preserve">T. +61 2 </w:t>
                            </w:r>
                            <w:r w:rsidRPr="00BD2982">
                              <w:rPr>
                                <w:color w:val="FFFFFF" w:themeColor="background1"/>
                              </w:rPr>
                              <w:t>9126 3600</w:t>
                            </w:r>
                          </w:p>
                          <w:p w14:paraId="6BFF43D1" w14:textId="77777777" w:rsidR="006D04D5" w:rsidRPr="009527AE" w:rsidRDefault="006D04D5" w:rsidP="006D04D5">
                            <w:pPr>
                              <w:pStyle w:val="NoSpacing"/>
                              <w:spacing w:line="264" w:lineRule="auto"/>
                              <w:rPr>
                                <w:color w:val="FFFFFF" w:themeColor="background1"/>
                              </w:rPr>
                            </w:pPr>
                            <w:r w:rsidRPr="009527AE">
                              <w:rPr>
                                <w:color w:val="FFFFFF" w:themeColor="background1"/>
                              </w:rPr>
                              <w:t>Level 5, 255 Elizabeth St</w:t>
                            </w:r>
                          </w:p>
                          <w:p w14:paraId="3AD98A68" w14:textId="77777777" w:rsidR="006D04D5" w:rsidRPr="009527AE" w:rsidRDefault="006D04D5" w:rsidP="006D04D5">
                            <w:pPr>
                              <w:pStyle w:val="NoSpacing"/>
                              <w:spacing w:line="264" w:lineRule="auto"/>
                              <w:rPr>
                                <w:color w:val="FFFFFF" w:themeColor="background1"/>
                              </w:rPr>
                            </w:pPr>
                            <w:r w:rsidRPr="009527AE">
                              <w:rPr>
                                <w:color w:val="FFFFFF" w:themeColor="background1"/>
                              </w:rPr>
                              <w:t>Sydney NSW 2000 Australia</w:t>
                            </w:r>
                          </w:p>
                          <w:p w14:paraId="469F9DC2" w14:textId="77777777" w:rsidR="006D04D5" w:rsidRPr="009527AE" w:rsidRDefault="006D04D5" w:rsidP="006D04D5">
                            <w:pPr>
                              <w:pStyle w:val="NoSpacing"/>
                              <w:spacing w:line="264" w:lineRule="auto"/>
                              <w:rPr>
                                <w:color w:val="FFFFFF" w:themeColor="background1"/>
                                <w:sz w:val="16"/>
                                <w:szCs w:val="16"/>
                              </w:rPr>
                            </w:pPr>
                          </w:p>
                          <w:p w14:paraId="7473FD7B" w14:textId="77777777" w:rsidR="006D04D5" w:rsidRPr="009527AE" w:rsidRDefault="006D04D5" w:rsidP="006D04D5">
                            <w:pPr>
                              <w:pStyle w:val="NoSpacing"/>
                              <w:spacing w:line="264" w:lineRule="auto"/>
                              <w:rPr>
                                <w:b/>
                                <w:bCs/>
                                <w:color w:val="FFFFFF" w:themeColor="background1"/>
                                <w:sz w:val="24"/>
                              </w:rPr>
                            </w:pPr>
                            <w:r w:rsidRPr="009527AE">
                              <w:rPr>
                                <w:b/>
                                <w:bCs/>
                                <w:color w:val="FFFFFF" w:themeColor="background1"/>
                                <w:sz w:val="24"/>
                              </w:rPr>
                              <w:t>safetyandquality.gov.au</w:t>
                            </w:r>
                          </w:p>
                          <w:p w14:paraId="20D04801" w14:textId="77777777" w:rsidR="006D04D5" w:rsidRPr="009527AE" w:rsidRDefault="006D04D5" w:rsidP="006D04D5">
                            <w:pPr>
                              <w:pStyle w:val="NoSpacing"/>
                              <w:spacing w:line="264" w:lineRule="auto"/>
                              <w:rPr>
                                <w:color w:val="FFFFFF" w:themeColor="background1"/>
                                <w:sz w:val="16"/>
                                <w:szCs w:val="16"/>
                              </w:rPr>
                            </w:pPr>
                          </w:p>
                          <w:p w14:paraId="71670CA0" w14:textId="77777777" w:rsidR="006D04D5" w:rsidRPr="009527AE" w:rsidRDefault="006D04D5" w:rsidP="006D04D5">
                            <w:pPr>
                              <w:pStyle w:val="NoSpacing"/>
                              <w:spacing w:line="264" w:lineRule="auto"/>
                              <w:rPr>
                                <w:b/>
                                <w:bCs/>
                                <w:color w:val="FFFFFF" w:themeColor="background1"/>
                                <w:sz w:val="16"/>
                                <w:szCs w:val="16"/>
                              </w:rPr>
                            </w:pPr>
                            <w:r w:rsidRPr="009527AE">
                              <w:rPr>
                                <w:color w:val="FFFFFF" w:themeColor="background1"/>
                                <w:sz w:val="16"/>
                                <w:szCs w:val="16"/>
                              </w:rPr>
                              <w:t xml:space="preserve">© Australian Commission on Safety and Quality in Health Care </w:t>
                            </w:r>
                            <w:r w:rsidRPr="003053F8">
                              <w:rPr>
                                <w:color w:val="FFFFFF" w:themeColor="background1"/>
                                <w:sz w:val="16"/>
                                <w:szCs w:val="16"/>
                              </w:rPr>
                              <w:t>20</w:t>
                            </w:r>
                            <w:r>
                              <w:rPr>
                                <w:color w:val="FFFFFF" w:themeColor="background1"/>
                                <w:sz w:val="16"/>
                                <w:szCs w:val="16"/>
                              </w:rPr>
                              <w:t>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1652D00F" id="_x0000_s1027" type="#_x0000_t202" alt="&quot;&quot;" style="position:absolute;left:0;text-align:left;margin-left:-21.45pt;margin-top:520.1pt;width:263.45pt;height:163.2pt;z-index:251672585;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" filled="f" stroked="f" strokeweight=".5pt">
                <v:textbox inset="0,0,0,0">
                  <w:txbxContent>
                    <w:p w14:paraId="44A18102" w14:textId="77777777" w:rsidR="006D04D5" w:rsidRPr="009527AE" w:rsidRDefault="006D04D5" w:rsidP="006D04D5">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06154A17" wp14:editId="79C819BC">
                            <wp:extent cx="1697040" cy="586800"/>
                            <wp:effectExtent l="0" t="0" r="0" b="3810"/>
                            <wp:docPr id="12" name="Graphic 11">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pic:cNvPr>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1697040" cy="586800"/>
                                    </a:xfrm>
                                    <a:prstGeom prst="rect">
                                      <a:avLst/>
                                    </a:prstGeom>
                                  </pic:spPr>
                                </pic:pic>
                              </a:graphicData>
                            </a:graphic>
                          </wp:inline>
                        </w:drawing>
                      </w:r>
                    </w:p>
                    <w:p w14:paraId="02DF02D2" w14:textId="77777777" w:rsidR="006D04D5" w:rsidRPr="009527AE" w:rsidRDefault="006D04D5" w:rsidP="006D04D5">
                      <w:pPr>
                        <w:spacing w:before="0" w:after="0" w:line="264" w:lineRule="auto"/>
                        <w:rPr>
                          <w:color w:val="FFFFFF" w:themeColor="background1"/>
                        </w:rPr>
                      </w:pPr>
                    </w:p>
                    <w:p w14:paraId="407BE4A4" w14:textId="77777777" w:rsidR="006D04D5" w:rsidRPr="009527AE" w:rsidRDefault="006D04D5" w:rsidP="006D04D5">
                      <w:pPr>
                        <w:pStyle w:val="NoSpacing"/>
                        <w:spacing w:line="264" w:lineRule="auto"/>
                        <w:rPr>
                          <w:color w:val="FFFFFF" w:themeColor="background1"/>
                        </w:rPr>
                      </w:pPr>
                      <w:r w:rsidRPr="009527AE">
                        <w:rPr>
                          <w:color w:val="FFFFFF" w:themeColor="background1"/>
                        </w:rPr>
                        <w:t xml:space="preserve">T. +61 2 </w:t>
                      </w:r>
                      <w:r w:rsidRPr="00BD2982">
                        <w:rPr>
                          <w:color w:val="FFFFFF" w:themeColor="background1"/>
                        </w:rPr>
                        <w:t>9126 3600</w:t>
                      </w:r>
                    </w:p>
                    <w:p w14:paraId="6BFF43D1" w14:textId="77777777" w:rsidR="006D04D5" w:rsidRPr="009527AE" w:rsidRDefault="006D04D5" w:rsidP="006D04D5">
                      <w:pPr>
                        <w:pStyle w:val="NoSpacing"/>
                        <w:spacing w:line="264" w:lineRule="auto"/>
                        <w:rPr>
                          <w:color w:val="FFFFFF" w:themeColor="background1"/>
                        </w:rPr>
                      </w:pPr>
                      <w:r w:rsidRPr="009527AE">
                        <w:rPr>
                          <w:color w:val="FFFFFF" w:themeColor="background1"/>
                        </w:rPr>
                        <w:t>Level 5, 255 Elizabeth St</w:t>
                      </w:r>
                    </w:p>
                    <w:p w14:paraId="3AD98A68" w14:textId="77777777" w:rsidR="006D04D5" w:rsidRPr="009527AE" w:rsidRDefault="006D04D5" w:rsidP="006D04D5">
                      <w:pPr>
                        <w:pStyle w:val="NoSpacing"/>
                        <w:spacing w:line="264" w:lineRule="auto"/>
                        <w:rPr>
                          <w:color w:val="FFFFFF" w:themeColor="background1"/>
                        </w:rPr>
                      </w:pPr>
                      <w:r w:rsidRPr="009527AE">
                        <w:rPr>
                          <w:color w:val="FFFFFF" w:themeColor="background1"/>
                        </w:rPr>
                        <w:t>Sydney NSW 2000 Australia</w:t>
                      </w:r>
                    </w:p>
                    <w:p w14:paraId="469F9DC2" w14:textId="77777777" w:rsidR="006D04D5" w:rsidRPr="009527AE" w:rsidRDefault="006D04D5" w:rsidP="006D04D5">
                      <w:pPr>
                        <w:pStyle w:val="NoSpacing"/>
                        <w:spacing w:line="264" w:lineRule="auto"/>
                        <w:rPr>
                          <w:color w:val="FFFFFF" w:themeColor="background1"/>
                          <w:sz w:val="16"/>
                          <w:szCs w:val="16"/>
                        </w:rPr>
                      </w:pPr>
                    </w:p>
                    <w:p w14:paraId="7473FD7B" w14:textId="77777777" w:rsidR="006D04D5" w:rsidRPr="009527AE" w:rsidRDefault="006D04D5" w:rsidP="006D04D5">
                      <w:pPr>
                        <w:pStyle w:val="NoSpacing"/>
                        <w:spacing w:line="264" w:lineRule="auto"/>
                        <w:rPr>
                          <w:b/>
                          <w:bCs/>
                          <w:color w:val="FFFFFF" w:themeColor="background1"/>
                          <w:sz w:val="24"/>
                        </w:rPr>
                      </w:pPr>
                      <w:r w:rsidRPr="009527AE">
                        <w:rPr>
                          <w:b/>
                          <w:bCs/>
                          <w:color w:val="FFFFFF" w:themeColor="background1"/>
                          <w:sz w:val="24"/>
                        </w:rPr>
                        <w:t>safetyandquality.gov.au</w:t>
                      </w:r>
                    </w:p>
                    <w:p w14:paraId="20D04801" w14:textId="77777777" w:rsidR="006D04D5" w:rsidRPr="009527AE" w:rsidRDefault="006D04D5" w:rsidP="006D04D5">
                      <w:pPr>
                        <w:pStyle w:val="NoSpacing"/>
                        <w:spacing w:line="264" w:lineRule="auto"/>
                        <w:rPr>
                          <w:color w:val="FFFFFF" w:themeColor="background1"/>
                          <w:sz w:val="16"/>
                          <w:szCs w:val="16"/>
                        </w:rPr>
                      </w:pPr>
                    </w:p>
                    <w:p w14:paraId="71670CA0" w14:textId="77777777" w:rsidR="006D04D5" w:rsidRPr="009527AE" w:rsidRDefault="006D04D5" w:rsidP="006D04D5">
                      <w:pPr>
                        <w:pStyle w:val="NoSpacing"/>
                        <w:spacing w:line="264" w:lineRule="auto"/>
                        <w:rPr>
                          <w:b/>
                          <w:bCs/>
                          <w:color w:val="FFFFFF" w:themeColor="background1"/>
                          <w:sz w:val="16"/>
                          <w:szCs w:val="16"/>
                        </w:rPr>
                      </w:pPr>
                      <w:r w:rsidRPr="009527AE">
                        <w:rPr>
                          <w:color w:val="FFFFFF" w:themeColor="background1"/>
                          <w:sz w:val="16"/>
                          <w:szCs w:val="16"/>
                        </w:rPr>
                        <w:t xml:space="preserve">© Australian Commission on Safety and Quality in Health Care </w:t>
                      </w:r>
                      <w:r w:rsidRPr="003053F8">
                        <w:rPr>
                          <w:color w:val="FFFFFF" w:themeColor="background1"/>
                          <w:sz w:val="16"/>
                          <w:szCs w:val="16"/>
                        </w:rPr>
                        <w:t>20</w:t>
                      </w:r>
                      <w:r>
                        <w:rPr>
                          <w:color w:val="FFFFFF" w:themeColor="background1"/>
                          <w:sz w:val="16"/>
                          <w:szCs w:val="16"/>
                        </w:rPr>
                        <w:t>25</w:t>
                      </w:r>
                    </w:p>
                  </w:txbxContent>
                </v:textbox>
              </v:shape>
            </w:pict>
          </mc:Fallback>
        </mc:AlternateContent>
      </w:r>
      <w:r>
        <w:rPr>
          <w:noProof/>
        </w:rPr>
        <w:drawing>
          <wp:anchor distT="0" distB="0" distL="114300" distR="114300" simplePos="0" relativeHeight="251670537" behindDoc="1" locked="1" layoutInCell="1" allowOverlap="1" wp14:anchorId="2E4796D7" wp14:editId="6F52FA27">
            <wp:simplePos x="0" y="0"/>
            <wp:positionH relativeFrom="page">
              <wp:posOffset>-26670</wp:posOffset>
            </wp:positionH>
            <wp:positionV relativeFrom="page">
              <wp:posOffset>-122555</wp:posOffset>
            </wp:positionV>
            <wp:extent cx="7559675" cy="10836275"/>
            <wp:effectExtent l="0" t="0" r="3175" b="3175"/>
            <wp:wrapNone/>
            <wp:docPr id="14029878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7899" name="Picture 140298789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59675" cy="10836275"/>
                    </a:xfrm>
                    <a:prstGeom prst="rect">
                      <a:avLst/>
                    </a:prstGeom>
                  </pic:spPr>
                </pic:pic>
              </a:graphicData>
            </a:graphic>
            <wp14:sizeRelH relativeFrom="margin">
              <wp14:pctWidth>0</wp14:pctWidth>
            </wp14:sizeRelH>
            <wp14:sizeRelV relativeFrom="margin">
              <wp14:pctHeight>0</wp14:pctHeight>
            </wp14:sizeRelV>
          </wp:anchor>
        </w:drawing>
      </w:r>
    </w:p>
    <w:sectPr w:rsidR="00D37606" w:rsidRPr="00D37606" w:rsidSect="00530DF4">
      <w:footerReference w:type="first" r:id="rId51"/>
      <w:pgSz w:w="11906" w:h="16838"/>
      <w:pgMar w:top="1763" w:right="1440" w:bottom="1440" w:left="1440" w:header="709" w:footer="6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C90FC" w14:textId="77777777" w:rsidR="00B05790" w:rsidRDefault="00B05790" w:rsidP="009532F4">
      <w:r>
        <w:separator/>
      </w:r>
    </w:p>
  </w:endnote>
  <w:endnote w:type="continuationSeparator" w:id="0">
    <w:p w14:paraId="65B8D248" w14:textId="77777777" w:rsidR="00B05790" w:rsidRDefault="00B05790" w:rsidP="00953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28DE1" w14:textId="3E3A9128" w:rsidR="000975DA" w:rsidRDefault="000975DA">
    <w:pPr>
      <w:pStyle w:val="Footer"/>
    </w:pPr>
    <w:r>
      <w:rPr>
        <w:noProof/>
      </w:rPr>
      <mc:AlternateContent>
        <mc:Choice Requires="wps">
          <w:drawing>
            <wp:anchor distT="0" distB="0" distL="0" distR="0" simplePos="0" relativeHeight="251666432" behindDoc="0" locked="0" layoutInCell="1" allowOverlap="1" wp14:anchorId="67DF8705" wp14:editId="091906AE">
              <wp:simplePos x="635" y="635"/>
              <wp:positionH relativeFrom="page">
                <wp:align>center</wp:align>
              </wp:positionH>
              <wp:positionV relativeFrom="page">
                <wp:align>bottom</wp:align>
              </wp:positionV>
              <wp:extent cx="551815" cy="490220"/>
              <wp:effectExtent l="0" t="0" r="635" b="0"/>
              <wp:wrapNone/>
              <wp:docPr id="207234622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0FAE3C31" w14:textId="2A47DB66"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DF8705" id="_x0000_t202" coordsize="21600,21600" o:spt="202" path="m,l,21600r21600,l21600,xe">
              <v:stroke joinstyle="miter"/>
              <v:path gradientshapeok="t" o:connecttype="rect"/>
            </v:shapetype>
            <v:shape id="Text Box 7" o:spid="_x0000_s1030" type="#_x0000_t202" alt="OFFICIAL" style="position:absolute;left:0;text-align:left;margin-left:0;margin-top:0;width:43.45pt;height:38.6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" filled="f" stroked="f">
              <v:fill o:detectmouseclick="t"/>
              <v:textbox style="mso-fit-shape-to-text:t" inset="0,0,0,15pt">
                <w:txbxContent>
                  <w:p w14:paraId="0FAE3C31" w14:textId="2A47DB66"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816FA" w14:textId="4F816EF5" w:rsidR="006D04D5" w:rsidRPr="006D04D5" w:rsidRDefault="000975DA" w:rsidP="006D04D5">
    <w:pPr>
      <w:tabs>
        <w:tab w:val="right" w:pos="10206"/>
      </w:tabs>
      <w:snapToGrid/>
      <w:spacing w:before="0" w:after="0" w:line="240" w:lineRule="auto"/>
      <w:ind w:left="284"/>
      <w:jc w:val="left"/>
      <w:rPr>
        <w:rFonts w:ascii="Arial" w:eastAsia="Arial" w:hAnsi="Arial" w:cs="Times New Roman"/>
        <w:b/>
        <w:bCs/>
        <w:color w:val="000000"/>
        <w:kern w:val="0"/>
        <w:sz w:val="18"/>
        <w:szCs w:val="22"/>
        <w14:ligatures w14:val="none"/>
      </w:rPr>
    </w:pPr>
    <w:r>
      <w:rPr>
        <w:rFonts w:ascii="Arial" w:eastAsia="Arial" w:hAnsi="Arial" w:cs="Times New Roman"/>
        <w:noProof/>
        <w:kern w:val="0"/>
        <w:sz w:val="18"/>
        <w:szCs w:val="22"/>
      </w:rPr>
      <mc:AlternateContent>
        <mc:Choice Requires="wps">
          <w:drawing>
            <wp:anchor distT="0" distB="0" distL="0" distR="0" simplePos="0" relativeHeight="251667456" behindDoc="0" locked="0" layoutInCell="1" allowOverlap="1" wp14:anchorId="338A887E" wp14:editId="551D4790">
              <wp:simplePos x="635" y="635"/>
              <wp:positionH relativeFrom="page">
                <wp:align>center</wp:align>
              </wp:positionH>
              <wp:positionV relativeFrom="page">
                <wp:align>bottom</wp:align>
              </wp:positionV>
              <wp:extent cx="551815" cy="490220"/>
              <wp:effectExtent l="0" t="0" r="635" b="0"/>
              <wp:wrapNone/>
              <wp:docPr id="23785934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1DD18248" w14:textId="097FCF2A"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8A887E" id="_x0000_t202" coordsize="21600,21600" o:spt="202" path="m,l,21600r21600,l21600,xe">
              <v:stroke joinstyle="miter"/>
              <v:path gradientshapeok="t" o:connecttype="rect"/>
            </v:shapetype>
            <v:shape id="Text Box 8" o:spid="_x0000_s1031" type="#_x0000_t202" alt="OFFICIAL" style="position:absolute;left:0;text-align:left;margin-left:0;margin-top:0;width:43.45pt;height:38.6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" filled="f" stroked="f">
              <v:fill o:detectmouseclick="t"/>
              <v:textbox style="mso-fit-shape-to-text:t" inset="0,0,0,15pt">
                <w:txbxContent>
                  <w:p w14:paraId="1DD18248" w14:textId="097FCF2A"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v:textbox>
              <w10:wrap anchorx="page" anchory="page"/>
            </v:shape>
          </w:pict>
        </mc:Fallback>
      </mc:AlternateContent>
    </w:r>
    <w:r w:rsidR="006D04D5" w:rsidRPr="006D04D5">
      <w:rPr>
        <w:rFonts w:ascii="Arial" w:eastAsia="Arial" w:hAnsi="Arial" w:cs="Times New Roman"/>
        <w:noProof/>
        <w:kern w:val="0"/>
        <w:sz w:val="18"/>
        <w:szCs w:val="22"/>
        <w14:ligatures w14:val="none"/>
      </w:rPr>
      <w:drawing>
        <wp:anchor distT="0" distB="0" distL="114300" distR="114300" simplePos="0" relativeHeight="251659264" behindDoc="0" locked="0" layoutInCell="1" allowOverlap="1" wp14:anchorId="5D562AC4" wp14:editId="4DB39903">
          <wp:simplePos x="0" y="0"/>
          <wp:positionH relativeFrom="column">
            <wp:posOffset>0</wp:posOffset>
          </wp:positionH>
          <wp:positionV relativeFrom="paragraph">
            <wp:posOffset>-27432</wp:posOffset>
          </wp:positionV>
          <wp:extent cx="138948" cy="180000"/>
          <wp:effectExtent l="0" t="0" r="0" b="0"/>
          <wp:wrapNone/>
          <wp:docPr id="103887387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94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4D5" w:rsidRPr="006D04D5">
      <w:rPr>
        <w:rFonts w:ascii="Arial" w:eastAsia="Arial" w:hAnsi="Arial" w:cs="Times New Roman"/>
        <w:noProof/>
        <w:kern w:val="0"/>
        <w:sz w:val="18"/>
        <w:szCs w:val="22"/>
        <w14:ligatures w14:val="none"/>
      </w:rPr>
      <w:t>National Sepsis Program Extension</w:t>
    </w:r>
    <w:r w:rsidR="006D04D5" w:rsidRPr="006D04D5">
      <w:rPr>
        <w:rFonts w:ascii="Arial" w:eastAsia="Arial" w:hAnsi="Arial" w:cs="Times New Roman"/>
        <w:kern w:val="0"/>
        <w:sz w:val="18"/>
        <w:szCs w:val="22"/>
        <w14:ligatures w14:val="none"/>
      </w:rPr>
      <w:t xml:space="preserve"> </w:t>
    </w:r>
    <w:r w:rsidR="006D04D5" w:rsidRPr="006D04D5">
      <w:rPr>
        <w:rFonts w:ascii="Arial" w:eastAsia="Arial" w:hAnsi="Arial" w:cs="Times New Roman"/>
        <w:color w:val="000000"/>
        <w:kern w:val="0"/>
        <w:sz w:val="18"/>
        <w:szCs w:val="22"/>
        <w14:ligatures w14:val="none"/>
      </w:rPr>
      <w:tab/>
    </w:r>
  </w:p>
  <w:p w14:paraId="5A9A32BD" w14:textId="77777777" w:rsidR="006D04D5" w:rsidRDefault="006D04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AECFE" w14:textId="21B21E05" w:rsidR="000975DA" w:rsidRDefault="000975DA">
    <w:pPr>
      <w:pStyle w:val="Footer"/>
    </w:pPr>
    <w:r>
      <w:rPr>
        <w:noProof/>
      </w:rPr>
      <mc:AlternateContent>
        <mc:Choice Requires="wps">
          <w:drawing>
            <wp:anchor distT="0" distB="0" distL="0" distR="0" simplePos="0" relativeHeight="251665408" behindDoc="0" locked="0" layoutInCell="1" allowOverlap="1" wp14:anchorId="4936753D" wp14:editId="284F34C8">
              <wp:simplePos x="635" y="635"/>
              <wp:positionH relativeFrom="page">
                <wp:align>center</wp:align>
              </wp:positionH>
              <wp:positionV relativeFrom="page">
                <wp:align>bottom</wp:align>
              </wp:positionV>
              <wp:extent cx="551815" cy="490220"/>
              <wp:effectExtent l="0" t="0" r="635" b="0"/>
              <wp:wrapNone/>
              <wp:docPr id="79755347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25016DB3" w14:textId="42DA2E90"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6753D" id="_x0000_t202" coordsize="21600,21600" o:spt="202" path="m,l,21600r21600,l21600,xe">
              <v:stroke joinstyle="miter"/>
              <v:path gradientshapeok="t" o:connecttype="rect"/>
            </v:shapetype>
            <v:shape id="Text Box 6" o:spid="_x0000_s1033" type="#_x0000_t202" alt="OFFICIAL" style="position:absolute;left:0;text-align:left;margin-left:0;margin-top:0;width:43.45pt;height:38.6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" filled="f" stroked="f">
              <v:fill o:detectmouseclick="t"/>
              <v:textbox style="mso-fit-shape-to-text:t" inset="0,0,0,15pt">
                <w:txbxContent>
                  <w:p w14:paraId="25016DB3" w14:textId="42DA2E90"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84172" w14:textId="77777777" w:rsidR="000975DA" w:rsidRDefault="000975DA" w:rsidP="00EC2852">
    <w:pPr>
      <w:pStyle w:val="Footer"/>
      <w:pBdr>
        <w:bottom w:val="single" w:sz="12" w:space="1" w:color="auto"/>
      </w:pBdr>
    </w:pPr>
    <w:r>
      <w:rPr>
        <w:noProof/>
      </w:rPr>
      <mc:AlternateContent>
        <mc:Choice Requires="wps">
          <w:drawing>
            <wp:anchor distT="0" distB="0" distL="0" distR="0" simplePos="0" relativeHeight="251668480" behindDoc="0" locked="0" layoutInCell="1" allowOverlap="1" wp14:anchorId="5191FC0E" wp14:editId="3A754B23">
              <wp:simplePos x="635" y="635"/>
              <wp:positionH relativeFrom="page">
                <wp:align>center</wp:align>
              </wp:positionH>
              <wp:positionV relativeFrom="page">
                <wp:align>bottom</wp:align>
              </wp:positionV>
              <wp:extent cx="551815" cy="490220"/>
              <wp:effectExtent l="0" t="0" r="635" b="0"/>
              <wp:wrapNone/>
              <wp:docPr id="179551946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384B5BDD" w14:textId="3E1010DE"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91FC0E" id="_x0000_t202" coordsize="21600,21600" o:spt="202" path="m,l,21600r21600,l21600,xe">
              <v:stroke joinstyle="miter"/>
              <v:path gradientshapeok="t" o:connecttype="rect"/>
            </v:shapetype>
            <v:shape id="Text Box 9" o:spid="_x0000_s1035" type="#_x0000_t202" alt="OFFICIAL" style="position:absolute;left:0;text-align:left;margin-left:0;margin-top:0;width:43.45pt;height:38.6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" filled="f" stroked="f">
              <v:fill o:detectmouseclick="t"/>
              <v:textbox style="mso-fit-shape-to-text:t" inset="0,0,0,15pt">
                <w:txbxContent>
                  <w:p w14:paraId="384B5BDD" w14:textId="3E1010DE"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v:textbox>
              <w10:wrap anchorx="page" anchory="page"/>
            </v:shape>
          </w:pict>
        </mc:Fallback>
      </mc:AlternateContent>
    </w:r>
  </w:p>
  <w:sdt>
    <w:sdtPr>
      <w:id w:val="1936243035"/>
      <w:docPartObj>
        <w:docPartGallery w:val="Page Numbers (Bottom of Page)"/>
        <w:docPartUnique/>
      </w:docPartObj>
    </w:sdtPr>
    <w:sdtEndPr>
      <w:rPr>
        <w:noProof/>
      </w:rPr>
    </w:sdtEndPr>
    <w:sdtContent>
      <w:p w14:paraId="5C317476" w14:textId="043AF4A6" w:rsidR="00177E71" w:rsidRDefault="00177E71" w:rsidP="00EC2852">
        <w:pPr>
          <w:pStyle w:val="Footer"/>
          <w:pBdr>
            <w:bottom w:val="single" w:sz="12" w:space="1" w:color="auto"/>
          </w:pBdr>
        </w:pPr>
      </w:p>
      <w:p w14:paraId="71C03D40" w14:textId="65449E66" w:rsidR="00530DF4" w:rsidRDefault="00530DF4">
        <w:pPr>
          <w:pStyle w:val="Footer"/>
          <w:rPr>
            <w:noProof/>
          </w:rPr>
        </w:pPr>
        <w:r>
          <w:fldChar w:fldCharType="begin"/>
        </w:r>
        <w:r>
          <w:instrText xml:space="preserve"> PAGE   \* MERGEFORMAT </w:instrText>
        </w:r>
        <w:r>
          <w:fldChar w:fldCharType="separate"/>
        </w:r>
        <w:r>
          <w:rPr>
            <w:noProof/>
          </w:rPr>
          <w:t>2</w:t>
        </w:r>
        <w:r>
          <w:rPr>
            <w:noProof/>
          </w:rPr>
          <w:fldChar w:fldCharType="end"/>
        </w:r>
      </w:p>
    </w:sdtContent>
  </w:sdt>
  <w:p w14:paraId="7AD2B25A" w14:textId="634A296A" w:rsidR="00530DF4" w:rsidRDefault="00EC2852" w:rsidP="00177E71">
    <w:pPr>
      <w:pStyle w:val="Footer"/>
      <w:jc w:val="right"/>
    </w:pPr>
    <w:r>
      <w:t xml:space="preserve">National Sepsis Data Plan – </w:t>
    </w:r>
    <w:r w:rsidR="00F838BF">
      <w:t>St</w:t>
    </w:r>
    <w:r w:rsidR="001568C4">
      <w:t>rategic Analysis</w:t>
    </w:r>
    <w:r w:rsidR="00F838BF">
      <w:t xml:space="preserve"> </w:t>
    </w:r>
    <w:r>
      <w:t>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CB7A1" w14:textId="77777777" w:rsidR="000975DA" w:rsidRDefault="000975DA" w:rsidP="00EC2852">
    <w:pPr>
      <w:pStyle w:val="Footer"/>
      <w:pBdr>
        <w:bottom w:val="single" w:sz="12" w:space="1" w:color="auto"/>
      </w:pBdr>
    </w:pPr>
    <w:r>
      <w:rPr>
        <w:noProof/>
      </w:rPr>
      <mc:AlternateContent>
        <mc:Choice Requires="wps">
          <w:drawing>
            <wp:anchor distT="0" distB="0" distL="0" distR="0" simplePos="0" relativeHeight="251670528" behindDoc="0" locked="0" layoutInCell="1" allowOverlap="1" wp14:anchorId="0E2C0AA7" wp14:editId="75733587">
              <wp:simplePos x="914400" y="6657975"/>
              <wp:positionH relativeFrom="page">
                <wp:align>center</wp:align>
              </wp:positionH>
              <wp:positionV relativeFrom="page">
                <wp:align>bottom</wp:align>
              </wp:positionV>
              <wp:extent cx="551815" cy="490220"/>
              <wp:effectExtent l="0" t="0" r="635" b="0"/>
              <wp:wrapNone/>
              <wp:docPr id="177887389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2F4A0E2A" w14:textId="470E3BB2"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2C0AA7" id="_x0000_t202" coordsize="21600,21600" o:spt="202" path="m,l,21600r21600,l21600,xe">
              <v:stroke joinstyle="miter"/>
              <v:path gradientshapeok="t" o:connecttype="rect"/>
            </v:shapetype>
            <v:shape id="Text Box 11" o:spid="_x0000_s1037" type="#_x0000_t202" alt="OFFICIAL" style="position:absolute;left:0;text-align:left;margin-left:0;margin-top:0;width:43.45pt;height:38.6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" filled="f" stroked="f">
              <v:fill o:detectmouseclick="t"/>
              <v:textbox style="mso-fit-shape-to-text:t" inset="0,0,0,15pt">
                <w:txbxContent>
                  <w:p w14:paraId="2F4A0E2A" w14:textId="470E3BB2"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v:textbox>
              <w10:wrap anchorx="page" anchory="page"/>
            </v:shape>
          </w:pict>
        </mc:Fallback>
      </mc:AlternateContent>
    </w:r>
  </w:p>
  <w:sdt>
    <w:sdtPr>
      <w:id w:val="-1033724150"/>
      <w:docPartObj>
        <w:docPartGallery w:val="Page Numbers (Bottom of Page)"/>
        <w:docPartUnique/>
      </w:docPartObj>
    </w:sdtPr>
    <w:sdtEndPr>
      <w:rPr>
        <w:noProof/>
      </w:rPr>
    </w:sdtEndPr>
    <w:sdtContent>
      <w:p w14:paraId="49A85EF5" w14:textId="0814FEB9" w:rsidR="009D2F62" w:rsidRDefault="009D2F62" w:rsidP="00EC2852">
        <w:pPr>
          <w:pStyle w:val="Footer"/>
          <w:pBdr>
            <w:bottom w:val="single" w:sz="12" w:space="1" w:color="auto"/>
          </w:pBdr>
        </w:pPr>
      </w:p>
      <w:p w14:paraId="5B4FC2FB" w14:textId="77777777" w:rsidR="00750F6D" w:rsidRDefault="00750F6D">
        <w:pPr>
          <w:pStyle w:val="Footer"/>
          <w:rPr>
            <w:noProof/>
          </w:rPr>
        </w:pPr>
        <w:r>
          <w:fldChar w:fldCharType="begin"/>
        </w:r>
        <w:r>
          <w:instrText xml:space="preserve"> PAGE   \* MERGEFORMAT </w:instrText>
        </w:r>
        <w:r>
          <w:fldChar w:fldCharType="separate"/>
        </w:r>
        <w:r>
          <w:rPr>
            <w:noProof/>
          </w:rPr>
          <w:t>2</w:t>
        </w:r>
        <w:r>
          <w:rPr>
            <w:noProof/>
          </w:rPr>
          <w:fldChar w:fldCharType="end"/>
        </w:r>
      </w:p>
    </w:sdtContent>
  </w:sdt>
  <w:p w14:paraId="3B01AEA1" w14:textId="6105CEFB" w:rsidR="00924A6A" w:rsidRDefault="00750F6D" w:rsidP="00433AA6">
    <w:pPr>
      <w:pStyle w:val="Footer"/>
      <w:jc w:val="right"/>
    </w:pPr>
    <w:r>
      <w:t xml:space="preserve">National Sepsis Data Plan – </w:t>
    </w:r>
    <w:r w:rsidR="009C4295">
      <w:t>Strategic Analysis Report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C8D58" w14:textId="11CD4A81" w:rsidR="003928A4" w:rsidRPr="00E95BEC" w:rsidRDefault="000975DA">
    <w:pPr>
      <w:pStyle w:val="Footer"/>
      <w:rPr>
        <w:lang w:val="en-GB"/>
      </w:rPr>
    </w:pPr>
    <w:r>
      <w:rPr>
        <w:noProof/>
        <w:lang w:val="en-GB"/>
      </w:rPr>
      <mc:AlternateContent>
        <mc:Choice Requires="wps">
          <w:drawing>
            <wp:anchor distT="0" distB="0" distL="0" distR="0" simplePos="0" relativeHeight="251669504" behindDoc="0" locked="0" layoutInCell="1" allowOverlap="1" wp14:anchorId="0BAFFC2D" wp14:editId="33107A43">
              <wp:simplePos x="635" y="635"/>
              <wp:positionH relativeFrom="page">
                <wp:align>center</wp:align>
              </wp:positionH>
              <wp:positionV relativeFrom="page">
                <wp:align>bottom</wp:align>
              </wp:positionV>
              <wp:extent cx="551815" cy="490220"/>
              <wp:effectExtent l="0" t="0" r="635" b="0"/>
              <wp:wrapNone/>
              <wp:docPr id="198234215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4A5857A2" w14:textId="3A26BA7E"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AFFC2D" id="_x0000_t202" coordsize="21600,21600" o:spt="202" path="m,l,21600r21600,l21600,xe">
              <v:stroke joinstyle="miter"/>
              <v:path gradientshapeok="t" o:connecttype="rect"/>
            </v:shapetype>
            <v:shape id="Text Box 10" o:spid="_x0000_s1038" type="#_x0000_t202" alt="OFFICIAL" style="position:absolute;left:0;text-align:left;margin-left:0;margin-top:0;width:43.45pt;height:38.6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" filled="f" stroked="f">
              <v:fill o:detectmouseclick="t"/>
              <v:textbox style="mso-fit-shape-to-text:t" inset="0,0,0,15pt">
                <w:txbxContent>
                  <w:p w14:paraId="4A5857A2" w14:textId="3A26BA7E"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99A00" w14:textId="3307EB16" w:rsidR="00EC2852" w:rsidRDefault="000975DA">
    <w:pPr>
      <w:pStyle w:val="Footer"/>
      <w:pBdr>
        <w:bottom w:val="single" w:sz="12" w:space="1" w:color="auto"/>
      </w:pBdr>
      <w:rPr>
        <w:lang w:val="en-GB"/>
      </w:rPr>
    </w:pPr>
    <w:r>
      <w:rPr>
        <w:noProof/>
        <w:lang w:val="en-GB"/>
      </w:rPr>
      <mc:AlternateContent>
        <mc:Choice Requires="wps">
          <w:drawing>
            <wp:anchor distT="0" distB="0" distL="0" distR="0" simplePos="0" relativeHeight="251671552" behindDoc="0" locked="0" layoutInCell="1" allowOverlap="1" wp14:anchorId="51D27D43" wp14:editId="36617E9F">
              <wp:simplePos x="915035" y="9907270"/>
              <wp:positionH relativeFrom="page">
                <wp:align>center</wp:align>
              </wp:positionH>
              <wp:positionV relativeFrom="page">
                <wp:align>bottom</wp:align>
              </wp:positionV>
              <wp:extent cx="551815" cy="490220"/>
              <wp:effectExtent l="0" t="0" r="635" b="0"/>
              <wp:wrapNone/>
              <wp:docPr id="2050811835"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11839749" w14:textId="004F7B54"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D27D43" id="_x0000_t202" coordsize="21600,21600" o:spt="202" path="m,l,21600r21600,l21600,xe">
              <v:stroke joinstyle="miter"/>
              <v:path gradientshapeok="t" o:connecttype="rect"/>
            </v:shapetype>
            <v:shape id="Text Box 12" o:spid="_x0000_s1039" type="#_x0000_t202" alt="OFFICIAL" style="position:absolute;left:0;text-align:left;margin-left:0;margin-top:0;width:43.45pt;height:38.6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" filled="f" stroked="f">
              <v:fill o:detectmouseclick="t"/>
              <v:textbox style="mso-fit-shape-to-text:t" inset="0,0,0,15pt">
                <w:txbxContent>
                  <w:p w14:paraId="11839749" w14:textId="004F7B54"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v:textbox>
              <w10:wrap anchorx="page" anchory="page"/>
            </v:shape>
          </w:pict>
        </mc:Fallback>
      </mc:AlternateContent>
    </w:r>
  </w:p>
  <w:p w14:paraId="5AD6BA38" w14:textId="6449CFBA" w:rsidR="00E95BEC" w:rsidRDefault="00E95BEC">
    <w:pPr>
      <w:pStyle w:val="Footer"/>
      <w:rPr>
        <w:lang w:val="en-GB"/>
      </w:rPr>
    </w:pPr>
    <w:r>
      <w:rPr>
        <w:lang w:val="en-GB"/>
      </w:rPr>
      <w:t>2</w:t>
    </w:r>
    <w:r w:rsidR="004A46A1">
      <w:rPr>
        <w:lang w:val="en-GB"/>
      </w:rPr>
      <w:t>9</w:t>
    </w:r>
  </w:p>
  <w:p w14:paraId="3F5B8B26" w14:textId="150EC400" w:rsidR="00193772" w:rsidRDefault="00EC2852" w:rsidP="00EC2852">
    <w:pPr>
      <w:pStyle w:val="Footer"/>
      <w:jc w:val="right"/>
    </w:pPr>
    <w:r>
      <w:t xml:space="preserve">National Sepsis Data Plan – </w:t>
    </w:r>
    <w:r w:rsidR="009C4295">
      <w:t xml:space="preserve"> Strategic Analysis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D0590" w14:textId="77777777" w:rsidR="00B05790" w:rsidRDefault="00B05790" w:rsidP="009532F4">
      <w:r>
        <w:separator/>
      </w:r>
    </w:p>
  </w:footnote>
  <w:footnote w:type="continuationSeparator" w:id="0">
    <w:p w14:paraId="77E2CD27" w14:textId="77777777" w:rsidR="00B05790" w:rsidRDefault="00B05790" w:rsidP="009532F4">
      <w:r>
        <w:continuationSeparator/>
      </w:r>
    </w:p>
  </w:footnote>
  <w:footnote w:id="1">
    <w:p w14:paraId="373271A3" w14:textId="5B135CE3" w:rsidR="00F6272D" w:rsidRDefault="00F6272D">
      <w:pPr>
        <w:pStyle w:val="FootnoteText"/>
      </w:pPr>
      <w:r>
        <w:rPr>
          <w:rStyle w:val="FootnoteReference"/>
        </w:rPr>
        <w:footnoteRef/>
      </w:r>
      <w:r>
        <w:t xml:space="preserve"> </w:t>
      </w:r>
      <w:r w:rsidRPr="00613E60">
        <w:t>ACSQHC (Australian Commission on Safety and Quality in Health Care) (202</w:t>
      </w:r>
      <w:r w:rsidR="00187FA1">
        <w:t>5</w:t>
      </w:r>
      <w:r w:rsidRPr="00613E60">
        <w:t xml:space="preserve">) National Sepsis Program Extension Epidemiology Report: A national analysis of the sepsis patient journey in Australian public hospital admitted care, ACSQHC.  </w:t>
      </w:r>
      <w:r w:rsidR="009F3FF0">
        <w:t>p</w:t>
      </w:r>
      <w:r w:rsidRPr="00613E60">
        <w:t>.</w:t>
      </w:r>
      <w:r w:rsidR="009F3FF0">
        <w:t> </w:t>
      </w:r>
      <w:r w:rsidRPr="00613E60">
        <w:t>1, 10</w:t>
      </w:r>
      <w:r w:rsidR="005E556A">
        <w:t xml:space="preserve"> (NOT YET PUBLISHED)</w:t>
      </w:r>
    </w:p>
  </w:footnote>
  <w:footnote w:id="2">
    <w:p w14:paraId="3E083325" w14:textId="77777777" w:rsidR="00BB47C0" w:rsidRDefault="00BB47C0" w:rsidP="00BB47C0">
      <w:pPr>
        <w:pStyle w:val="FootnoteText"/>
      </w:pPr>
      <w:r>
        <w:rPr>
          <w:rStyle w:val="FootnoteReference"/>
        </w:rPr>
        <w:footnoteRef/>
      </w:r>
      <w:r>
        <w:t xml:space="preserve"> Australian Commission on Safety and Quality in Health Care (2024), </w:t>
      </w:r>
      <w:r w:rsidRPr="00270159">
        <w:rPr>
          <w:i/>
          <w:iCs/>
        </w:rPr>
        <w:t>Australian Framework for national Clinical Quality registries 2024</w:t>
      </w:r>
      <w:r>
        <w:t xml:space="preserve">, p8, available at  </w:t>
      </w:r>
      <w:hyperlink r:id="rId1" w:history="1">
        <w:r w:rsidRPr="00D640B4">
          <w:rPr>
            <w:rStyle w:val="Hyperlink"/>
            <w:szCs w:val="16"/>
          </w:rPr>
          <w:t>www.safetyandquality.gov.au</w:t>
        </w:r>
      </w:hyperlink>
    </w:p>
  </w:footnote>
  <w:footnote w:id="3">
    <w:p w14:paraId="220A84BB" w14:textId="0080ED0E" w:rsidR="00ED54CF" w:rsidRDefault="00ED54CF" w:rsidP="00ED54CF">
      <w:pPr>
        <w:pStyle w:val="FootnoteText"/>
      </w:pPr>
      <w:r>
        <w:rPr>
          <w:rStyle w:val="FootnoteReference"/>
        </w:rPr>
        <w:footnoteRef/>
      </w:r>
      <w:r>
        <w:t xml:space="preserve"> </w:t>
      </w:r>
      <w:r w:rsidR="00482C9E" w:rsidRPr="00482C9E">
        <w:t>The George Institute for Global Health, (2018), Stopping Sepsis: A National Action Plan, The George Institute, Sydney. Available at: https://www.georgeinstitute.org/our-impact/policy-statements-and-recommendations/stopping-sepsis-a-national-action-plan [Accessed 14 July 2025].</w:t>
      </w:r>
    </w:p>
  </w:footnote>
  <w:footnote w:id="4">
    <w:p w14:paraId="5F171554" w14:textId="683540F0" w:rsidR="00500DEE" w:rsidRDefault="00500DEE">
      <w:pPr>
        <w:pStyle w:val="FootnoteText"/>
      </w:pPr>
      <w:r>
        <w:rPr>
          <w:rStyle w:val="FootnoteReference"/>
        </w:rPr>
        <w:footnoteRef/>
      </w:r>
      <w:r>
        <w:t xml:space="preserve"> </w:t>
      </w:r>
      <w:r w:rsidR="005D7320">
        <w:t>Ibid.</w:t>
      </w:r>
      <w:r>
        <w:t xml:space="preserve"> </w:t>
      </w:r>
    </w:p>
  </w:footnote>
  <w:footnote w:id="5">
    <w:p w14:paraId="68620C9F" w14:textId="50DA4A35" w:rsidR="001A1451" w:rsidRDefault="001A1451">
      <w:pPr>
        <w:pStyle w:val="FootnoteText"/>
      </w:pPr>
      <w:r>
        <w:rPr>
          <w:rStyle w:val="FootnoteReference"/>
        </w:rPr>
        <w:footnoteRef/>
      </w:r>
      <w:r>
        <w:t xml:space="preserve"> </w:t>
      </w:r>
      <w:r w:rsidRPr="002B3056">
        <w:rPr>
          <w:b/>
          <w:bCs/>
          <w:i/>
          <w:iCs/>
        </w:rPr>
        <w:t>Note</w:t>
      </w:r>
      <w:r>
        <w:t xml:space="preserve">: Following initial scoping it was recognised that </w:t>
      </w:r>
      <w:r w:rsidR="00C65D54">
        <w:t xml:space="preserve">developing and publishing effective </w:t>
      </w:r>
      <w:r w:rsidR="002B3056">
        <w:t>data tools would not realise national consistency without a supporting national strategy</w:t>
      </w:r>
      <w:r w:rsidR="00055048">
        <w:t xml:space="preserve"> to ensure harmonisation and a common vision. </w:t>
      </w:r>
    </w:p>
  </w:footnote>
  <w:footnote w:id="6">
    <w:p w14:paraId="0A4196EB" w14:textId="31186665" w:rsidR="00D85C84" w:rsidRDefault="00D85C84">
      <w:pPr>
        <w:pStyle w:val="FootnoteText"/>
      </w:pPr>
      <w:r>
        <w:rPr>
          <w:rStyle w:val="FootnoteReference"/>
        </w:rPr>
        <w:footnoteRef/>
      </w:r>
      <w:r>
        <w:t xml:space="preserve"> </w:t>
      </w:r>
      <w:r w:rsidR="00651BD9" w:rsidRPr="00651BD9">
        <w:rPr>
          <w:b/>
          <w:bCs/>
          <w:i/>
          <w:iCs/>
        </w:rPr>
        <w:t>Note</w:t>
      </w:r>
      <w:r w:rsidR="00651BD9">
        <w:t>: Consultation methodology is c</w:t>
      </w:r>
      <w:r>
        <w:t xml:space="preserve">onsidered further at </w:t>
      </w:r>
      <w:r w:rsidRPr="00662DFD">
        <w:t xml:space="preserve">Section </w:t>
      </w:r>
      <w:r w:rsidR="007516AC" w:rsidRPr="00662DFD">
        <w:t>7.1.3</w:t>
      </w:r>
      <w:r w:rsidR="00662DFD">
        <w:t>.</w:t>
      </w:r>
    </w:p>
  </w:footnote>
  <w:footnote w:id="7">
    <w:p w14:paraId="2875DCC7" w14:textId="36793B94" w:rsidR="00E66B1A" w:rsidRDefault="00E66B1A">
      <w:pPr>
        <w:pStyle w:val="FootnoteText"/>
      </w:pPr>
      <w:r>
        <w:rPr>
          <w:rStyle w:val="FootnoteReference"/>
        </w:rPr>
        <w:footnoteRef/>
      </w:r>
      <w:r>
        <w:t xml:space="preserve"> </w:t>
      </w:r>
      <w:r w:rsidR="0027212D" w:rsidRPr="0027212D">
        <w:rPr>
          <w:b/>
          <w:bCs/>
          <w:i/>
          <w:iCs/>
        </w:rPr>
        <w:t>Note</w:t>
      </w:r>
      <w:r w:rsidR="0027212D">
        <w:t xml:space="preserve">: Recognising that </w:t>
      </w:r>
      <w:r w:rsidR="005077F6">
        <w:t xml:space="preserve">several </w:t>
      </w:r>
      <w:r w:rsidR="004B726F">
        <w:t xml:space="preserve">of the stakeholders consulted </w:t>
      </w:r>
      <w:r w:rsidR="0027212D">
        <w:t xml:space="preserve">in this exercise maintain </w:t>
      </w:r>
      <w:r w:rsidR="004B726F">
        <w:t>active clinical and research roles.</w:t>
      </w:r>
    </w:p>
  </w:footnote>
  <w:footnote w:id="8">
    <w:p w14:paraId="413DBCD9" w14:textId="1FEA1439" w:rsidR="00534D01" w:rsidRDefault="00534D01">
      <w:pPr>
        <w:pStyle w:val="FootnoteText"/>
      </w:pPr>
      <w:r>
        <w:rPr>
          <w:rStyle w:val="FootnoteReference"/>
        </w:rPr>
        <w:footnoteRef/>
      </w:r>
      <w:r>
        <w:t xml:space="preserve"> </w:t>
      </w:r>
      <w:r w:rsidRPr="004A54BB">
        <w:rPr>
          <w:b/>
          <w:bCs/>
          <w:i/>
          <w:iCs/>
        </w:rPr>
        <w:t>Note</w:t>
      </w:r>
      <w:r>
        <w:t>: See Section 7.1.1.</w:t>
      </w:r>
    </w:p>
  </w:footnote>
  <w:footnote w:id="9">
    <w:p w14:paraId="6C869F47" w14:textId="4AAC83E0" w:rsidR="00956B3C" w:rsidRDefault="00956B3C">
      <w:pPr>
        <w:pStyle w:val="FootnoteText"/>
      </w:pPr>
      <w:r>
        <w:rPr>
          <w:rStyle w:val="FootnoteReference"/>
        </w:rPr>
        <w:footnoteRef/>
      </w:r>
      <w:r>
        <w:t xml:space="preserve"> </w:t>
      </w:r>
      <w:r w:rsidRPr="004A54BB">
        <w:rPr>
          <w:b/>
          <w:bCs/>
          <w:i/>
          <w:iCs/>
        </w:rPr>
        <w:t>Note</w:t>
      </w:r>
      <w:r>
        <w:t>:</w:t>
      </w:r>
      <w:r w:rsidR="00574958">
        <w:t xml:space="preserve"> This report recognises that several of the challenges considered here, and throughout this report, may apply to the broader health data system. </w:t>
      </w:r>
      <w:r>
        <w:t xml:space="preserve"> </w:t>
      </w:r>
    </w:p>
  </w:footnote>
  <w:footnote w:id="10">
    <w:p w14:paraId="599B952A" w14:textId="7EB2EF54" w:rsidR="00430D04" w:rsidRDefault="00430D04" w:rsidP="00430D04">
      <w:pPr>
        <w:pStyle w:val="FootnoteText"/>
      </w:pPr>
      <w:r w:rsidRPr="00AE4595">
        <w:rPr>
          <w:rStyle w:val="FootnoteReference"/>
        </w:rPr>
        <w:footnoteRef/>
      </w:r>
      <w:r w:rsidRPr="00AE4595">
        <w:t xml:space="preserve"> </w:t>
      </w:r>
      <w:r w:rsidRPr="00AE4595">
        <w:rPr>
          <w:b/>
          <w:bCs/>
          <w:i/>
          <w:iCs/>
        </w:rPr>
        <w:t>Note</w:t>
      </w:r>
      <w:r w:rsidRPr="00AE4595">
        <w:t xml:space="preserve">: </w:t>
      </w:r>
      <w:r w:rsidR="00F22D83">
        <w:t xml:space="preserve">This report </w:t>
      </w:r>
      <w:r w:rsidR="00F00F89">
        <w:t xml:space="preserve">notes </w:t>
      </w:r>
      <w:r w:rsidRPr="00AE4595">
        <w:t xml:space="preserve">that </w:t>
      </w:r>
      <w:r w:rsidR="007314F4">
        <w:t>w</w:t>
      </w:r>
      <w:r w:rsidRPr="00AE4595">
        <w:t>hile Sepsis-3 provides a clear clinical definition, application in real-world settings remains inconsistent</w:t>
      </w:r>
      <w:r>
        <w:t>.</w:t>
      </w:r>
      <w:r w:rsidR="002B6D40">
        <w:t xml:space="preserve"> This is considered further in Sections </w:t>
      </w:r>
      <w:r w:rsidR="00965EA7">
        <w:t>4.2 and 5.1.</w:t>
      </w:r>
    </w:p>
  </w:footnote>
  <w:footnote w:id="11">
    <w:p w14:paraId="7A1C703B" w14:textId="5B92A9E1" w:rsidR="0034513F" w:rsidRDefault="0034513F">
      <w:pPr>
        <w:pStyle w:val="FootnoteText"/>
      </w:pPr>
      <w:r>
        <w:rPr>
          <w:rStyle w:val="FootnoteReference"/>
        </w:rPr>
        <w:footnoteRef/>
      </w:r>
      <w:r>
        <w:t xml:space="preserve"> </w:t>
      </w:r>
      <w:r w:rsidR="0027212D" w:rsidRPr="0027212D">
        <w:rPr>
          <w:b/>
          <w:bCs/>
          <w:i/>
          <w:iCs/>
        </w:rPr>
        <w:t>Note:</w:t>
      </w:r>
      <w:r w:rsidR="0027212D">
        <w:t xml:space="preserve"> </w:t>
      </w:r>
      <w:r>
        <w:t xml:space="preserve">Under-resourcing is considered further as a challenge to national data uplift in </w:t>
      </w:r>
      <w:r w:rsidRPr="00662DFD">
        <w:t>Section 4.1</w:t>
      </w:r>
      <w:r>
        <w:t xml:space="preserve">. </w:t>
      </w:r>
    </w:p>
  </w:footnote>
  <w:footnote w:id="12">
    <w:p w14:paraId="62CFFB0E" w14:textId="4D240172" w:rsidR="005649D3" w:rsidRDefault="005649D3">
      <w:pPr>
        <w:pStyle w:val="FootnoteText"/>
      </w:pPr>
      <w:r>
        <w:rPr>
          <w:rStyle w:val="FootnoteReference"/>
        </w:rPr>
        <w:footnoteRef/>
      </w:r>
      <w:r>
        <w:t xml:space="preserve"> </w:t>
      </w:r>
      <w:r w:rsidR="0027212D" w:rsidRPr="0027212D">
        <w:rPr>
          <w:b/>
          <w:bCs/>
          <w:i/>
          <w:iCs/>
        </w:rPr>
        <w:t>Note:</w:t>
      </w:r>
      <w:r w:rsidR="0027212D">
        <w:t xml:space="preserve"> </w:t>
      </w:r>
      <w:r>
        <w:t xml:space="preserve">Lessons from these data sets are considered further in </w:t>
      </w:r>
      <w:r w:rsidRPr="00662DFD">
        <w:t xml:space="preserve">Section </w:t>
      </w:r>
      <w:r w:rsidR="002B4FB1" w:rsidRPr="00662DFD">
        <w:t>5.7</w:t>
      </w:r>
      <w:r w:rsidR="00662DFD">
        <w:t>.</w:t>
      </w:r>
    </w:p>
  </w:footnote>
  <w:footnote w:id="13">
    <w:p w14:paraId="693E7DE5" w14:textId="4750B47F" w:rsidR="0025716F" w:rsidRDefault="0025716F">
      <w:pPr>
        <w:pStyle w:val="FootnoteText"/>
      </w:pPr>
      <w:r>
        <w:rPr>
          <w:rStyle w:val="FootnoteReference"/>
        </w:rPr>
        <w:footnoteRef/>
      </w:r>
      <w:r>
        <w:t xml:space="preserve"> </w:t>
      </w:r>
      <w:r w:rsidRPr="004A54BB">
        <w:rPr>
          <w:b/>
          <w:bCs/>
          <w:i/>
          <w:iCs/>
        </w:rPr>
        <w:t>Note</w:t>
      </w:r>
      <w:r>
        <w:t xml:space="preserve">: </w:t>
      </w:r>
      <w:r w:rsidR="00C606FE">
        <w:t xml:space="preserve">This </w:t>
      </w:r>
      <w:r w:rsidR="004D1D1A">
        <w:t xml:space="preserve">report understands that this </w:t>
      </w:r>
      <w:r w:rsidR="00C606FE">
        <w:t xml:space="preserve">is due, in part, </w:t>
      </w:r>
      <w:r w:rsidR="005D4188">
        <w:t xml:space="preserve">to a greater discretion afforded to private </w:t>
      </w:r>
      <w:r w:rsidR="00294F37">
        <w:t xml:space="preserve">services </w:t>
      </w:r>
      <w:r w:rsidR="00EB55AE">
        <w:t xml:space="preserve">on how they handle </w:t>
      </w:r>
      <w:r w:rsidR="00294F37">
        <w:t>data</w:t>
      </w:r>
      <w:r w:rsidR="00EB55AE">
        <w:t xml:space="preserve"> as a result of </w:t>
      </w:r>
      <w:r w:rsidR="00294F37">
        <w:t xml:space="preserve">different funding </w:t>
      </w:r>
      <w:r w:rsidR="00EB55AE">
        <w:t>obligations</w:t>
      </w:r>
      <w:r w:rsidR="00294F37">
        <w:t xml:space="preserve">. </w:t>
      </w:r>
    </w:p>
  </w:footnote>
  <w:footnote w:id="14">
    <w:p w14:paraId="2A5184FE" w14:textId="049032E6" w:rsidR="00F12DBC" w:rsidRPr="00735EEC" w:rsidRDefault="00F12DBC">
      <w:pPr>
        <w:pStyle w:val="FootnoteText"/>
        <w:rPr>
          <w:lang w:val="en-GB"/>
        </w:rPr>
      </w:pPr>
      <w:r>
        <w:rPr>
          <w:rStyle w:val="FootnoteReference"/>
        </w:rPr>
        <w:footnoteRef/>
      </w:r>
      <w:r>
        <w:t xml:space="preserve"> </w:t>
      </w:r>
      <w:r w:rsidR="000E1516">
        <w:rPr>
          <w:b/>
          <w:bCs/>
          <w:i/>
          <w:iCs/>
          <w:lang w:val="en-GB"/>
        </w:rPr>
        <w:t xml:space="preserve">Note: </w:t>
      </w:r>
      <w:r w:rsidR="007B39DE" w:rsidRPr="00662DFD">
        <w:rPr>
          <w:lang w:val="en-GB"/>
        </w:rPr>
        <w:t>I</w:t>
      </w:r>
      <w:r w:rsidR="00735EEC" w:rsidRPr="00662DFD">
        <w:rPr>
          <w:lang w:val="en-GB"/>
        </w:rPr>
        <w:t xml:space="preserve">CT </w:t>
      </w:r>
      <w:r w:rsidR="007B39DE" w:rsidRPr="00662DFD">
        <w:rPr>
          <w:lang w:val="en-GB"/>
        </w:rPr>
        <w:t xml:space="preserve">operational challenges are discussed in </w:t>
      </w:r>
      <w:r w:rsidR="003D0A6E" w:rsidRPr="00662DFD">
        <w:rPr>
          <w:lang w:val="en-GB"/>
        </w:rPr>
        <w:t xml:space="preserve">further </w:t>
      </w:r>
      <w:r w:rsidR="007B39DE" w:rsidRPr="00662DFD">
        <w:rPr>
          <w:lang w:val="en-GB"/>
        </w:rPr>
        <w:t xml:space="preserve">detail in </w:t>
      </w:r>
      <w:r w:rsidR="00662DFD" w:rsidRPr="00662DFD">
        <w:rPr>
          <w:lang w:val="en-GB"/>
        </w:rPr>
        <w:t>S</w:t>
      </w:r>
      <w:r w:rsidR="007B39DE" w:rsidRPr="00662DFD">
        <w:rPr>
          <w:lang w:val="en-GB"/>
        </w:rPr>
        <w:t>ection</w:t>
      </w:r>
      <w:r w:rsidR="00AC0608">
        <w:rPr>
          <w:lang w:val="en-GB"/>
        </w:rPr>
        <w:t>s</w:t>
      </w:r>
      <w:r w:rsidR="007B39DE" w:rsidRPr="00662DFD">
        <w:rPr>
          <w:lang w:val="en-GB"/>
        </w:rPr>
        <w:t xml:space="preserve"> 4.2 and 4.3</w:t>
      </w:r>
      <w:r w:rsidR="007B39DE">
        <w:rPr>
          <w:i/>
          <w:iCs/>
          <w:lang w:val="en-GB"/>
        </w:rPr>
        <w:t>.</w:t>
      </w:r>
    </w:p>
  </w:footnote>
  <w:footnote w:id="15">
    <w:p w14:paraId="1A2B62C9" w14:textId="7BB29A00" w:rsidR="00C93537" w:rsidRDefault="00C93537">
      <w:pPr>
        <w:pStyle w:val="FootnoteText"/>
      </w:pPr>
      <w:r>
        <w:rPr>
          <w:rStyle w:val="FootnoteReference"/>
        </w:rPr>
        <w:footnoteRef/>
      </w:r>
      <w:r>
        <w:t xml:space="preserve"> </w:t>
      </w:r>
      <w:r w:rsidRPr="004A54BB">
        <w:rPr>
          <w:b/>
          <w:bCs/>
          <w:i/>
          <w:iCs/>
        </w:rPr>
        <w:t>Note</w:t>
      </w:r>
      <w:r>
        <w:t xml:space="preserve">: This report understands that </w:t>
      </w:r>
      <w:r w:rsidR="002233EA">
        <w:t>terms ‘urosepsis’ and ‘biliary sepsis’</w:t>
      </w:r>
      <w:r>
        <w:t xml:space="preserve"> are </w:t>
      </w:r>
      <w:r w:rsidR="006061AB">
        <w:t xml:space="preserve">not </w:t>
      </w:r>
      <w:r w:rsidR="008F338A">
        <w:t xml:space="preserve">contemporary </w:t>
      </w:r>
      <w:r w:rsidR="00CB2F41">
        <w:t>naming conventions</w:t>
      </w:r>
      <w:r w:rsidR="00563CDB">
        <w:t xml:space="preserve">, which may indicate a gap in </w:t>
      </w:r>
      <w:r w:rsidR="002359BC">
        <w:t xml:space="preserve">education for healthcare providers. This </w:t>
      </w:r>
      <w:r w:rsidR="00C71842">
        <w:t xml:space="preserve">gap </w:t>
      </w:r>
      <w:r w:rsidR="002359BC">
        <w:t xml:space="preserve">should be </w:t>
      </w:r>
      <w:r w:rsidR="00C71842">
        <w:t xml:space="preserve">considered further in subsequent activities. </w:t>
      </w:r>
    </w:p>
  </w:footnote>
  <w:footnote w:id="16">
    <w:p w14:paraId="32CA5ED9" w14:textId="4ED56E23" w:rsidR="00EB27E0" w:rsidRPr="00EB27E0" w:rsidRDefault="00EB27E0">
      <w:pPr>
        <w:pStyle w:val="FootnoteText"/>
        <w:rPr>
          <w:lang w:val="en-GB"/>
        </w:rPr>
      </w:pPr>
      <w:r>
        <w:rPr>
          <w:rStyle w:val="FootnoteReference"/>
        </w:rPr>
        <w:footnoteRef/>
      </w:r>
      <w:r>
        <w:t xml:space="preserve"> </w:t>
      </w:r>
      <w:r>
        <w:rPr>
          <w:b/>
          <w:bCs/>
          <w:i/>
          <w:iCs/>
          <w:lang w:val="en-GB"/>
        </w:rPr>
        <w:t xml:space="preserve">Note: </w:t>
      </w:r>
      <w:r w:rsidR="006264A0" w:rsidRPr="006264A0">
        <w:rPr>
          <w:lang w:val="en-GB"/>
        </w:rPr>
        <w:t xml:space="preserve">Inconsistent use of implicit sepsis diagnoses by clinical coders when assigning diagnostic codes can further </w:t>
      </w:r>
      <w:r w:rsidR="00BB3546">
        <w:rPr>
          <w:lang w:val="en-GB"/>
        </w:rPr>
        <w:t>impact</w:t>
      </w:r>
      <w:r w:rsidR="006264A0" w:rsidRPr="006264A0">
        <w:rPr>
          <w:lang w:val="en-GB"/>
        </w:rPr>
        <w:t xml:space="preserve"> the accuracy and completeness of sepsis data.</w:t>
      </w:r>
    </w:p>
  </w:footnote>
  <w:footnote w:id="17">
    <w:p w14:paraId="19F89121" w14:textId="4D19C778" w:rsidR="00BC5BE1" w:rsidRDefault="00BC5BE1">
      <w:pPr>
        <w:pStyle w:val="FootnoteText"/>
      </w:pPr>
      <w:r>
        <w:rPr>
          <w:rStyle w:val="FootnoteReference"/>
        </w:rPr>
        <w:footnoteRef/>
      </w:r>
      <w:r>
        <w:t xml:space="preserve"> </w:t>
      </w:r>
      <w:r w:rsidRPr="00320E9D">
        <w:rPr>
          <w:b/>
          <w:bCs/>
          <w:i/>
          <w:iCs/>
        </w:rPr>
        <w:t>Note</w:t>
      </w:r>
      <w:r>
        <w:t xml:space="preserve">: These issues build on issues of underfunding, identified at </w:t>
      </w:r>
      <w:r w:rsidRPr="00662DFD">
        <w:t>Section 4.1</w:t>
      </w:r>
      <w:r w:rsidR="00320E9D">
        <w:t>.</w:t>
      </w:r>
    </w:p>
  </w:footnote>
  <w:footnote w:id="18">
    <w:p w14:paraId="448E1498" w14:textId="515B81A6" w:rsidR="00F72D83" w:rsidRDefault="00F72D83" w:rsidP="00F72D83">
      <w:pPr>
        <w:pStyle w:val="FootnoteText"/>
      </w:pPr>
      <w:r>
        <w:rPr>
          <w:rStyle w:val="FootnoteReference"/>
        </w:rPr>
        <w:footnoteRef/>
      </w:r>
      <w:r>
        <w:rPr>
          <w:b/>
          <w:i/>
        </w:rPr>
        <w:t xml:space="preserve"> </w:t>
      </w:r>
      <w:r w:rsidR="00066CF2" w:rsidRPr="00780049">
        <w:rPr>
          <w:b/>
          <w:bCs/>
          <w:i/>
          <w:iCs/>
        </w:rPr>
        <w:t>Note</w:t>
      </w:r>
      <w:r w:rsidR="00066CF2">
        <w:t xml:space="preserve">: </w:t>
      </w:r>
      <w:r w:rsidR="00273526">
        <w:t>Quality indicator</w:t>
      </w:r>
      <w:r w:rsidR="0002049F">
        <w:t xml:space="preserve"> 3b of the CCS</w:t>
      </w:r>
      <w:r w:rsidR="0049513E">
        <w:t xml:space="preserve"> </w:t>
      </w:r>
      <w:r w:rsidR="003200B8">
        <w:t>considers the ‘p</w:t>
      </w:r>
      <w:r w:rsidR="0049513E" w:rsidRPr="0049513E">
        <w:t>roportion of patients with signs and symptoms of infection-related organ dysfunction who started their first dose of an empirical antimicrobial within 60 minutes of recognition.</w:t>
      </w:r>
      <w:r w:rsidR="003200B8">
        <w:t>’</w:t>
      </w:r>
    </w:p>
  </w:footnote>
  <w:footnote w:id="19">
    <w:p w14:paraId="390822EE" w14:textId="1DE30A66" w:rsidR="00D45F30" w:rsidRDefault="00D45F30">
      <w:pPr>
        <w:pStyle w:val="FootnoteText"/>
      </w:pPr>
      <w:r>
        <w:rPr>
          <w:rStyle w:val="FootnoteReference"/>
        </w:rPr>
        <w:footnoteRef/>
      </w:r>
      <w:r>
        <w:t xml:space="preserve"> </w:t>
      </w:r>
      <w:r w:rsidRPr="004A54BB">
        <w:rPr>
          <w:b/>
          <w:bCs/>
          <w:i/>
          <w:iCs/>
        </w:rPr>
        <w:t>Note</w:t>
      </w:r>
      <w:r>
        <w:t>: See Figure 1 (p. 10)</w:t>
      </w:r>
      <w:r w:rsidR="00E77E11">
        <w:t xml:space="preserve"> for an example of effective data sharing supporting an uplift of </w:t>
      </w:r>
      <w:r w:rsidR="00D804A2">
        <w:t>professional practices.</w:t>
      </w:r>
    </w:p>
  </w:footnote>
  <w:footnote w:id="20">
    <w:p w14:paraId="11DCDA16" w14:textId="3E6893F5" w:rsidR="00E62467" w:rsidRDefault="00E62467" w:rsidP="00E62467">
      <w:pPr>
        <w:pStyle w:val="FootnoteText"/>
      </w:pPr>
      <w:r w:rsidRPr="00A7067C">
        <w:rPr>
          <w:rStyle w:val="FootnoteReference"/>
        </w:rPr>
        <w:footnoteRef/>
      </w:r>
      <w:r w:rsidRPr="00A7067C">
        <w:t xml:space="preserve"> </w:t>
      </w:r>
      <w:r w:rsidR="00A7067C" w:rsidRPr="00A7067C">
        <w:rPr>
          <w:b/>
          <w:bCs/>
          <w:i/>
          <w:iCs/>
        </w:rPr>
        <w:t>Note</w:t>
      </w:r>
      <w:r w:rsidR="00A7067C" w:rsidRPr="00A7067C">
        <w:t xml:space="preserve">: Considered further in </w:t>
      </w:r>
      <w:r w:rsidR="00A7067C" w:rsidRPr="00662DFD">
        <w:t>Section 4.4</w:t>
      </w:r>
      <w:r w:rsidR="00662DFD">
        <w:t>.</w:t>
      </w:r>
    </w:p>
  </w:footnote>
  <w:footnote w:id="21">
    <w:p w14:paraId="0B3B5E9A" w14:textId="3FB82107" w:rsidR="004B0851" w:rsidRDefault="004B0851">
      <w:pPr>
        <w:pStyle w:val="FootnoteText"/>
      </w:pPr>
      <w:r>
        <w:rPr>
          <w:rStyle w:val="FootnoteReference"/>
        </w:rPr>
        <w:footnoteRef/>
      </w:r>
      <w:r>
        <w:t xml:space="preserve"> </w:t>
      </w:r>
      <w:r w:rsidR="00500498" w:rsidRPr="00500498">
        <w:rPr>
          <w:b/>
          <w:bCs/>
          <w:i/>
          <w:iCs/>
        </w:rPr>
        <w:t>Note:</w:t>
      </w:r>
      <w:r>
        <w:t xml:space="preserve"> </w:t>
      </w:r>
      <w:r w:rsidR="005412F4" w:rsidRPr="005412F4">
        <w:t>A data dictionary is a centralised repository that provides detailed information about the data used within a system, database, or project. It defines and describes the structure, relationships, and attributes of data elements, including names, types, formats, allowable values, and descriptions.</w:t>
      </w:r>
      <w:r w:rsidR="00500498">
        <w:t xml:space="preserve"> </w:t>
      </w:r>
    </w:p>
  </w:footnote>
  <w:footnote w:id="22">
    <w:p w14:paraId="216B28B2" w14:textId="5F8BF96E" w:rsidR="00D864A1" w:rsidRDefault="00D864A1" w:rsidP="00D864A1">
      <w:pPr>
        <w:pStyle w:val="FootnoteText"/>
      </w:pPr>
      <w:r>
        <w:rPr>
          <w:rStyle w:val="FootnoteReference"/>
        </w:rPr>
        <w:footnoteRef/>
      </w:r>
      <w:r>
        <w:t xml:space="preserve"> </w:t>
      </w:r>
      <w:r w:rsidRPr="006672F9">
        <w:rPr>
          <w:b/>
          <w:bCs/>
          <w:i/>
          <w:iCs/>
        </w:rPr>
        <w:t>Note</w:t>
      </w:r>
      <w:r>
        <w:t xml:space="preserve">: This report notes that during this exercise, the Commission, in partnership with the TGI and Sepsis Australia, have developed an online training module </w:t>
      </w:r>
      <w:r w:rsidR="007578EB">
        <w:t>for primary care</w:t>
      </w:r>
      <w:r>
        <w:t xml:space="preserve">, available at: </w:t>
      </w:r>
      <w:hyperlink r:id="rId2" w:history="1">
        <w:r w:rsidRPr="0022740C">
          <w:rPr>
            <w:rStyle w:val="Hyperlink"/>
          </w:rPr>
          <w:t>https://medcast.com.au/courses/1136</w:t>
        </w:r>
      </w:hyperlink>
      <w:r>
        <w:t xml:space="preserve"> </w:t>
      </w:r>
    </w:p>
  </w:footnote>
  <w:footnote w:id="23">
    <w:p w14:paraId="60FE090F" w14:textId="77777777" w:rsidR="000E3B74" w:rsidRDefault="000E3B74" w:rsidP="000E3B74">
      <w:pPr>
        <w:pStyle w:val="FootnoteText"/>
      </w:pPr>
      <w:r>
        <w:rPr>
          <w:rStyle w:val="FootnoteReference"/>
        </w:rPr>
        <w:footnoteRef/>
      </w:r>
      <w:r>
        <w:t xml:space="preserve"> </w:t>
      </w:r>
      <w:r w:rsidRPr="00005254">
        <w:rPr>
          <w:b/>
          <w:bCs/>
          <w:i/>
          <w:iCs/>
        </w:rPr>
        <w:t>Note</w:t>
      </w:r>
      <w:r>
        <w:t xml:space="preserve">: See </w:t>
      </w:r>
      <w:r w:rsidRPr="00662DFD">
        <w:t>Section 4.2.3</w:t>
      </w:r>
      <w:r>
        <w:t>.</w:t>
      </w:r>
    </w:p>
  </w:footnote>
  <w:footnote w:id="24">
    <w:p w14:paraId="012305C1" w14:textId="688C0E68" w:rsidR="00F46EF1" w:rsidRDefault="00F46EF1">
      <w:pPr>
        <w:pStyle w:val="FootnoteText"/>
      </w:pPr>
      <w:r>
        <w:rPr>
          <w:rStyle w:val="FootnoteReference"/>
        </w:rPr>
        <w:footnoteRef/>
      </w:r>
      <w:r>
        <w:t xml:space="preserve"> </w:t>
      </w:r>
      <w:r w:rsidR="0087574D" w:rsidRPr="0087574D">
        <w:rPr>
          <w:b/>
          <w:bCs/>
          <w:i/>
          <w:iCs/>
        </w:rPr>
        <w:t>Note</w:t>
      </w:r>
      <w:r w:rsidR="0087574D">
        <w:t>: available at</w:t>
      </w:r>
      <w:r>
        <w:t xml:space="preserve">: </w:t>
      </w:r>
      <w:hyperlink r:id="rId3" w:history="1">
        <w:r w:rsidRPr="00830C72">
          <w:rPr>
            <w:rStyle w:val="Hyperlink"/>
          </w:rPr>
          <w:t>https://www.safetyandquality.gov.au/publications-and-resources/resource-library/sepsis-medical-record-review-pilot-study</w:t>
        </w:r>
      </w:hyperlink>
    </w:p>
  </w:footnote>
  <w:footnote w:id="25">
    <w:p w14:paraId="5FA84107" w14:textId="16E924C9" w:rsidR="00776823" w:rsidRDefault="00776823">
      <w:pPr>
        <w:pStyle w:val="FootnoteText"/>
      </w:pPr>
      <w:r>
        <w:rPr>
          <w:rStyle w:val="FootnoteReference"/>
        </w:rPr>
        <w:footnoteRef/>
      </w:r>
      <w:r>
        <w:t xml:space="preserve"> </w:t>
      </w:r>
      <w:r w:rsidRPr="004A54BB">
        <w:rPr>
          <w:b/>
          <w:bCs/>
          <w:i/>
          <w:iCs/>
        </w:rPr>
        <w:t>Note</w:t>
      </w:r>
      <w:r>
        <w:t xml:space="preserve">: This should be considered against, and arguably precede, </w:t>
      </w:r>
      <w:r w:rsidR="00933A01">
        <w:t>the planned im</w:t>
      </w:r>
      <w:r w:rsidR="008D226D">
        <w:t>plementation of ICD-11</w:t>
      </w:r>
      <w:r w:rsidR="009C1CB5">
        <w:t>.</w:t>
      </w:r>
    </w:p>
  </w:footnote>
  <w:footnote w:id="26">
    <w:p w14:paraId="5F953E3C" w14:textId="524EFE30" w:rsidR="00765759" w:rsidRDefault="00765759">
      <w:pPr>
        <w:pStyle w:val="FootnoteText"/>
      </w:pPr>
      <w:r>
        <w:rPr>
          <w:rStyle w:val="FootnoteReference"/>
        </w:rPr>
        <w:footnoteRef/>
      </w:r>
      <w:r>
        <w:t xml:space="preserve"> </w:t>
      </w:r>
      <w:r w:rsidRPr="004A54BB">
        <w:rPr>
          <w:b/>
          <w:bCs/>
          <w:i/>
          <w:iCs/>
        </w:rPr>
        <w:t>Note</w:t>
      </w:r>
      <w:r>
        <w:t xml:space="preserve">: One option considered in preparing this </w:t>
      </w:r>
      <w:r w:rsidR="00720CD6">
        <w:t xml:space="preserve">report </w:t>
      </w:r>
      <w:r w:rsidR="00410317">
        <w:t>was to design the inaugural audit</w:t>
      </w:r>
      <w:r w:rsidR="00B43AB4">
        <w:t xml:space="preserve"> by focusing </w:t>
      </w:r>
      <w:r w:rsidR="00E04A45">
        <w:t>on a specified patient group (e.g. paediatric</w:t>
      </w:r>
      <w:r w:rsidR="00951E17">
        <w:t>, maternal, neonatal</w:t>
      </w:r>
      <w:r w:rsidR="00E04A45">
        <w:t>) and to build out to include other patient groups over time. This report considers that in the absence of other limiting factors</w:t>
      </w:r>
      <w:r w:rsidR="00DA6698">
        <w:t xml:space="preserve">, all relevant patient groups should be considered. </w:t>
      </w:r>
      <w:r w:rsidR="00A20A26">
        <w:t>See Section 5.8.2.</w:t>
      </w:r>
    </w:p>
  </w:footnote>
  <w:footnote w:id="27">
    <w:p w14:paraId="3162DFF6" w14:textId="5AE39F12" w:rsidR="00627AF4" w:rsidRDefault="00627AF4">
      <w:pPr>
        <w:pStyle w:val="FootnoteText"/>
      </w:pPr>
      <w:r>
        <w:rPr>
          <w:rStyle w:val="FootnoteReference"/>
        </w:rPr>
        <w:footnoteRef/>
      </w:r>
      <w:r>
        <w:t xml:space="preserve"> </w:t>
      </w:r>
      <w:r w:rsidRPr="004A54BB">
        <w:rPr>
          <w:b/>
          <w:bCs/>
          <w:i/>
          <w:iCs/>
        </w:rPr>
        <w:t>Note</w:t>
      </w:r>
      <w:r>
        <w:t>: During the review of this report, it was noted</w:t>
      </w:r>
      <w:r w:rsidR="00443349">
        <w:t xml:space="preserve"> that </w:t>
      </w:r>
      <w:r w:rsidR="00605911">
        <w:t xml:space="preserve">as </w:t>
      </w:r>
      <w:r w:rsidR="00F06103">
        <w:t xml:space="preserve">medical data will </w:t>
      </w:r>
      <w:r w:rsidR="00605911">
        <w:t xml:space="preserve">invariably transition away from paper-based records, there is a case to be made that </w:t>
      </w:r>
      <w:r w:rsidR="00995A38">
        <w:t xml:space="preserve">a snapshot audit ought to be </w:t>
      </w:r>
      <w:r w:rsidR="004928F7">
        <w:t xml:space="preserve">designed for EMRs. </w:t>
      </w:r>
      <w:r w:rsidR="00A55B26">
        <w:t>This should be further considered during the design of the audit.</w:t>
      </w:r>
    </w:p>
  </w:footnote>
  <w:footnote w:id="28">
    <w:p w14:paraId="54655E8C" w14:textId="5925ED54" w:rsidR="006C16FC" w:rsidRDefault="006C16FC">
      <w:pPr>
        <w:pStyle w:val="FootnoteText"/>
      </w:pPr>
      <w:r>
        <w:rPr>
          <w:rStyle w:val="FootnoteReference"/>
        </w:rPr>
        <w:footnoteRef/>
      </w:r>
      <w:r>
        <w:t xml:space="preserve"> </w:t>
      </w:r>
      <w:r w:rsidR="001B331B" w:rsidRPr="001B331B">
        <w:rPr>
          <w:b/>
          <w:bCs/>
          <w:i/>
          <w:iCs/>
        </w:rPr>
        <w:t>Note:</w:t>
      </w:r>
      <w:r>
        <w:t xml:space="preserve"> </w:t>
      </w:r>
      <w:r w:rsidRPr="006C16FC">
        <w:t>Data linkage is the process of bringing together information from different sources that relate to the same individual, family, place, or event</w:t>
      </w:r>
      <w:r w:rsidR="00002EF4">
        <w:t xml:space="preserve">, without generating a new data set. It may involve additional protections to ensure that personal information is preserved. </w:t>
      </w:r>
    </w:p>
  </w:footnote>
  <w:footnote w:id="29">
    <w:p w14:paraId="7ABF902A" w14:textId="17ECC8B4" w:rsidR="00B106C9" w:rsidRDefault="00B106C9">
      <w:pPr>
        <w:pStyle w:val="FootnoteText"/>
      </w:pPr>
      <w:r>
        <w:rPr>
          <w:rStyle w:val="FootnoteReference"/>
        </w:rPr>
        <w:footnoteRef/>
      </w:r>
      <w:r>
        <w:t xml:space="preserve"> </w:t>
      </w:r>
      <w:r w:rsidRPr="002B0070">
        <w:rPr>
          <w:b/>
          <w:bCs/>
          <w:i/>
          <w:iCs/>
        </w:rPr>
        <w:t>Note</w:t>
      </w:r>
      <w:r>
        <w:t xml:space="preserve">: Except QLD who have a fully integrated </w:t>
      </w:r>
      <w:r w:rsidR="002B0070">
        <w:t>EMR</w:t>
      </w:r>
    </w:p>
  </w:footnote>
  <w:footnote w:id="30">
    <w:p w14:paraId="6887DFCC" w14:textId="4617AB5E" w:rsidR="00DE0943" w:rsidRPr="00DE0943" w:rsidRDefault="00DE0943">
      <w:pPr>
        <w:pStyle w:val="FootnoteText"/>
        <w:rPr>
          <w:lang w:val="en-GB"/>
        </w:rPr>
      </w:pPr>
      <w:r>
        <w:rPr>
          <w:rStyle w:val="FootnoteReference"/>
        </w:rPr>
        <w:footnoteRef/>
      </w:r>
      <w:r>
        <w:t xml:space="preserve"> </w:t>
      </w:r>
      <w:r>
        <w:rPr>
          <w:b/>
          <w:bCs/>
          <w:i/>
          <w:iCs/>
          <w:lang w:val="en-GB"/>
        </w:rPr>
        <w:t>Note:</w:t>
      </w:r>
      <w:r w:rsidRPr="00DE0943">
        <w:rPr>
          <w:lang w:val="en-GB"/>
        </w:rPr>
        <w:t xml:space="preserve"> The NSW Lumos project, for example, demonstrates how primary care data can be securely and meaningfully linked with hospital records.</w:t>
      </w:r>
      <w:r>
        <w:rPr>
          <w:lang w:val="en-GB"/>
        </w:rPr>
        <w:t xml:space="preserve"> </w:t>
      </w:r>
      <w:r>
        <w:t xml:space="preserve">Further information on Lumos (not considered in this report) is available here: </w:t>
      </w:r>
      <w:hyperlink r:id="rId4" w:history="1">
        <w:r w:rsidRPr="00830C72">
          <w:rPr>
            <w:rStyle w:val="Hyperlink"/>
          </w:rPr>
          <w:t>https://www.health.nsw.gov.au/lumos/Pages/default.aspx</w:t>
        </w:r>
      </w:hyperlink>
      <w:r>
        <w:t>.</w:t>
      </w:r>
      <w:r w:rsidRPr="00DE0943">
        <w:rPr>
          <w:lang w:val="en-GB"/>
        </w:rPr>
        <w:t xml:space="preserve"> Similarly, pilots led by CSIRO and state-based digital health agencies are exploring technical and governance models for cross-sector integration.</w:t>
      </w:r>
    </w:p>
  </w:footnote>
  <w:footnote w:id="31">
    <w:p w14:paraId="1FC47E69" w14:textId="587854B4" w:rsidR="007F77C3" w:rsidRDefault="007F77C3">
      <w:pPr>
        <w:pStyle w:val="FootnoteText"/>
      </w:pPr>
      <w:r>
        <w:rPr>
          <w:rStyle w:val="FootnoteReference"/>
        </w:rPr>
        <w:footnoteRef/>
      </w:r>
      <w:r>
        <w:t xml:space="preserve"> </w:t>
      </w:r>
      <w:r w:rsidR="0082138B" w:rsidRPr="0082138B">
        <w:rPr>
          <w:b/>
          <w:bCs/>
          <w:i/>
          <w:iCs/>
        </w:rPr>
        <w:t>Note</w:t>
      </w:r>
      <w:r w:rsidR="0082138B">
        <w:t>:</w:t>
      </w:r>
      <w:r>
        <w:t xml:space="preserve"> </w:t>
      </w:r>
      <w:r w:rsidRPr="007F77C3">
        <w:t>FHIR (Fast Healthcare Interoperability Resources) is a globally recognised standard developed for the electronic exchange of healthcare information. It defines how healthcare data can be structured, shared, and accessed across different systems in a consistent and secure manner.</w:t>
      </w:r>
      <w:r>
        <w:t xml:space="preserve"> </w:t>
      </w:r>
    </w:p>
  </w:footnote>
  <w:footnote w:id="32">
    <w:p w14:paraId="16212786" w14:textId="3F6F9A59" w:rsidR="00016F79" w:rsidRDefault="00016F79">
      <w:pPr>
        <w:pStyle w:val="FootnoteText"/>
      </w:pPr>
      <w:r>
        <w:rPr>
          <w:rStyle w:val="FootnoteReference"/>
        </w:rPr>
        <w:footnoteRef/>
      </w:r>
      <w:r>
        <w:t xml:space="preserve"> </w:t>
      </w:r>
      <w:r w:rsidRPr="004A54BB">
        <w:rPr>
          <w:b/>
          <w:bCs/>
          <w:i/>
          <w:iCs/>
        </w:rPr>
        <w:t>Note</w:t>
      </w:r>
      <w:r>
        <w:t>: During the review of this report, it was identified that a linkage exercise with coded sepsis patients and PREMS may have occurred in Queensland. This should be considered further in downstream activities.</w:t>
      </w:r>
    </w:p>
  </w:footnote>
  <w:footnote w:id="33">
    <w:p w14:paraId="634258ED" w14:textId="3D74875E" w:rsidR="00FF44C6" w:rsidRDefault="00FF44C6">
      <w:pPr>
        <w:pStyle w:val="FootnoteText"/>
      </w:pPr>
      <w:r>
        <w:rPr>
          <w:rStyle w:val="FootnoteReference"/>
        </w:rPr>
        <w:footnoteRef/>
      </w:r>
      <w:r>
        <w:t xml:space="preserve"> </w:t>
      </w:r>
      <w:r w:rsidRPr="004A54BB">
        <w:rPr>
          <w:b/>
          <w:bCs/>
          <w:i/>
          <w:iCs/>
        </w:rPr>
        <w:t>Note</w:t>
      </w:r>
      <w:r>
        <w:t xml:space="preserve">: These insights should be considered against </w:t>
      </w:r>
      <w:r w:rsidR="00A9625C">
        <w:t>the findings of this report</w:t>
      </w:r>
      <w:r w:rsidR="0029697E">
        <w:t xml:space="preserve">, particularly in </w:t>
      </w:r>
      <w:r w:rsidR="00266E50">
        <w:t>S</w:t>
      </w:r>
      <w:r w:rsidR="0029697E">
        <w:t xml:space="preserve">ection </w:t>
      </w:r>
      <w:r w:rsidR="00266E50">
        <w:t>4.1 as it relates to unfunded contributions.</w:t>
      </w:r>
    </w:p>
  </w:footnote>
  <w:footnote w:id="34">
    <w:p w14:paraId="64DB3A87" w14:textId="20F2D3C4" w:rsidR="00475CC0" w:rsidRPr="0008458A" w:rsidRDefault="00475CC0" w:rsidP="00475CC0">
      <w:pPr>
        <w:pStyle w:val="FootnoteText"/>
        <w:rPr>
          <w:highlight w:val="yellow"/>
        </w:rPr>
      </w:pPr>
      <w:r>
        <w:rPr>
          <w:rStyle w:val="FootnoteReference"/>
        </w:rPr>
        <w:footnoteRef/>
      </w:r>
      <w:r w:rsidR="0008458A">
        <w:t xml:space="preserve"> </w:t>
      </w:r>
      <w:r w:rsidR="00840A3A" w:rsidRPr="0008458A">
        <w:t xml:space="preserve">University of New South Wales, (2025), </w:t>
      </w:r>
      <w:r w:rsidR="00840A3A" w:rsidRPr="0008458A">
        <w:rPr>
          <w:i/>
          <w:iCs/>
        </w:rPr>
        <w:t>Australian and New Zealand Neonatal Network (ANZNN)</w:t>
      </w:r>
      <w:r w:rsidR="00840A3A" w:rsidRPr="0008458A">
        <w:t>, UNSW, Sydney. Available at: https://www.unsw.edu.au/research/npesu/clinical-registries/australian-new-zealand-neonatal-network-anznn.</w:t>
      </w:r>
    </w:p>
  </w:footnote>
  <w:footnote w:id="35">
    <w:p w14:paraId="1206CD76" w14:textId="1087D713" w:rsidR="00475CC0" w:rsidRDefault="00475CC0" w:rsidP="00475CC0">
      <w:pPr>
        <w:pStyle w:val="FootnoteText"/>
      </w:pPr>
      <w:r>
        <w:rPr>
          <w:rStyle w:val="FootnoteReference"/>
        </w:rPr>
        <w:footnoteRef/>
      </w:r>
      <w:r w:rsidRPr="0008458A">
        <w:t xml:space="preserve"> </w:t>
      </w:r>
      <w:r w:rsidR="0041242F" w:rsidRPr="0008458A">
        <w:t>Australian and New Zealand Intensive Care Society, (2025), Adult Patient Database (APD), ANZICS, Melbourne. Available at:</w:t>
      </w:r>
      <w:r>
        <w:t xml:space="preserve"> </w:t>
      </w:r>
      <w:r w:rsidRPr="00210BF0">
        <w:t>https://www.anzics.org/adult-patient-database-apd/</w:t>
      </w:r>
    </w:p>
  </w:footnote>
  <w:footnote w:id="36">
    <w:p w14:paraId="2A04E8D5" w14:textId="32DB9401" w:rsidR="00475CC0" w:rsidRDefault="00475CC0" w:rsidP="00475CC0">
      <w:pPr>
        <w:pStyle w:val="FootnoteText"/>
      </w:pPr>
      <w:r>
        <w:rPr>
          <w:rStyle w:val="FootnoteReference"/>
        </w:rPr>
        <w:footnoteRef/>
      </w:r>
      <w:r>
        <w:t xml:space="preserve"> </w:t>
      </w:r>
      <w:r w:rsidRPr="0008458A">
        <w:rPr>
          <w:b/>
          <w:i/>
        </w:rPr>
        <w:t>Note:</w:t>
      </w:r>
      <w:r>
        <w:t xml:space="preserve"> Considered at </w:t>
      </w:r>
      <w:r w:rsidR="00F376E8">
        <w:t>above n 28</w:t>
      </w:r>
      <w:r>
        <w:t>.</w:t>
      </w:r>
    </w:p>
  </w:footnote>
  <w:footnote w:id="37">
    <w:p w14:paraId="0CACF622" w14:textId="27DF5578" w:rsidR="002040EC" w:rsidRDefault="002040EC">
      <w:pPr>
        <w:pStyle w:val="FootnoteText"/>
      </w:pPr>
      <w:r>
        <w:rPr>
          <w:rStyle w:val="FootnoteReference"/>
        </w:rPr>
        <w:footnoteRef/>
      </w:r>
      <w:r w:rsidRPr="0008458A">
        <w:t xml:space="preserve"> </w:t>
      </w:r>
      <w:r w:rsidR="0008458A" w:rsidRPr="0008458A">
        <w:rPr>
          <w:b/>
          <w:bCs/>
          <w:i/>
          <w:iCs/>
        </w:rPr>
        <w:t xml:space="preserve">Note: </w:t>
      </w:r>
      <w:r w:rsidR="00973B97" w:rsidRPr="00973B97">
        <w:t xml:space="preserve">Additional </w:t>
      </w:r>
      <w:r w:rsidR="00973B97">
        <w:t xml:space="preserve">information </w:t>
      </w:r>
      <w:r w:rsidR="00973B97" w:rsidRPr="00973B97">
        <w:t>a</w:t>
      </w:r>
      <w:r w:rsidR="0008458A" w:rsidRPr="00973B97">
        <w:t>vailable</w:t>
      </w:r>
      <w:r w:rsidR="0008458A" w:rsidRPr="0008458A">
        <w:t xml:space="preserve"> at</w:t>
      </w:r>
      <w:r>
        <w:t xml:space="preserve"> </w:t>
      </w:r>
      <w:hyperlink r:id="rId5" w:history="1">
        <w:r w:rsidRPr="00830C72">
          <w:rPr>
            <w:rStyle w:val="Hyperlink"/>
          </w:rPr>
          <w:t>https://auscr.com.au/</w:t>
        </w:r>
      </w:hyperlink>
      <w:r>
        <w:t xml:space="preserve"> </w:t>
      </w:r>
    </w:p>
  </w:footnote>
  <w:footnote w:id="38">
    <w:p w14:paraId="12115174" w14:textId="4690B3CD" w:rsidR="007954EA" w:rsidRDefault="007954EA">
      <w:pPr>
        <w:pStyle w:val="FootnoteText"/>
      </w:pPr>
      <w:r>
        <w:rPr>
          <w:rStyle w:val="FootnoteReference"/>
        </w:rPr>
        <w:footnoteRef/>
      </w:r>
      <w:r>
        <w:t xml:space="preserve"> </w:t>
      </w:r>
      <w:r w:rsidR="00F34C13" w:rsidRPr="00F34C13">
        <w:t>Royal Australasian College of Surgeons</w:t>
      </w:r>
      <w:r w:rsidR="00F34C13">
        <w:t>,</w:t>
      </w:r>
      <w:r w:rsidR="00F34C13" w:rsidRPr="00F34C13">
        <w:t xml:space="preserve"> (n.d.). ANZ Emergency Laparotomy Audit – Quality Improvement. Retrieved July 22, 2025</w:t>
      </w:r>
      <w:r w:rsidR="00374C42">
        <w:t xml:space="preserve">. Available at: </w:t>
      </w:r>
      <w:r w:rsidR="00F34C13" w:rsidRPr="00F34C13">
        <w:t>https://www.surgeons.org/research-audit/morbidity-audits/morbidity-audits-managed-by-racs/anz-emergency-laparotomy-audit-quality-improvement</w:t>
      </w:r>
    </w:p>
  </w:footnote>
  <w:footnote w:id="39">
    <w:p w14:paraId="5BA0D17C" w14:textId="3E3164A9" w:rsidR="000562B6" w:rsidRDefault="000562B6">
      <w:pPr>
        <w:pStyle w:val="FootnoteText"/>
      </w:pPr>
      <w:r>
        <w:rPr>
          <w:rStyle w:val="FootnoteReference"/>
        </w:rPr>
        <w:footnoteRef/>
      </w:r>
      <w:r>
        <w:t xml:space="preserve"> </w:t>
      </w:r>
      <w:r w:rsidRPr="004A54BB">
        <w:rPr>
          <w:b/>
          <w:bCs/>
          <w:i/>
          <w:iCs/>
        </w:rPr>
        <w:t>Note</w:t>
      </w:r>
      <w:r>
        <w:t xml:space="preserve">: During the review of this report, </w:t>
      </w:r>
      <w:r w:rsidR="00160130">
        <w:t xml:space="preserve">the </w:t>
      </w:r>
      <w:r w:rsidR="0009334E">
        <w:t xml:space="preserve">NSW and National emergency and admitted patient data sets </w:t>
      </w:r>
      <w:r w:rsidR="00160130">
        <w:t>were</w:t>
      </w:r>
      <w:r w:rsidR="0009334E">
        <w:t xml:space="preserve"> raised as possible </w:t>
      </w:r>
      <w:r w:rsidR="00160130">
        <w:t xml:space="preserve">linkage opportunities. For an example of </w:t>
      </w:r>
      <w:r w:rsidR="00CB6D57">
        <w:t>the use of administrative data sets, see Section 5.9.3.</w:t>
      </w:r>
    </w:p>
  </w:footnote>
  <w:footnote w:id="40">
    <w:p w14:paraId="4249D85E" w14:textId="0DD27D92" w:rsidR="00C748AC" w:rsidRDefault="00C748AC">
      <w:pPr>
        <w:pStyle w:val="FootnoteText"/>
      </w:pPr>
      <w:r w:rsidRPr="0008458A">
        <w:rPr>
          <w:rStyle w:val="FootnoteReference"/>
        </w:rPr>
        <w:footnoteRef/>
      </w:r>
      <w:r w:rsidRPr="0008458A">
        <w:t xml:space="preserve"> </w:t>
      </w:r>
      <w:r w:rsidRPr="0008458A">
        <w:rPr>
          <w:b/>
          <w:bCs/>
          <w:i/>
          <w:iCs/>
        </w:rPr>
        <w:t>Note:</w:t>
      </w:r>
      <w:r w:rsidRPr="0008458A">
        <w:t xml:space="preserve"> Considered further as a challenge in Section </w:t>
      </w:r>
      <w:r w:rsidR="0008458A" w:rsidRPr="0008458A">
        <w:t>4.3.</w:t>
      </w:r>
    </w:p>
  </w:footnote>
  <w:footnote w:id="41">
    <w:p w14:paraId="793A7F7E" w14:textId="688F8F9D" w:rsidR="00B579E2" w:rsidRDefault="00B579E2">
      <w:pPr>
        <w:pStyle w:val="FootnoteText"/>
      </w:pPr>
      <w:r>
        <w:rPr>
          <w:rStyle w:val="FootnoteReference"/>
        </w:rPr>
        <w:footnoteRef/>
      </w:r>
      <w:r>
        <w:t xml:space="preserve"> </w:t>
      </w:r>
      <w:r w:rsidRPr="00973B97">
        <w:rPr>
          <w:b/>
          <w:i/>
        </w:rPr>
        <w:t>Note:</w:t>
      </w:r>
      <w:r>
        <w:t xml:space="preserve"> This section does not consider the snapshot audit tool, considered further at </w:t>
      </w:r>
      <w:r w:rsidR="00F23EDE">
        <w:t>Section 5.3.</w:t>
      </w:r>
    </w:p>
  </w:footnote>
  <w:footnote w:id="42">
    <w:p w14:paraId="3BB1FBC1" w14:textId="36FA2E36" w:rsidR="00E6279C" w:rsidRDefault="00E6279C">
      <w:pPr>
        <w:pStyle w:val="FootnoteText"/>
      </w:pPr>
      <w:r>
        <w:rPr>
          <w:rStyle w:val="FootnoteReference"/>
        </w:rPr>
        <w:footnoteRef/>
      </w:r>
      <w:r>
        <w:t xml:space="preserve"> </w:t>
      </w:r>
      <w:r w:rsidRPr="004A54BB">
        <w:rPr>
          <w:b/>
          <w:bCs/>
          <w:i/>
          <w:iCs/>
        </w:rPr>
        <w:t>Note</w:t>
      </w:r>
      <w:r>
        <w:t>: Recognising that this may a</w:t>
      </w:r>
      <w:r w:rsidR="002D1BE5">
        <w:t>lready be provided, automatically, through admitted patient dataset and national death index</w:t>
      </w:r>
      <w:r w:rsidR="00550786">
        <w:t>, allowing contributors to focus on realising Tier 2 data contribution.</w:t>
      </w:r>
    </w:p>
  </w:footnote>
  <w:footnote w:id="43">
    <w:p w14:paraId="56F50E83" w14:textId="2563A2DB" w:rsidR="00E038CC" w:rsidRDefault="00E038CC">
      <w:pPr>
        <w:pStyle w:val="FootnoteText"/>
      </w:pPr>
      <w:r>
        <w:rPr>
          <w:rStyle w:val="FootnoteReference"/>
        </w:rPr>
        <w:footnoteRef/>
      </w:r>
      <w:r>
        <w:t xml:space="preserve"> </w:t>
      </w:r>
      <w:r w:rsidRPr="0077519E">
        <w:rPr>
          <w:b/>
          <w:bCs/>
          <w:i/>
          <w:iCs/>
        </w:rPr>
        <w:t>Note</w:t>
      </w:r>
      <w:r>
        <w:t>: In the review of this report, it was suggested that</w:t>
      </w:r>
      <w:r w:rsidR="00A653C0">
        <w:t xml:space="preserve"> improved data – possibly through a tiered data set </w:t>
      </w:r>
      <w:r w:rsidR="000E702D">
        <w:t>–</w:t>
      </w:r>
      <w:r w:rsidR="00A653C0">
        <w:t xml:space="preserve"> </w:t>
      </w:r>
      <w:r w:rsidR="000E702D">
        <w:t xml:space="preserve">could be to realise a evidence based protocol and reporting model, </w:t>
      </w:r>
      <w:r w:rsidR="00BB5F2D">
        <w:t xml:space="preserve">similar to the </w:t>
      </w:r>
      <w:r w:rsidR="00662B40">
        <w:t xml:space="preserve">‘New York State Sepsis Care Improvement Initiative’. </w:t>
      </w:r>
    </w:p>
  </w:footnote>
  <w:footnote w:id="44">
    <w:p w14:paraId="0033974D" w14:textId="2CC9AC9A" w:rsidR="004D6FF1" w:rsidRDefault="004D6FF1">
      <w:pPr>
        <w:pStyle w:val="FootnoteText"/>
      </w:pPr>
      <w:r>
        <w:rPr>
          <w:rStyle w:val="FootnoteReference"/>
        </w:rPr>
        <w:footnoteRef/>
      </w:r>
      <w:r>
        <w:t xml:space="preserve"> </w:t>
      </w:r>
      <w:r w:rsidRPr="002C26CF">
        <w:rPr>
          <w:b/>
          <w:bCs/>
          <w:i/>
          <w:iCs/>
        </w:rPr>
        <w:t>Note</w:t>
      </w:r>
      <w:r>
        <w:t xml:space="preserve">: With thanks to </w:t>
      </w:r>
      <w:r w:rsidR="00B94EB1">
        <w:t>Professor Daryl Jones</w:t>
      </w:r>
      <w:r w:rsidR="00F24EA6">
        <w:t xml:space="preserve"> for </w:t>
      </w:r>
      <w:r w:rsidR="002C26CF">
        <w:t xml:space="preserve">discussing his research and for </w:t>
      </w:r>
      <w:r w:rsidR="00F24EA6">
        <w:t xml:space="preserve">providing </w:t>
      </w:r>
      <w:r w:rsidR="00532A41">
        <w:t xml:space="preserve">this report </w:t>
      </w:r>
      <w:r w:rsidR="002C26CF">
        <w:t xml:space="preserve">with access to </w:t>
      </w:r>
      <w:r w:rsidR="00CB61E7">
        <w:t xml:space="preserve">– </w:t>
      </w:r>
      <w:r w:rsidR="002C26CF" w:rsidRPr="002C26CF">
        <w:t>Flacks N, Martin C, Liew D, Walker K, Jones D. Infectious and sepsis presentations to, and hospital admissions from emergency departments in Victoria, Australia. Emergency Medicine Australasia. 2024;</w:t>
      </w:r>
      <w:r w:rsidR="002C26CF">
        <w:t xml:space="preserve"> </w:t>
      </w:r>
      <w:r w:rsidR="002C26CF" w:rsidRPr="002C26CF">
        <w:t>36(3):450–458. doi: 10.1111/1742-6723.143841.</w:t>
      </w:r>
    </w:p>
  </w:footnote>
  <w:footnote w:id="45">
    <w:p w14:paraId="33F487F3" w14:textId="42160273" w:rsidR="0055553C" w:rsidRDefault="0055553C">
      <w:pPr>
        <w:pStyle w:val="FootnoteText"/>
      </w:pPr>
      <w:r>
        <w:rPr>
          <w:rStyle w:val="FootnoteReference"/>
        </w:rPr>
        <w:footnoteRef/>
      </w:r>
      <w:r>
        <w:t xml:space="preserve"> </w:t>
      </w:r>
      <w:r w:rsidRPr="004A54BB">
        <w:rPr>
          <w:b/>
          <w:bCs/>
          <w:i/>
          <w:iCs/>
        </w:rPr>
        <w:t>Note</w:t>
      </w:r>
      <w:r>
        <w:t xml:space="preserve">: </w:t>
      </w:r>
      <w:r w:rsidR="00927F1B">
        <w:t>Sparked is a program run by the</w:t>
      </w:r>
      <w:r w:rsidR="008B3FA8">
        <w:t xml:space="preserve"> CSIRO to deliver a core set of FHIR standards for us</w:t>
      </w:r>
      <w:r w:rsidR="00A37E17">
        <w:t>e</w:t>
      </w:r>
      <w:r w:rsidR="008B3FA8">
        <w:t xml:space="preserve"> in Australian settings.</w:t>
      </w:r>
      <w:r w:rsidR="00354B70">
        <w:t xml:space="preserve"> This report understands that the Sparked initiative </w:t>
      </w:r>
      <w:r w:rsidR="0041471F">
        <w:t xml:space="preserve">was </w:t>
      </w:r>
      <w:r w:rsidR="00354B70">
        <w:t>funded by a terminating budg</w:t>
      </w:r>
      <w:r w:rsidR="0041471F">
        <w:t>et measure.</w:t>
      </w:r>
    </w:p>
  </w:footnote>
  <w:footnote w:id="46">
    <w:p w14:paraId="3A00D32C" w14:textId="77777777" w:rsidR="00D675B9" w:rsidRPr="0016269F" w:rsidRDefault="00D675B9" w:rsidP="00D675B9">
      <w:pPr>
        <w:pStyle w:val="FootnoteText"/>
      </w:pPr>
      <w:r>
        <w:rPr>
          <w:rStyle w:val="FootnoteReference"/>
          <w:rFonts w:eastAsia="Malgun Gothic"/>
        </w:rPr>
        <w:footnoteRef/>
      </w:r>
      <w:r>
        <w:t xml:space="preserve"> </w:t>
      </w:r>
      <w:r w:rsidRPr="0016269F">
        <w:rPr>
          <w:szCs w:val="16"/>
        </w:rPr>
        <w:t>The George Institute for Global Health (2017), Stopping Sepsis: A National Actions Plan</w:t>
      </w:r>
      <w:r>
        <w:rPr>
          <w:szCs w:val="16"/>
        </w:rPr>
        <w:t xml:space="preserve">, </w:t>
      </w:r>
      <w:hyperlink r:id="rId6" w:history="1">
        <w:r w:rsidRPr="00A343BD">
          <w:rPr>
            <w:rStyle w:val="Hyperlink"/>
          </w:rPr>
          <w:t>https://www.georgeinstitute.org.au/sites/default/files/documents/stopping-sepsis-national-action-plan.pdf</w:t>
        </w:r>
      </w:hyperlink>
      <w:r>
        <w:rPr>
          <w:szCs w:val="16"/>
        </w:rPr>
        <w:t xml:space="preserve"> </w:t>
      </w:r>
    </w:p>
  </w:footnote>
  <w:footnote w:id="47">
    <w:p w14:paraId="6E1840B0" w14:textId="11943D09" w:rsidR="00C846F0" w:rsidRDefault="00C846F0">
      <w:pPr>
        <w:pStyle w:val="FootnoteText"/>
      </w:pPr>
      <w:r>
        <w:rPr>
          <w:rStyle w:val="FootnoteReference"/>
        </w:rPr>
        <w:footnoteRef/>
      </w:r>
      <w:r>
        <w:t xml:space="preserve"> </w:t>
      </w:r>
      <w:r w:rsidRPr="00C846F0">
        <w:rPr>
          <w:b/>
          <w:bCs/>
          <w:i/>
          <w:iCs/>
        </w:rPr>
        <w:t>Note</w:t>
      </w:r>
      <w:r>
        <w:t xml:space="preserve">: Identified and discussed further at </w:t>
      </w:r>
      <w:r w:rsidRPr="0084243C">
        <w:t>Section 4.3</w:t>
      </w:r>
      <w:r w:rsidR="0084243C">
        <w:t>.</w:t>
      </w:r>
    </w:p>
  </w:footnote>
  <w:footnote w:id="48">
    <w:p w14:paraId="184549B7" w14:textId="5494A5B3" w:rsidR="00095527" w:rsidRPr="00DD10D1" w:rsidRDefault="00095527" w:rsidP="00095527">
      <w:pPr>
        <w:pStyle w:val="FootnoteText"/>
        <w:rPr>
          <w:szCs w:val="16"/>
        </w:rPr>
      </w:pPr>
      <w:r>
        <w:rPr>
          <w:rStyle w:val="FootnoteReference"/>
        </w:rPr>
        <w:footnoteRef/>
      </w:r>
      <w:r>
        <w:t xml:space="preserve"> </w:t>
      </w:r>
      <w:r w:rsidR="004D4453" w:rsidRPr="0087574D">
        <w:rPr>
          <w:b/>
          <w:bCs/>
          <w:i/>
          <w:iCs/>
        </w:rPr>
        <w:t>Note</w:t>
      </w:r>
      <w:r w:rsidR="004D4453">
        <w:t xml:space="preserve">: </w:t>
      </w:r>
      <w:r w:rsidR="0084243C">
        <w:t xml:space="preserve">Additional information </w:t>
      </w:r>
      <w:r w:rsidR="004D4453">
        <w:t>available at</w:t>
      </w:r>
      <w:r w:rsidRPr="00777817">
        <w:rPr>
          <w:color w:val="545454"/>
        </w:rPr>
        <w:t xml:space="preserve"> </w:t>
      </w:r>
      <w:hyperlink r:id="rId7" w:history="1">
        <w:r w:rsidRPr="00777817">
          <w:rPr>
            <w:rStyle w:val="Hyperlink"/>
            <w:color w:val="545454"/>
            <w:szCs w:val="16"/>
          </w:rPr>
          <w:t>https://pmc.ncbi.nlm.nih.</w:t>
        </w:r>
        <w:bookmarkStart w:id="55" w:name="_Hlt203399756"/>
        <w:bookmarkStart w:id="56" w:name="_Hlt203399757"/>
        <w:r w:rsidRPr="00777817">
          <w:rPr>
            <w:rStyle w:val="Hyperlink"/>
            <w:color w:val="545454"/>
            <w:szCs w:val="16"/>
          </w:rPr>
          <w:t>g</w:t>
        </w:r>
        <w:bookmarkEnd w:id="55"/>
        <w:bookmarkEnd w:id="56"/>
        <w:r w:rsidRPr="00777817">
          <w:rPr>
            <w:rStyle w:val="Hyperlink"/>
            <w:color w:val="545454"/>
            <w:szCs w:val="16"/>
          </w:rPr>
          <w:t>ov/articles/PMC4968574/</w:t>
        </w:r>
      </w:hyperlink>
    </w:p>
  </w:footnote>
  <w:footnote w:id="49">
    <w:p w14:paraId="3529BA89" w14:textId="280F0089" w:rsidR="00095527" w:rsidRDefault="00095527" w:rsidP="004A54BB">
      <w:pPr>
        <w:pStyle w:val="FootnoteText"/>
        <w:jc w:val="left"/>
      </w:pPr>
      <w:r>
        <w:rPr>
          <w:rStyle w:val="FootnoteReference"/>
        </w:rPr>
        <w:footnoteRef/>
      </w:r>
      <w:r>
        <w:t xml:space="preserve"> </w:t>
      </w:r>
      <w:r w:rsidR="00633A43">
        <w:rPr>
          <w:b/>
          <w:bCs/>
          <w:i/>
          <w:iCs/>
        </w:rPr>
        <w:t xml:space="preserve">Note: </w:t>
      </w:r>
      <w:r w:rsidR="00633A43">
        <w:t xml:space="preserve">Sourced from </w:t>
      </w:r>
      <w:r w:rsidR="006336A5">
        <w:t>the</w:t>
      </w:r>
      <w:r w:rsidR="00633A43">
        <w:t xml:space="preserve"> </w:t>
      </w:r>
      <w:r w:rsidRPr="006336A5">
        <w:rPr>
          <w:i/>
          <w:szCs w:val="16"/>
        </w:rPr>
        <w:t>Queensland paediatric sepsis mortality study</w:t>
      </w:r>
      <w:r w:rsidRPr="00DD10D1">
        <w:rPr>
          <w:szCs w:val="16"/>
        </w:rPr>
        <w:t xml:space="preserve"> </w:t>
      </w:r>
      <w:r w:rsidR="00633A43">
        <w:rPr>
          <w:szCs w:val="16"/>
        </w:rPr>
        <w:t xml:space="preserve">available at: </w:t>
      </w:r>
      <w:hyperlink r:id="rId8" w:history="1">
        <w:r w:rsidR="00633A43" w:rsidRPr="009C4247">
          <w:rPr>
            <w:rStyle w:val="Hyperlink"/>
            <w:szCs w:val="16"/>
          </w:rPr>
          <w:t>https://www.qfcc.qld.gov.au/sites/default/files/2024-03/P</w:t>
        </w:r>
        <w:bookmarkStart w:id="58" w:name="_Hlt203402901"/>
        <w:bookmarkStart w:id="59" w:name="_Hlt203402902"/>
        <w:r w:rsidR="00633A43" w:rsidRPr="009C4247">
          <w:rPr>
            <w:rStyle w:val="Hyperlink"/>
            <w:szCs w:val="16"/>
          </w:rPr>
          <w:t>a</w:t>
        </w:r>
        <w:bookmarkEnd w:id="58"/>
        <w:bookmarkEnd w:id="59"/>
        <w:r w:rsidR="00633A43" w:rsidRPr="009C4247">
          <w:rPr>
            <w:rStyle w:val="Hyperlink"/>
            <w:szCs w:val="16"/>
          </w:rPr>
          <w:t>ediatric%20Sepsis%20Mortality%20Study.pdf</w:t>
        </w:r>
      </w:hyperlink>
      <w:r w:rsidR="00633A43">
        <w:rPr>
          <w:szCs w:val="16"/>
        </w:rPr>
        <w:t xml:space="preserve"> </w:t>
      </w:r>
    </w:p>
  </w:footnote>
  <w:footnote w:id="50">
    <w:p w14:paraId="1CE5F76F" w14:textId="351B097B" w:rsidR="00095527" w:rsidRPr="00DD10D1" w:rsidRDefault="00095527" w:rsidP="003F6995">
      <w:pPr>
        <w:spacing w:before="0" w:after="0" w:line="240" w:lineRule="auto"/>
        <w:rPr>
          <w:sz w:val="16"/>
          <w:szCs w:val="16"/>
        </w:rPr>
      </w:pPr>
      <w:r w:rsidRPr="00B13743">
        <w:rPr>
          <w:rStyle w:val="FootnoteReference"/>
          <w:sz w:val="16"/>
          <w:szCs w:val="16"/>
        </w:rPr>
        <w:footnoteRef/>
      </w:r>
      <w:r w:rsidRPr="00DD10D1">
        <w:rPr>
          <w:sz w:val="16"/>
          <w:szCs w:val="16"/>
        </w:rPr>
        <w:t xml:space="preserve"> </w:t>
      </w:r>
      <w:r w:rsidRPr="00B13743">
        <w:rPr>
          <w:b/>
          <w:i/>
          <w:sz w:val="16"/>
          <w:szCs w:val="16"/>
        </w:rPr>
        <w:t>Note</w:t>
      </w:r>
      <w:r w:rsidRPr="00DD10D1">
        <w:rPr>
          <w:b/>
          <w:sz w:val="16"/>
          <w:szCs w:val="16"/>
        </w:rPr>
        <w:t xml:space="preserve">: </w:t>
      </w:r>
      <w:r w:rsidR="003F6995" w:rsidRPr="003F6995">
        <w:rPr>
          <w:sz w:val="16"/>
          <w:szCs w:val="16"/>
        </w:rPr>
        <w:t>Quality indicator</w:t>
      </w:r>
      <w:r w:rsidRPr="00DD10D1">
        <w:rPr>
          <w:sz w:val="16"/>
          <w:szCs w:val="16"/>
        </w:rPr>
        <w:t xml:space="preserve"> 3b </w:t>
      </w:r>
      <w:r w:rsidR="003F6995" w:rsidRPr="003F6995">
        <w:rPr>
          <w:sz w:val="16"/>
          <w:szCs w:val="16"/>
        </w:rPr>
        <w:t>of the CCS considers the ‘proportion</w:t>
      </w:r>
      <w:r w:rsidRPr="00DD10D1">
        <w:rPr>
          <w:sz w:val="16"/>
          <w:szCs w:val="16"/>
        </w:rPr>
        <w:t xml:space="preserve"> of patients with signs and symptoms of infection-related organ dysfunction who started their first dose of an empirical antimicrobial within 60 minutes of recognition</w:t>
      </w:r>
    </w:p>
  </w:footnote>
  <w:footnote w:id="51">
    <w:p w14:paraId="3D5212C0" w14:textId="77777777" w:rsidR="00095527" w:rsidRPr="00DD10D1" w:rsidRDefault="00095527" w:rsidP="00095527">
      <w:pPr>
        <w:pStyle w:val="FootnoteText"/>
        <w:rPr>
          <w:szCs w:val="16"/>
        </w:rPr>
      </w:pPr>
      <w:r>
        <w:rPr>
          <w:rStyle w:val="FootnoteReference"/>
        </w:rPr>
        <w:footnoteRef/>
      </w:r>
      <w:r w:rsidRPr="00DD10D1">
        <w:rPr>
          <w:szCs w:val="16"/>
        </w:rPr>
        <w:t xml:space="preserve"> </w:t>
      </w:r>
      <w:r w:rsidRPr="00B13743">
        <w:rPr>
          <w:b/>
          <w:i/>
          <w:szCs w:val="16"/>
        </w:rPr>
        <w:t>Note</w:t>
      </w:r>
      <w:r w:rsidRPr="00DD10D1">
        <w:rPr>
          <w:szCs w:val="16"/>
        </w:rPr>
        <w:t>: The International Classification of Diseases (ICD) is the international statistics classification of diseases, with the tenth revision (ICD-10) approved by the WHO in 1990. The Australian modification of ICD-10 was introduced in Australia in 1998.</w:t>
      </w:r>
    </w:p>
  </w:footnote>
  <w:footnote w:id="52">
    <w:p w14:paraId="10A616C9" w14:textId="67F26018" w:rsidR="00095527" w:rsidRDefault="00095527" w:rsidP="00095527">
      <w:pPr>
        <w:pStyle w:val="FootnoteText"/>
      </w:pPr>
      <w:r>
        <w:rPr>
          <w:rStyle w:val="FootnoteReference"/>
        </w:rPr>
        <w:footnoteRef/>
      </w:r>
      <w:r w:rsidRPr="00DD10D1">
        <w:rPr>
          <w:szCs w:val="16"/>
        </w:rPr>
        <w:t xml:space="preserve"> </w:t>
      </w:r>
      <w:r w:rsidR="003F6995" w:rsidRPr="00B13743">
        <w:rPr>
          <w:b/>
          <w:bCs/>
          <w:i/>
          <w:iCs/>
          <w:szCs w:val="16"/>
        </w:rPr>
        <w:t>Note</w:t>
      </w:r>
      <w:r w:rsidR="003F6995">
        <w:rPr>
          <w:b/>
          <w:bCs/>
          <w:szCs w:val="16"/>
        </w:rPr>
        <w:t xml:space="preserve">: </w:t>
      </w:r>
      <w:r w:rsidR="003F6995">
        <w:rPr>
          <w:szCs w:val="16"/>
        </w:rPr>
        <w:t>available at</w:t>
      </w:r>
      <w:r w:rsidR="00B13743">
        <w:rPr>
          <w:szCs w:val="16"/>
        </w:rPr>
        <w:t xml:space="preserve"> </w:t>
      </w:r>
      <w:hyperlink r:id="rId9" w:history="1">
        <w:r w:rsidR="00B13743" w:rsidRPr="009C4247">
          <w:rPr>
            <w:rStyle w:val="Hyperlink"/>
            <w:szCs w:val="16"/>
          </w:rPr>
          <w:t>https://www.safetyandquality.gov.au/standards/clinical-care-standards/sepsis-clinical-care-standard/sepsis-codes</w:t>
        </w:r>
      </w:hyperlink>
      <w:r>
        <w:t xml:space="preserve"> </w:t>
      </w:r>
    </w:p>
  </w:footnote>
  <w:footnote w:id="53">
    <w:p w14:paraId="198C60A8" w14:textId="6F5C00BE" w:rsidR="00095527" w:rsidRDefault="00095527" w:rsidP="00095527">
      <w:pPr>
        <w:pStyle w:val="FootnoteText"/>
      </w:pPr>
      <w:r>
        <w:rPr>
          <w:rStyle w:val="FootnoteReference"/>
        </w:rPr>
        <w:footnoteRef/>
      </w:r>
      <w:r w:rsidR="00B00390">
        <w:rPr>
          <w:szCs w:val="16"/>
        </w:rPr>
        <w:t xml:space="preserve">Kumar et </w:t>
      </w:r>
      <w:r w:rsidR="009700C6">
        <w:rPr>
          <w:szCs w:val="16"/>
        </w:rPr>
        <w:t>al.</w:t>
      </w:r>
      <w:r w:rsidR="005511F9">
        <w:rPr>
          <w:szCs w:val="16"/>
        </w:rPr>
        <w:t xml:space="preserve"> 2025</w:t>
      </w:r>
      <w:r w:rsidR="00B00390">
        <w:rPr>
          <w:szCs w:val="16"/>
        </w:rPr>
        <w:t>,</w:t>
      </w:r>
      <w:r w:rsidR="00B13743">
        <w:rPr>
          <w:szCs w:val="16"/>
        </w:rPr>
        <w:t xml:space="preserve"> ‘</w:t>
      </w:r>
      <w:r w:rsidRPr="00B00390">
        <w:rPr>
          <w:i/>
          <w:szCs w:val="16"/>
        </w:rPr>
        <w:t xml:space="preserve">Accuracy of the modified Global Burden of Disease International Classification of Diseases coding methods for identifying sepsis: a prospective multicentre cohort </w:t>
      </w:r>
      <w:r w:rsidRPr="00B00390">
        <w:rPr>
          <w:i/>
          <w:iCs/>
          <w:szCs w:val="16"/>
        </w:rPr>
        <w:t>study</w:t>
      </w:r>
      <w:r w:rsidR="00B13743">
        <w:rPr>
          <w:szCs w:val="16"/>
        </w:rPr>
        <w:t>’</w:t>
      </w:r>
      <w:r w:rsidR="00E4208C">
        <w:rPr>
          <w:szCs w:val="16"/>
        </w:rPr>
        <w:t>.</w:t>
      </w:r>
      <w:r w:rsidR="00B13743">
        <w:rPr>
          <w:szCs w:val="16"/>
        </w:rPr>
        <w:t xml:space="preserve"> </w:t>
      </w:r>
      <w:r w:rsidR="00E4208C">
        <w:rPr>
          <w:szCs w:val="16"/>
        </w:rPr>
        <w:t xml:space="preserve">Available </w:t>
      </w:r>
      <w:r w:rsidR="00B13743">
        <w:rPr>
          <w:szCs w:val="16"/>
        </w:rPr>
        <w:t>at</w:t>
      </w:r>
      <w:r w:rsidRPr="00CE75FF">
        <w:rPr>
          <w:szCs w:val="16"/>
        </w:rPr>
        <w:t xml:space="preserve"> </w:t>
      </w:r>
      <w:hyperlink r:id="rId10" w:history="1">
        <w:r w:rsidRPr="00CE75FF">
          <w:rPr>
            <w:rStyle w:val="Hyperlink"/>
            <w:szCs w:val="16"/>
          </w:rPr>
          <w:t>https://pubmed.nc</w:t>
        </w:r>
        <w:bookmarkStart w:id="64" w:name="_Hlt203400101"/>
        <w:bookmarkStart w:id="65" w:name="_Hlt203400102"/>
        <w:r w:rsidRPr="00CE75FF">
          <w:rPr>
            <w:rStyle w:val="Hyperlink"/>
            <w:szCs w:val="16"/>
          </w:rPr>
          <w:t>b</w:t>
        </w:r>
        <w:bookmarkEnd w:id="64"/>
        <w:bookmarkEnd w:id="65"/>
        <w:r w:rsidRPr="00CE75FF">
          <w:rPr>
            <w:rStyle w:val="Hyperlink"/>
            <w:szCs w:val="16"/>
          </w:rPr>
          <w:t>i.nlm.nih.gov/40457465/</w:t>
        </w:r>
      </w:hyperlink>
    </w:p>
  </w:footnote>
  <w:footnote w:id="54">
    <w:p w14:paraId="3964DA6F" w14:textId="60CBBCAD" w:rsidR="00095527" w:rsidRDefault="00095527" w:rsidP="00095527">
      <w:pPr>
        <w:pStyle w:val="FootnoteText"/>
      </w:pPr>
      <w:r>
        <w:rPr>
          <w:rStyle w:val="FootnoteReference"/>
        </w:rPr>
        <w:footnoteRef/>
      </w:r>
      <w:r>
        <w:t xml:space="preserve"> </w:t>
      </w:r>
      <w:r w:rsidR="00EC65B5">
        <w:rPr>
          <w:b/>
          <w:bCs/>
          <w:i/>
          <w:iCs/>
        </w:rPr>
        <w:t xml:space="preserve">Note: </w:t>
      </w:r>
      <w:r w:rsidR="00EC65B5">
        <w:t xml:space="preserve">Available at </w:t>
      </w:r>
      <w:hyperlink r:id="rId11" w:history="1">
        <w:r w:rsidR="00EC65B5" w:rsidRPr="009C4247">
          <w:rPr>
            <w:rStyle w:val="Hyperlink"/>
            <w:szCs w:val="16"/>
          </w:rPr>
          <w:t>https://www.safetyandquality.gov.au/standards/clinical-care-standards/sepsis-clinical-care-standard/indicators-sepsis-clinical-care-standard</w:t>
        </w:r>
      </w:hyperlink>
      <w:r w:rsidRPr="00DD10D1">
        <w:rPr>
          <w:szCs w:val="16"/>
        </w:rPr>
        <w:t xml:space="preserve"> </w:t>
      </w:r>
      <w:r>
        <w:rPr>
          <w:szCs w:val="16"/>
        </w:rPr>
        <w:t>and</w:t>
      </w:r>
      <w:r w:rsidRPr="00DD10D1">
        <w:rPr>
          <w:szCs w:val="16"/>
        </w:rPr>
        <w:t xml:space="preserve"> </w:t>
      </w:r>
      <w:hyperlink r:id="rId12" w:history="1">
        <w:r w:rsidRPr="00DD10D1">
          <w:rPr>
            <w:rStyle w:val="Hyperlink"/>
            <w:szCs w:val="16"/>
          </w:rPr>
          <w:t>https://meteor.aihw.gov.au/content/755589</w:t>
        </w:r>
      </w:hyperlink>
      <w:r w:rsidRPr="00DD10D1">
        <w:rPr>
          <w:szCs w:val="16"/>
        </w:rPr>
        <w:t xml:space="preserve"> </w:t>
      </w:r>
    </w:p>
  </w:footnote>
  <w:footnote w:id="55">
    <w:p w14:paraId="6D1CA026" w14:textId="49DD32DC" w:rsidR="00095527" w:rsidRDefault="00095527" w:rsidP="00095527">
      <w:pPr>
        <w:pStyle w:val="FootnoteText"/>
      </w:pPr>
      <w:r>
        <w:rPr>
          <w:rStyle w:val="FootnoteReference"/>
        </w:rPr>
        <w:footnoteRef/>
      </w:r>
      <w:r>
        <w:t xml:space="preserve"> </w:t>
      </w:r>
      <w:r w:rsidR="00EC65B5">
        <w:rPr>
          <w:b/>
          <w:bCs/>
          <w:i/>
          <w:iCs/>
        </w:rPr>
        <w:t>Note:</w:t>
      </w:r>
      <w:r w:rsidR="00E95656">
        <w:rPr>
          <w:b/>
          <w:bCs/>
          <w:i/>
          <w:iCs/>
        </w:rPr>
        <w:t xml:space="preserve"> </w:t>
      </w:r>
      <w:r w:rsidR="00E95656">
        <w:t>Additional information available at</w:t>
      </w:r>
      <w:r w:rsidR="00EC65B5">
        <w:rPr>
          <w:b/>
          <w:bCs/>
          <w:i/>
          <w:iCs/>
        </w:rPr>
        <w:t xml:space="preserve"> </w:t>
      </w:r>
      <w:hyperlink r:id="rId13" w:history="1">
        <w:r w:rsidR="00EC65B5" w:rsidRPr="009C4247">
          <w:rPr>
            <w:rStyle w:val="Hyperlink"/>
          </w:rPr>
          <w:t>https://www.health.nsw.gov.au/lumos/Pages/about.aspx</w:t>
        </w:r>
      </w:hyperlink>
      <w:r w:rsidR="00EC65B5">
        <w:t xml:space="preserve"> </w:t>
      </w:r>
    </w:p>
  </w:footnote>
  <w:footnote w:id="56">
    <w:p w14:paraId="7E38CB1C" w14:textId="6B441127" w:rsidR="00095527" w:rsidRDefault="00095527" w:rsidP="00095527">
      <w:pPr>
        <w:pStyle w:val="FootnoteText"/>
      </w:pPr>
      <w:r>
        <w:rPr>
          <w:rStyle w:val="FootnoteReference"/>
        </w:rPr>
        <w:footnoteRef/>
      </w:r>
      <w:r>
        <w:t xml:space="preserve"> </w:t>
      </w:r>
      <w:r w:rsidR="00EC65B5">
        <w:rPr>
          <w:b/>
          <w:bCs/>
          <w:i/>
          <w:iCs/>
        </w:rPr>
        <w:t xml:space="preserve">Note: </w:t>
      </w:r>
      <w:r w:rsidR="00E95656">
        <w:t>Additional information available at</w:t>
      </w:r>
      <w:r w:rsidR="00EC65B5">
        <w:t xml:space="preserve"> </w:t>
      </w:r>
      <w:hyperlink r:id="rId14" w:history="1">
        <w:r w:rsidR="00EC65B5" w:rsidRPr="009C4247">
          <w:rPr>
            <w:rStyle w:val="Hyperlink"/>
          </w:rPr>
          <w:t>https://sparked.csiro.au/index.php/products-resources/australian-patient-summary/</w:t>
        </w:r>
      </w:hyperlink>
      <w:r w:rsidR="00EC65B5">
        <w:t xml:space="preserve"> </w:t>
      </w:r>
    </w:p>
  </w:footnote>
  <w:footnote w:id="57">
    <w:p w14:paraId="43A32E7D" w14:textId="101B3624" w:rsidR="005A5B97" w:rsidRPr="0007431B" w:rsidRDefault="005A5B97" w:rsidP="004A54BB">
      <w:pPr>
        <w:pStyle w:val="FootnoteText"/>
        <w:jc w:val="left"/>
      </w:pPr>
      <w:r>
        <w:rPr>
          <w:rStyle w:val="FootnoteReference"/>
        </w:rPr>
        <w:footnoteRef/>
      </w:r>
      <w:r>
        <w:t xml:space="preserve"> </w:t>
      </w:r>
      <w:r w:rsidR="0007431B" w:rsidRPr="004A54BB">
        <w:rPr>
          <w:b/>
          <w:bCs/>
          <w:i/>
          <w:iCs/>
        </w:rPr>
        <w:t>Note</w:t>
      </w:r>
      <w:r w:rsidR="0007431B">
        <w:rPr>
          <w:b/>
          <w:bCs/>
          <w:i/>
          <w:iCs/>
        </w:rPr>
        <w:t xml:space="preserve">: </w:t>
      </w:r>
      <w:r w:rsidR="0007431B">
        <w:t xml:space="preserve">Additional information available at </w:t>
      </w:r>
      <w:hyperlink r:id="rId15" w:history="1">
        <w:r w:rsidR="00F77582" w:rsidRPr="00430543">
          <w:rPr>
            <w:rStyle w:val="Hyperlink"/>
          </w:rPr>
          <w:t>https://www.safetyandquality.gov.au/our-work/indicators-measurement-and-reporting/medicineinsight</w:t>
        </w:r>
      </w:hyperlink>
      <w:r w:rsidR="00F77582">
        <w:t xml:space="preserve"> </w:t>
      </w:r>
    </w:p>
  </w:footnote>
  <w:footnote w:id="58">
    <w:p w14:paraId="63D4F45F" w14:textId="1577F08F" w:rsidR="00095527" w:rsidRDefault="00095527" w:rsidP="00095527">
      <w:pPr>
        <w:pStyle w:val="FootnoteText"/>
      </w:pPr>
      <w:r>
        <w:rPr>
          <w:rStyle w:val="FootnoteReference"/>
        </w:rPr>
        <w:footnoteRef/>
      </w:r>
      <w:r>
        <w:t xml:space="preserve"> </w:t>
      </w:r>
      <w:r w:rsidR="00EC65B5">
        <w:rPr>
          <w:b/>
          <w:bCs/>
          <w:i/>
          <w:iCs/>
        </w:rPr>
        <w:t xml:space="preserve">Note: </w:t>
      </w:r>
      <w:r w:rsidR="00E95656" w:rsidRPr="00E95656">
        <w:t>Sourced from</w:t>
      </w:r>
      <w:r w:rsidR="00EC65B5">
        <w:rPr>
          <w:b/>
        </w:rPr>
        <w:t xml:space="preserve"> </w:t>
      </w:r>
      <w:hyperlink r:id="rId16" w:anchor="causes-and-prevention" w:history="1">
        <w:r w:rsidR="00EC65B5" w:rsidRPr="009C4247">
          <w:rPr>
            <w:rStyle w:val="Hyperlink"/>
          </w:rPr>
          <w:t>https://www.australiansepsisnetwork.net.au/what-is-sepsis/#causes-and-prevention</w:t>
        </w:r>
      </w:hyperlink>
      <w:r w:rsidR="00EC65B5">
        <w:t xml:space="preserve"> </w:t>
      </w:r>
    </w:p>
  </w:footnote>
  <w:footnote w:id="59">
    <w:p w14:paraId="7BAFBC72" w14:textId="379567EB" w:rsidR="00095527" w:rsidRPr="00F62F90" w:rsidRDefault="00095527" w:rsidP="00095527">
      <w:pPr>
        <w:pStyle w:val="FootnoteText"/>
        <w:rPr>
          <w:lang w:val="en-US"/>
        </w:rPr>
      </w:pPr>
      <w:r>
        <w:rPr>
          <w:rStyle w:val="FootnoteReference"/>
        </w:rPr>
        <w:footnoteRef/>
      </w:r>
      <w:r>
        <w:t xml:space="preserve"> </w:t>
      </w:r>
      <w:r w:rsidR="005746FB" w:rsidRPr="005746FB">
        <w:t xml:space="preserve">Australian Sepsis Network, (2025), Information and Support: Post-Sepsis Syndrome, Australian Sepsis Network, Sydney. </w:t>
      </w:r>
      <w:r w:rsidR="009F6F9B" w:rsidRPr="005746FB">
        <w:t>Accessed 14 July 2025</w:t>
      </w:r>
      <w:r w:rsidR="009F6F9B">
        <w:t xml:space="preserve">. </w:t>
      </w:r>
      <w:r w:rsidR="005746FB" w:rsidRPr="005746FB">
        <w:t xml:space="preserve">Available at: </w:t>
      </w:r>
      <w:hyperlink r:id="rId17" w:anchor="post-sepsis-syndrome" w:history="1">
        <w:r w:rsidR="009F6F9B" w:rsidRPr="00430543">
          <w:rPr>
            <w:rStyle w:val="Hyperlink"/>
          </w:rPr>
          <w:t>https://www.australiansepsisnetwork.net.au/information-and-support/#post-sepsis-syndrome</w:t>
        </w:r>
      </w:hyperlink>
      <w:r w:rsidR="009F6F9B">
        <w:t xml:space="preserve"> </w:t>
      </w:r>
      <w:r w:rsidR="005746FB" w:rsidRPr="005746F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1D81F" w14:textId="451AB50F" w:rsidR="000975DA" w:rsidRDefault="000975DA">
    <w:pPr>
      <w:pStyle w:val="Header"/>
    </w:pPr>
    <w:r>
      <w:rPr>
        <w:noProof/>
      </w:rPr>
      <mc:AlternateContent>
        <mc:Choice Requires="wps">
          <w:drawing>
            <wp:anchor distT="0" distB="0" distL="0" distR="0" simplePos="0" relativeHeight="251661312" behindDoc="0" locked="0" layoutInCell="1" allowOverlap="1" wp14:anchorId="2CA0CA08" wp14:editId="64B5A1FD">
              <wp:simplePos x="635" y="635"/>
              <wp:positionH relativeFrom="page">
                <wp:align>center</wp:align>
              </wp:positionH>
              <wp:positionV relativeFrom="page">
                <wp:align>top</wp:align>
              </wp:positionV>
              <wp:extent cx="551815" cy="490220"/>
              <wp:effectExtent l="0" t="0" r="635" b="5080"/>
              <wp:wrapNone/>
              <wp:docPr id="12623504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7729530B" w14:textId="0763BC1E"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A0CA08" id="_x0000_t202" coordsize="21600,21600" o:spt="202" path="m,l,21600r21600,l21600,xe">
              <v:stroke joinstyle="miter"/>
              <v:path gradientshapeok="t" o:connecttype="rect"/>
            </v:shapetype>
            <v:shape id="_x0000_s1028" type="#_x0000_t202" alt="OFFICIAL" style="position:absolute;left:0;text-align:left;margin-left:0;margin-top:0;width:43.45pt;height:38.6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" filled="f" stroked="f">
              <v:fill o:detectmouseclick="t"/>
              <v:textbox style="mso-fit-shape-to-text:t" inset="0,15pt,0,0">
                <w:txbxContent>
                  <w:p w14:paraId="7729530B" w14:textId="0763BC1E"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0DFD7" w14:textId="53492647" w:rsidR="000975DA" w:rsidRDefault="000975DA">
    <w:pPr>
      <w:pStyle w:val="Header"/>
    </w:pPr>
    <w:r>
      <w:rPr>
        <w:noProof/>
      </w:rPr>
      <mc:AlternateContent>
        <mc:Choice Requires="wps">
          <w:drawing>
            <wp:anchor distT="0" distB="0" distL="0" distR="0" simplePos="0" relativeHeight="251662336" behindDoc="0" locked="0" layoutInCell="1" allowOverlap="1" wp14:anchorId="384E5214" wp14:editId="1E247D1F">
              <wp:simplePos x="635" y="635"/>
              <wp:positionH relativeFrom="page">
                <wp:align>center</wp:align>
              </wp:positionH>
              <wp:positionV relativeFrom="page">
                <wp:align>top</wp:align>
              </wp:positionV>
              <wp:extent cx="551815" cy="490220"/>
              <wp:effectExtent l="0" t="0" r="635" b="5080"/>
              <wp:wrapNone/>
              <wp:docPr id="68081113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24F43734" w14:textId="47F695D7"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4E5214" id="_x0000_t202" coordsize="21600,21600" o:spt="202" path="m,l,21600r21600,l21600,xe">
              <v:stroke joinstyle="miter"/>
              <v:path gradientshapeok="t" o:connecttype="rect"/>
            </v:shapetype>
            <v:shape id="Text Box 3" o:spid="_x0000_s1029" type="#_x0000_t202" alt="OFFICIAL" style="position:absolute;left:0;text-align:left;margin-left:0;margin-top:0;width:43.45pt;height:38.6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" filled="f" stroked="f">
              <v:fill o:detectmouseclick="t"/>
              <v:textbox style="mso-fit-shape-to-text:t" inset="0,15pt,0,0">
                <w:txbxContent>
                  <w:p w14:paraId="24F43734" w14:textId="47F695D7"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30CA" w14:textId="481BE428" w:rsidR="000975DA" w:rsidRDefault="000975DA">
    <w:pPr>
      <w:pStyle w:val="Header"/>
    </w:pPr>
    <w:r>
      <w:rPr>
        <w:noProof/>
      </w:rPr>
      <mc:AlternateContent>
        <mc:Choice Requires="wps">
          <w:drawing>
            <wp:anchor distT="0" distB="0" distL="0" distR="0" simplePos="0" relativeHeight="251660288" behindDoc="0" locked="0" layoutInCell="1" allowOverlap="1" wp14:anchorId="710CBD74" wp14:editId="7ADE0F93">
              <wp:simplePos x="914400" y="447675"/>
              <wp:positionH relativeFrom="page">
                <wp:align>center</wp:align>
              </wp:positionH>
              <wp:positionV relativeFrom="page">
                <wp:align>top</wp:align>
              </wp:positionV>
              <wp:extent cx="551815" cy="490220"/>
              <wp:effectExtent l="0" t="0" r="635" b="5080"/>
              <wp:wrapNone/>
              <wp:docPr id="37285654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6860FF6D" w14:textId="6C33E52B"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CBD74" id="_x0000_t202" coordsize="21600,21600" o:spt="202" path="m,l,21600r21600,l21600,xe">
              <v:stroke joinstyle="miter"/>
              <v:path gradientshapeok="t" o:connecttype="rect"/>
            </v:shapetype>
            <v:shape id="Text Box 1" o:spid="_x0000_s1032" type="#_x0000_t202" alt="OFFICIAL" style="position:absolute;left:0;text-align:left;margin-left:0;margin-top:0;width:43.45pt;height:38.6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" filled="f" stroked="f">
              <v:fill o:detectmouseclick="t"/>
              <v:textbox style="mso-fit-shape-to-text:t" inset="0,15pt,0,0">
                <w:txbxContent>
                  <w:p w14:paraId="6860FF6D" w14:textId="6C33E52B"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F80E" w14:textId="640783B7" w:rsidR="006D04D5" w:rsidRDefault="000975DA">
    <w:pPr>
      <w:pStyle w:val="Header"/>
    </w:pPr>
    <w:r>
      <w:rPr>
        <w:noProof/>
      </w:rPr>
      <mc:AlternateContent>
        <mc:Choice Requires="wps">
          <w:drawing>
            <wp:anchor distT="0" distB="0" distL="0" distR="0" simplePos="0" relativeHeight="251663360" behindDoc="0" locked="0" layoutInCell="1" allowOverlap="1" wp14:anchorId="0F54EC4F" wp14:editId="68961F6F">
              <wp:simplePos x="635" y="635"/>
              <wp:positionH relativeFrom="page">
                <wp:align>center</wp:align>
              </wp:positionH>
              <wp:positionV relativeFrom="page">
                <wp:align>top</wp:align>
              </wp:positionV>
              <wp:extent cx="551815" cy="490220"/>
              <wp:effectExtent l="0" t="0" r="635" b="5080"/>
              <wp:wrapNone/>
              <wp:docPr id="181602648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45F246C1" w14:textId="7A913E70"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54EC4F" id="_x0000_t202" coordsize="21600,21600" o:spt="202" path="m,l,21600r21600,l21600,xe">
              <v:stroke joinstyle="miter"/>
              <v:path gradientshapeok="t" o:connecttype="rect"/>
            </v:shapetype>
            <v:shape id="Text Box 4" o:spid="_x0000_s1034" type="#_x0000_t202" alt="OFFICIAL" style="position:absolute;left:0;text-align:left;margin-left:0;margin-top:0;width:43.45pt;height:38.6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MyDgIAABwEAAAOAAAAZHJzL2Uyb0RvYy54bWysU01v2zAMvQ/YfxB0X2wHS9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" filled="f" stroked="f">
              <v:fill o:detectmouseclick="t"/>
              <v:textbox style="mso-fit-shape-to-text:t" inset="0,15pt,0,0">
                <w:txbxContent>
                  <w:p w14:paraId="45F246C1" w14:textId="7A913E70"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AC16F" w14:textId="6BFD7CE1" w:rsidR="003928A4" w:rsidRDefault="000975DA">
    <w:pPr>
      <w:pStyle w:val="Header"/>
    </w:pPr>
    <w:r>
      <w:rPr>
        <w:noProof/>
      </w:rPr>
      <mc:AlternateContent>
        <mc:Choice Requires="wps">
          <w:drawing>
            <wp:anchor distT="0" distB="0" distL="0" distR="0" simplePos="0" relativeHeight="251664384" behindDoc="0" locked="0" layoutInCell="1" allowOverlap="1" wp14:anchorId="76ACBF38" wp14:editId="184F6A19">
              <wp:simplePos x="914400" y="142875"/>
              <wp:positionH relativeFrom="page">
                <wp:align>center</wp:align>
              </wp:positionH>
              <wp:positionV relativeFrom="page">
                <wp:align>top</wp:align>
              </wp:positionV>
              <wp:extent cx="551815" cy="490220"/>
              <wp:effectExtent l="0" t="0" r="635" b="5080"/>
              <wp:wrapNone/>
              <wp:docPr id="172415407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90220"/>
                      </a:xfrm>
                      <a:prstGeom prst="rect">
                        <a:avLst/>
                      </a:prstGeom>
                      <a:noFill/>
                      <a:ln>
                        <a:noFill/>
                      </a:ln>
                    </wps:spPr>
                    <wps:txbx>
                      <w:txbxContent>
                        <w:p w14:paraId="1C7F7A68" w14:textId="6187A718"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ACBF38" id="_x0000_t202" coordsize="21600,21600" o:spt="202" path="m,l,21600r21600,l21600,xe">
              <v:stroke joinstyle="miter"/>
              <v:path gradientshapeok="t" o:connecttype="rect"/>
            </v:shapetype>
            <v:shape id="Text Box 5" o:spid="_x0000_s1036" type="#_x0000_t202" alt="OFFICIAL" style="position:absolute;left:0;text-align:left;margin-left:0;margin-top:0;width:43.45pt;height:38.6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" filled="f" stroked="f">
              <v:fill o:detectmouseclick="t"/>
              <v:textbox style="mso-fit-shape-to-text:t" inset="0,15pt,0,0">
                <w:txbxContent>
                  <w:p w14:paraId="1C7F7A68" w14:textId="6187A718" w:rsidR="000975DA" w:rsidRPr="000975DA" w:rsidRDefault="000975DA" w:rsidP="000975DA">
                    <w:pPr>
                      <w:spacing w:after="0"/>
                      <w:rPr>
                        <w:rFonts w:ascii="Calibri" w:eastAsia="Calibri" w:hAnsi="Calibri" w:cs="Calibri"/>
                        <w:noProof/>
                        <w:color w:val="FF0000"/>
                        <w:sz w:val="24"/>
                        <w:szCs w:val="24"/>
                      </w:rPr>
                    </w:pPr>
                    <w:r w:rsidRPr="000975DA">
                      <w:rPr>
                        <w:rFonts w:ascii="Calibri" w:eastAsia="Calibri" w:hAnsi="Calibri" w:cs="Calibri"/>
                        <w:noProof/>
                        <w:color w:val="FF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sMN5zk29" int2:invalidationBookmarkName="" int2:hashCode="VzuxyK8Wjta0Q7" int2:id="zUD2fRpw">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77C"/>
    <w:multiLevelType w:val="hybridMultilevel"/>
    <w:tmpl w:val="1618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92433E"/>
    <w:multiLevelType w:val="hybridMultilevel"/>
    <w:tmpl w:val="C47C8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56354A"/>
    <w:multiLevelType w:val="hybridMultilevel"/>
    <w:tmpl w:val="766446D6"/>
    <w:lvl w:ilvl="0" w:tplc="7192815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D43B75"/>
    <w:multiLevelType w:val="hybridMultilevel"/>
    <w:tmpl w:val="6F3A80FA"/>
    <w:lvl w:ilvl="0" w:tplc="6F72C8FC">
      <w:start w:val="1"/>
      <w:numFmt w:val="decimal"/>
      <w:lvlText w:val="%1."/>
      <w:lvlJc w:val="left"/>
      <w:pPr>
        <w:ind w:left="454" w:hanging="454"/>
      </w:pPr>
      <w:rPr>
        <w:rFonts w:hint="default"/>
        <w:color w:val="555555"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326E20"/>
    <w:multiLevelType w:val="hybridMultilevel"/>
    <w:tmpl w:val="34F0633E"/>
    <w:lvl w:ilvl="0" w:tplc="D77C473C">
      <w:start w:val="1"/>
      <w:numFmt w:val="decimal"/>
      <w:lvlText w:val="%1."/>
      <w:lvlJc w:val="left"/>
      <w:pPr>
        <w:ind w:left="1020" w:hanging="360"/>
      </w:pPr>
    </w:lvl>
    <w:lvl w:ilvl="1" w:tplc="2C425B0A">
      <w:start w:val="1"/>
      <w:numFmt w:val="decimal"/>
      <w:lvlText w:val="%2."/>
      <w:lvlJc w:val="left"/>
      <w:pPr>
        <w:ind w:left="1020" w:hanging="360"/>
      </w:pPr>
    </w:lvl>
    <w:lvl w:ilvl="2" w:tplc="F91AFFB6">
      <w:start w:val="1"/>
      <w:numFmt w:val="decimal"/>
      <w:lvlText w:val="%3."/>
      <w:lvlJc w:val="left"/>
      <w:pPr>
        <w:ind w:left="1020" w:hanging="360"/>
      </w:pPr>
    </w:lvl>
    <w:lvl w:ilvl="3" w:tplc="804C8298">
      <w:start w:val="1"/>
      <w:numFmt w:val="decimal"/>
      <w:lvlText w:val="%4."/>
      <w:lvlJc w:val="left"/>
      <w:pPr>
        <w:ind w:left="1020" w:hanging="360"/>
      </w:pPr>
    </w:lvl>
    <w:lvl w:ilvl="4" w:tplc="86CA69C6">
      <w:start w:val="1"/>
      <w:numFmt w:val="decimal"/>
      <w:lvlText w:val="%5."/>
      <w:lvlJc w:val="left"/>
      <w:pPr>
        <w:ind w:left="1020" w:hanging="360"/>
      </w:pPr>
    </w:lvl>
    <w:lvl w:ilvl="5" w:tplc="2AE049FE">
      <w:start w:val="1"/>
      <w:numFmt w:val="decimal"/>
      <w:lvlText w:val="%6."/>
      <w:lvlJc w:val="left"/>
      <w:pPr>
        <w:ind w:left="1020" w:hanging="360"/>
      </w:pPr>
    </w:lvl>
    <w:lvl w:ilvl="6" w:tplc="2522D854">
      <w:start w:val="1"/>
      <w:numFmt w:val="decimal"/>
      <w:lvlText w:val="%7."/>
      <w:lvlJc w:val="left"/>
      <w:pPr>
        <w:ind w:left="1020" w:hanging="360"/>
      </w:pPr>
    </w:lvl>
    <w:lvl w:ilvl="7" w:tplc="C86A0034">
      <w:start w:val="1"/>
      <w:numFmt w:val="decimal"/>
      <w:lvlText w:val="%8."/>
      <w:lvlJc w:val="left"/>
      <w:pPr>
        <w:ind w:left="1020" w:hanging="360"/>
      </w:pPr>
    </w:lvl>
    <w:lvl w:ilvl="8" w:tplc="023E5FAA">
      <w:start w:val="1"/>
      <w:numFmt w:val="decimal"/>
      <w:lvlText w:val="%9."/>
      <w:lvlJc w:val="left"/>
      <w:pPr>
        <w:ind w:left="1020" w:hanging="360"/>
      </w:pPr>
    </w:lvl>
  </w:abstractNum>
  <w:abstractNum w:abstractNumId="6" w15:restartNumberingAfterBreak="0">
    <w:nsid w:val="08903AE4"/>
    <w:multiLevelType w:val="multilevel"/>
    <w:tmpl w:val="374CD2B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092C171F"/>
    <w:multiLevelType w:val="hybridMultilevel"/>
    <w:tmpl w:val="7E308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4659A1"/>
    <w:multiLevelType w:val="hybridMultilevel"/>
    <w:tmpl w:val="5DD4E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2F729A"/>
    <w:multiLevelType w:val="hybridMultilevel"/>
    <w:tmpl w:val="B1E08116"/>
    <w:lvl w:ilvl="0" w:tplc="DD8CFD36">
      <w:start w:val="1"/>
      <w:numFmt w:val="bullet"/>
      <w:pStyle w:val="BulletPoints"/>
      <w:lvlText w:val=""/>
      <w:lvlJc w:val="left"/>
      <w:pPr>
        <w:ind w:left="397" w:hanging="397"/>
      </w:pPr>
      <w:rPr>
        <w:rFonts w:ascii="Symbol" w:hAnsi="Symbol" w:hint="default"/>
        <w:color w:val="555555"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A578E5"/>
    <w:multiLevelType w:val="hybridMultilevel"/>
    <w:tmpl w:val="1CC03EF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B84E70"/>
    <w:multiLevelType w:val="hybridMultilevel"/>
    <w:tmpl w:val="AA4A4B4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2E64CD"/>
    <w:multiLevelType w:val="hybridMultilevel"/>
    <w:tmpl w:val="D7543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2509FE"/>
    <w:multiLevelType w:val="hybridMultilevel"/>
    <w:tmpl w:val="FDCAE2F0"/>
    <w:lvl w:ilvl="0" w:tplc="AB72DF82">
      <w:start w:val="1"/>
      <w:numFmt w:val="bullet"/>
      <w:lvlText w:val=""/>
      <w:lvlJc w:val="left"/>
      <w:pPr>
        <w:ind w:left="1440" w:hanging="360"/>
      </w:pPr>
      <w:rPr>
        <w:rFonts w:ascii="Symbol" w:hAnsi="Symbol"/>
      </w:rPr>
    </w:lvl>
    <w:lvl w:ilvl="1" w:tplc="38625980">
      <w:start w:val="1"/>
      <w:numFmt w:val="bullet"/>
      <w:lvlText w:val=""/>
      <w:lvlJc w:val="left"/>
      <w:pPr>
        <w:ind w:left="1440" w:hanging="360"/>
      </w:pPr>
      <w:rPr>
        <w:rFonts w:ascii="Symbol" w:hAnsi="Symbol"/>
      </w:rPr>
    </w:lvl>
    <w:lvl w:ilvl="2" w:tplc="E8B88110">
      <w:start w:val="1"/>
      <w:numFmt w:val="bullet"/>
      <w:lvlText w:val=""/>
      <w:lvlJc w:val="left"/>
      <w:pPr>
        <w:ind w:left="1440" w:hanging="360"/>
      </w:pPr>
      <w:rPr>
        <w:rFonts w:ascii="Symbol" w:hAnsi="Symbol"/>
      </w:rPr>
    </w:lvl>
    <w:lvl w:ilvl="3" w:tplc="D7E0531A">
      <w:start w:val="1"/>
      <w:numFmt w:val="bullet"/>
      <w:lvlText w:val=""/>
      <w:lvlJc w:val="left"/>
      <w:pPr>
        <w:ind w:left="1440" w:hanging="360"/>
      </w:pPr>
      <w:rPr>
        <w:rFonts w:ascii="Symbol" w:hAnsi="Symbol"/>
      </w:rPr>
    </w:lvl>
    <w:lvl w:ilvl="4" w:tplc="843A2CA2">
      <w:start w:val="1"/>
      <w:numFmt w:val="bullet"/>
      <w:lvlText w:val=""/>
      <w:lvlJc w:val="left"/>
      <w:pPr>
        <w:ind w:left="1440" w:hanging="360"/>
      </w:pPr>
      <w:rPr>
        <w:rFonts w:ascii="Symbol" w:hAnsi="Symbol"/>
      </w:rPr>
    </w:lvl>
    <w:lvl w:ilvl="5" w:tplc="92DC6DDE">
      <w:start w:val="1"/>
      <w:numFmt w:val="bullet"/>
      <w:lvlText w:val=""/>
      <w:lvlJc w:val="left"/>
      <w:pPr>
        <w:ind w:left="1440" w:hanging="360"/>
      </w:pPr>
      <w:rPr>
        <w:rFonts w:ascii="Symbol" w:hAnsi="Symbol"/>
      </w:rPr>
    </w:lvl>
    <w:lvl w:ilvl="6" w:tplc="4D5E9C16">
      <w:start w:val="1"/>
      <w:numFmt w:val="bullet"/>
      <w:lvlText w:val=""/>
      <w:lvlJc w:val="left"/>
      <w:pPr>
        <w:ind w:left="1440" w:hanging="360"/>
      </w:pPr>
      <w:rPr>
        <w:rFonts w:ascii="Symbol" w:hAnsi="Symbol"/>
      </w:rPr>
    </w:lvl>
    <w:lvl w:ilvl="7" w:tplc="7682C2CA">
      <w:start w:val="1"/>
      <w:numFmt w:val="bullet"/>
      <w:lvlText w:val=""/>
      <w:lvlJc w:val="left"/>
      <w:pPr>
        <w:ind w:left="1440" w:hanging="360"/>
      </w:pPr>
      <w:rPr>
        <w:rFonts w:ascii="Symbol" w:hAnsi="Symbol"/>
      </w:rPr>
    </w:lvl>
    <w:lvl w:ilvl="8" w:tplc="6512DA92">
      <w:start w:val="1"/>
      <w:numFmt w:val="bullet"/>
      <w:lvlText w:val=""/>
      <w:lvlJc w:val="left"/>
      <w:pPr>
        <w:ind w:left="1440" w:hanging="360"/>
      </w:pPr>
      <w:rPr>
        <w:rFonts w:ascii="Symbol" w:hAnsi="Symbol"/>
      </w:rPr>
    </w:lvl>
  </w:abstractNum>
  <w:abstractNum w:abstractNumId="14" w15:restartNumberingAfterBreak="0">
    <w:nsid w:val="19697734"/>
    <w:multiLevelType w:val="hybridMultilevel"/>
    <w:tmpl w:val="AB7C5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7C3988"/>
    <w:multiLevelType w:val="hybridMultilevel"/>
    <w:tmpl w:val="A2203766"/>
    <w:lvl w:ilvl="0" w:tplc="98A6A2A0">
      <w:start w:val="1"/>
      <w:numFmt w:val="bullet"/>
      <w:lvlText w:val=""/>
      <w:lvlJc w:val="left"/>
      <w:pPr>
        <w:ind w:left="720" w:hanging="360"/>
      </w:pPr>
      <w:rPr>
        <w:rFonts w:ascii="Symbol" w:hAnsi="Symbol"/>
      </w:rPr>
    </w:lvl>
    <w:lvl w:ilvl="1" w:tplc="4656C344">
      <w:start w:val="1"/>
      <w:numFmt w:val="bullet"/>
      <w:lvlText w:val=""/>
      <w:lvlJc w:val="left"/>
      <w:pPr>
        <w:ind w:left="720" w:hanging="360"/>
      </w:pPr>
      <w:rPr>
        <w:rFonts w:ascii="Symbol" w:hAnsi="Symbol"/>
      </w:rPr>
    </w:lvl>
    <w:lvl w:ilvl="2" w:tplc="7D9EAFB4">
      <w:start w:val="1"/>
      <w:numFmt w:val="bullet"/>
      <w:lvlText w:val=""/>
      <w:lvlJc w:val="left"/>
      <w:pPr>
        <w:ind w:left="720" w:hanging="360"/>
      </w:pPr>
      <w:rPr>
        <w:rFonts w:ascii="Symbol" w:hAnsi="Symbol"/>
      </w:rPr>
    </w:lvl>
    <w:lvl w:ilvl="3" w:tplc="3B6E43E0">
      <w:start w:val="1"/>
      <w:numFmt w:val="bullet"/>
      <w:lvlText w:val=""/>
      <w:lvlJc w:val="left"/>
      <w:pPr>
        <w:ind w:left="720" w:hanging="360"/>
      </w:pPr>
      <w:rPr>
        <w:rFonts w:ascii="Symbol" w:hAnsi="Symbol"/>
      </w:rPr>
    </w:lvl>
    <w:lvl w:ilvl="4" w:tplc="35464638">
      <w:start w:val="1"/>
      <w:numFmt w:val="bullet"/>
      <w:lvlText w:val=""/>
      <w:lvlJc w:val="left"/>
      <w:pPr>
        <w:ind w:left="720" w:hanging="360"/>
      </w:pPr>
      <w:rPr>
        <w:rFonts w:ascii="Symbol" w:hAnsi="Symbol"/>
      </w:rPr>
    </w:lvl>
    <w:lvl w:ilvl="5" w:tplc="51022754">
      <w:start w:val="1"/>
      <w:numFmt w:val="bullet"/>
      <w:lvlText w:val=""/>
      <w:lvlJc w:val="left"/>
      <w:pPr>
        <w:ind w:left="720" w:hanging="360"/>
      </w:pPr>
      <w:rPr>
        <w:rFonts w:ascii="Symbol" w:hAnsi="Symbol"/>
      </w:rPr>
    </w:lvl>
    <w:lvl w:ilvl="6" w:tplc="2CECB1D0">
      <w:start w:val="1"/>
      <w:numFmt w:val="bullet"/>
      <w:lvlText w:val=""/>
      <w:lvlJc w:val="left"/>
      <w:pPr>
        <w:ind w:left="720" w:hanging="360"/>
      </w:pPr>
      <w:rPr>
        <w:rFonts w:ascii="Symbol" w:hAnsi="Symbol"/>
      </w:rPr>
    </w:lvl>
    <w:lvl w:ilvl="7" w:tplc="224E8614">
      <w:start w:val="1"/>
      <w:numFmt w:val="bullet"/>
      <w:lvlText w:val=""/>
      <w:lvlJc w:val="left"/>
      <w:pPr>
        <w:ind w:left="720" w:hanging="360"/>
      </w:pPr>
      <w:rPr>
        <w:rFonts w:ascii="Symbol" w:hAnsi="Symbol"/>
      </w:rPr>
    </w:lvl>
    <w:lvl w:ilvl="8" w:tplc="1C0686E2">
      <w:start w:val="1"/>
      <w:numFmt w:val="bullet"/>
      <w:lvlText w:val=""/>
      <w:lvlJc w:val="left"/>
      <w:pPr>
        <w:ind w:left="720" w:hanging="360"/>
      </w:pPr>
      <w:rPr>
        <w:rFonts w:ascii="Symbol" w:hAnsi="Symbol"/>
      </w:rPr>
    </w:lvl>
  </w:abstractNum>
  <w:abstractNum w:abstractNumId="16" w15:restartNumberingAfterBreak="0">
    <w:nsid w:val="1F9666E9"/>
    <w:multiLevelType w:val="hybridMultilevel"/>
    <w:tmpl w:val="A09C2102"/>
    <w:lvl w:ilvl="0" w:tplc="D5AEFB8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835C4E"/>
    <w:multiLevelType w:val="hybridMultilevel"/>
    <w:tmpl w:val="BB2E88B2"/>
    <w:lvl w:ilvl="0" w:tplc="7C94B140">
      <w:start w:val="1"/>
      <w:numFmt w:val="bullet"/>
      <w:lvlText w:val=""/>
      <w:lvlJc w:val="left"/>
      <w:pPr>
        <w:ind w:left="1440" w:hanging="360"/>
      </w:pPr>
      <w:rPr>
        <w:rFonts w:ascii="Symbol" w:hAnsi="Symbol"/>
      </w:rPr>
    </w:lvl>
    <w:lvl w:ilvl="1" w:tplc="6C80E668">
      <w:start w:val="1"/>
      <w:numFmt w:val="bullet"/>
      <w:lvlText w:val=""/>
      <w:lvlJc w:val="left"/>
      <w:pPr>
        <w:ind w:left="1440" w:hanging="360"/>
      </w:pPr>
      <w:rPr>
        <w:rFonts w:ascii="Symbol" w:hAnsi="Symbol"/>
      </w:rPr>
    </w:lvl>
    <w:lvl w:ilvl="2" w:tplc="E604CC32">
      <w:start w:val="1"/>
      <w:numFmt w:val="bullet"/>
      <w:lvlText w:val=""/>
      <w:lvlJc w:val="left"/>
      <w:pPr>
        <w:ind w:left="1440" w:hanging="360"/>
      </w:pPr>
      <w:rPr>
        <w:rFonts w:ascii="Symbol" w:hAnsi="Symbol"/>
      </w:rPr>
    </w:lvl>
    <w:lvl w:ilvl="3" w:tplc="359AA120">
      <w:start w:val="1"/>
      <w:numFmt w:val="bullet"/>
      <w:lvlText w:val=""/>
      <w:lvlJc w:val="left"/>
      <w:pPr>
        <w:ind w:left="1440" w:hanging="360"/>
      </w:pPr>
      <w:rPr>
        <w:rFonts w:ascii="Symbol" w:hAnsi="Symbol"/>
      </w:rPr>
    </w:lvl>
    <w:lvl w:ilvl="4" w:tplc="DD26A036">
      <w:start w:val="1"/>
      <w:numFmt w:val="bullet"/>
      <w:lvlText w:val=""/>
      <w:lvlJc w:val="left"/>
      <w:pPr>
        <w:ind w:left="1440" w:hanging="360"/>
      </w:pPr>
      <w:rPr>
        <w:rFonts w:ascii="Symbol" w:hAnsi="Symbol"/>
      </w:rPr>
    </w:lvl>
    <w:lvl w:ilvl="5" w:tplc="DF38F7E8">
      <w:start w:val="1"/>
      <w:numFmt w:val="bullet"/>
      <w:lvlText w:val=""/>
      <w:lvlJc w:val="left"/>
      <w:pPr>
        <w:ind w:left="1440" w:hanging="360"/>
      </w:pPr>
      <w:rPr>
        <w:rFonts w:ascii="Symbol" w:hAnsi="Symbol"/>
      </w:rPr>
    </w:lvl>
    <w:lvl w:ilvl="6" w:tplc="40D8EBB0">
      <w:start w:val="1"/>
      <w:numFmt w:val="bullet"/>
      <w:lvlText w:val=""/>
      <w:lvlJc w:val="left"/>
      <w:pPr>
        <w:ind w:left="1440" w:hanging="360"/>
      </w:pPr>
      <w:rPr>
        <w:rFonts w:ascii="Symbol" w:hAnsi="Symbol"/>
      </w:rPr>
    </w:lvl>
    <w:lvl w:ilvl="7" w:tplc="5CA8FA38">
      <w:start w:val="1"/>
      <w:numFmt w:val="bullet"/>
      <w:lvlText w:val=""/>
      <w:lvlJc w:val="left"/>
      <w:pPr>
        <w:ind w:left="1440" w:hanging="360"/>
      </w:pPr>
      <w:rPr>
        <w:rFonts w:ascii="Symbol" w:hAnsi="Symbol"/>
      </w:rPr>
    </w:lvl>
    <w:lvl w:ilvl="8" w:tplc="FDAEA3F6">
      <w:start w:val="1"/>
      <w:numFmt w:val="bullet"/>
      <w:lvlText w:val=""/>
      <w:lvlJc w:val="left"/>
      <w:pPr>
        <w:ind w:left="1440" w:hanging="360"/>
      </w:pPr>
      <w:rPr>
        <w:rFonts w:ascii="Symbol" w:hAnsi="Symbol"/>
      </w:rPr>
    </w:lvl>
  </w:abstractNum>
  <w:abstractNum w:abstractNumId="18" w15:restartNumberingAfterBreak="0">
    <w:nsid w:val="29AC6790"/>
    <w:multiLevelType w:val="hybridMultilevel"/>
    <w:tmpl w:val="0D1670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9CC3DEC"/>
    <w:multiLevelType w:val="hybridMultilevel"/>
    <w:tmpl w:val="D6EE2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D63D30"/>
    <w:multiLevelType w:val="hybridMultilevel"/>
    <w:tmpl w:val="5204B37A"/>
    <w:lvl w:ilvl="0" w:tplc="DBE80B04">
      <w:start w:val="1"/>
      <w:numFmt w:val="bullet"/>
      <w:lvlText w:val=""/>
      <w:lvlJc w:val="left"/>
      <w:pPr>
        <w:ind w:left="1440" w:hanging="360"/>
      </w:pPr>
      <w:rPr>
        <w:rFonts w:ascii="Symbol" w:hAnsi="Symbol"/>
      </w:rPr>
    </w:lvl>
    <w:lvl w:ilvl="1" w:tplc="15CA2B7E">
      <w:start w:val="1"/>
      <w:numFmt w:val="bullet"/>
      <w:lvlText w:val=""/>
      <w:lvlJc w:val="left"/>
      <w:pPr>
        <w:ind w:left="1440" w:hanging="360"/>
      </w:pPr>
      <w:rPr>
        <w:rFonts w:ascii="Symbol" w:hAnsi="Symbol"/>
      </w:rPr>
    </w:lvl>
    <w:lvl w:ilvl="2" w:tplc="0F184ABE">
      <w:start w:val="1"/>
      <w:numFmt w:val="bullet"/>
      <w:lvlText w:val=""/>
      <w:lvlJc w:val="left"/>
      <w:pPr>
        <w:ind w:left="1440" w:hanging="360"/>
      </w:pPr>
      <w:rPr>
        <w:rFonts w:ascii="Symbol" w:hAnsi="Symbol"/>
      </w:rPr>
    </w:lvl>
    <w:lvl w:ilvl="3" w:tplc="C896B116">
      <w:start w:val="1"/>
      <w:numFmt w:val="bullet"/>
      <w:lvlText w:val=""/>
      <w:lvlJc w:val="left"/>
      <w:pPr>
        <w:ind w:left="1440" w:hanging="360"/>
      </w:pPr>
      <w:rPr>
        <w:rFonts w:ascii="Symbol" w:hAnsi="Symbol"/>
      </w:rPr>
    </w:lvl>
    <w:lvl w:ilvl="4" w:tplc="0B0ADE30">
      <w:start w:val="1"/>
      <w:numFmt w:val="bullet"/>
      <w:lvlText w:val=""/>
      <w:lvlJc w:val="left"/>
      <w:pPr>
        <w:ind w:left="1440" w:hanging="360"/>
      </w:pPr>
      <w:rPr>
        <w:rFonts w:ascii="Symbol" w:hAnsi="Symbol"/>
      </w:rPr>
    </w:lvl>
    <w:lvl w:ilvl="5" w:tplc="50261364">
      <w:start w:val="1"/>
      <w:numFmt w:val="bullet"/>
      <w:lvlText w:val=""/>
      <w:lvlJc w:val="left"/>
      <w:pPr>
        <w:ind w:left="1440" w:hanging="360"/>
      </w:pPr>
      <w:rPr>
        <w:rFonts w:ascii="Symbol" w:hAnsi="Symbol"/>
      </w:rPr>
    </w:lvl>
    <w:lvl w:ilvl="6" w:tplc="4BF8BFC0">
      <w:start w:val="1"/>
      <w:numFmt w:val="bullet"/>
      <w:lvlText w:val=""/>
      <w:lvlJc w:val="left"/>
      <w:pPr>
        <w:ind w:left="1440" w:hanging="360"/>
      </w:pPr>
      <w:rPr>
        <w:rFonts w:ascii="Symbol" w:hAnsi="Symbol"/>
      </w:rPr>
    </w:lvl>
    <w:lvl w:ilvl="7" w:tplc="AEC4324E">
      <w:start w:val="1"/>
      <w:numFmt w:val="bullet"/>
      <w:lvlText w:val=""/>
      <w:lvlJc w:val="left"/>
      <w:pPr>
        <w:ind w:left="1440" w:hanging="360"/>
      </w:pPr>
      <w:rPr>
        <w:rFonts w:ascii="Symbol" w:hAnsi="Symbol"/>
      </w:rPr>
    </w:lvl>
    <w:lvl w:ilvl="8" w:tplc="3416A298">
      <w:start w:val="1"/>
      <w:numFmt w:val="bullet"/>
      <w:lvlText w:val=""/>
      <w:lvlJc w:val="left"/>
      <w:pPr>
        <w:ind w:left="1440" w:hanging="360"/>
      </w:pPr>
      <w:rPr>
        <w:rFonts w:ascii="Symbol" w:hAnsi="Symbol"/>
      </w:rPr>
    </w:lvl>
  </w:abstractNum>
  <w:abstractNum w:abstractNumId="21" w15:restartNumberingAfterBreak="0">
    <w:nsid w:val="2C7D7DA7"/>
    <w:multiLevelType w:val="hybridMultilevel"/>
    <w:tmpl w:val="43FEEDA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E4372DC"/>
    <w:multiLevelType w:val="hybridMultilevel"/>
    <w:tmpl w:val="83E8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C11D6E"/>
    <w:multiLevelType w:val="hybridMultilevel"/>
    <w:tmpl w:val="E80221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88E6EBE"/>
    <w:multiLevelType w:val="hybridMultilevel"/>
    <w:tmpl w:val="5E229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A5596A"/>
    <w:multiLevelType w:val="hybridMultilevel"/>
    <w:tmpl w:val="EEB64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BB07E7"/>
    <w:multiLevelType w:val="hybridMultilevel"/>
    <w:tmpl w:val="C1D4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DD0E75"/>
    <w:multiLevelType w:val="hybridMultilevel"/>
    <w:tmpl w:val="A29CCD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1910EFC"/>
    <w:multiLevelType w:val="hybridMultilevel"/>
    <w:tmpl w:val="2E16486E"/>
    <w:lvl w:ilvl="0" w:tplc="0638E3F8">
      <w:start w:val="1"/>
      <w:numFmt w:val="decimal"/>
      <w:pStyle w:val="NumberedList"/>
      <w:lvlText w:val="%1."/>
      <w:lvlJc w:val="left"/>
      <w:pPr>
        <w:ind w:left="454" w:hanging="454"/>
      </w:pPr>
      <w:rPr>
        <w:rFonts w:hint="default"/>
        <w:color w:val="555555"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393246C"/>
    <w:multiLevelType w:val="hybridMultilevel"/>
    <w:tmpl w:val="EBE65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895618"/>
    <w:multiLevelType w:val="hybridMultilevel"/>
    <w:tmpl w:val="423E9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CC6500"/>
    <w:multiLevelType w:val="hybridMultilevel"/>
    <w:tmpl w:val="0010AB7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88134BE"/>
    <w:multiLevelType w:val="hybridMultilevel"/>
    <w:tmpl w:val="2E7CC382"/>
    <w:lvl w:ilvl="0" w:tplc="3C1EA3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FD500F"/>
    <w:multiLevelType w:val="hybridMultilevel"/>
    <w:tmpl w:val="2E3E85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4D284D97"/>
    <w:multiLevelType w:val="hybridMultilevel"/>
    <w:tmpl w:val="0AD4DF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1CF4015"/>
    <w:multiLevelType w:val="hybridMultilevel"/>
    <w:tmpl w:val="520CFD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8D3AE7"/>
    <w:multiLevelType w:val="hybridMultilevel"/>
    <w:tmpl w:val="C706C152"/>
    <w:lvl w:ilvl="0" w:tplc="D904EAB0">
      <w:start w:val="1"/>
      <w:numFmt w:val="bullet"/>
      <w:lvlText w:val=""/>
      <w:lvlJc w:val="left"/>
      <w:pPr>
        <w:ind w:left="1440" w:hanging="360"/>
      </w:pPr>
      <w:rPr>
        <w:rFonts w:ascii="Symbol" w:hAnsi="Symbol"/>
      </w:rPr>
    </w:lvl>
    <w:lvl w:ilvl="1" w:tplc="F0442624">
      <w:start w:val="1"/>
      <w:numFmt w:val="bullet"/>
      <w:lvlText w:val=""/>
      <w:lvlJc w:val="left"/>
      <w:pPr>
        <w:ind w:left="1440" w:hanging="360"/>
      </w:pPr>
      <w:rPr>
        <w:rFonts w:ascii="Symbol" w:hAnsi="Symbol"/>
      </w:rPr>
    </w:lvl>
    <w:lvl w:ilvl="2" w:tplc="A0B004EE">
      <w:start w:val="1"/>
      <w:numFmt w:val="bullet"/>
      <w:lvlText w:val=""/>
      <w:lvlJc w:val="left"/>
      <w:pPr>
        <w:ind w:left="1440" w:hanging="360"/>
      </w:pPr>
      <w:rPr>
        <w:rFonts w:ascii="Symbol" w:hAnsi="Symbol"/>
      </w:rPr>
    </w:lvl>
    <w:lvl w:ilvl="3" w:tplc="85C43558">
      <w:start w:val="1"/>
      <w:numFmt w:val="bullet"/>
      <w:lvlText w:val=""/>
      <w:lvlJc w:val="left"/>
      <w:pPr>
        <w:ind w:left="1440" w:hanging="360"/>
      </w:pPr>
      <w:rPr>
        <w:rFonts w:ascii="Symbol" w:hAnsi="Symbol"/>
      </w:rPr>
    </w:lvl>
    <w:lvl w:ilvl="4" w:tplc="BB7E8B1A">
      <w:start w:val="1"/>
      <w:numFmt w:val="bullet"/>
      <w:lvlText w:val=""/>
      <w:lvlJc w:val="left"/>
      <w:pPr>
        <w:ind w:left="1440" w:hanging="360"/>
      </w:pPr>
      <w:rPr>
        <w:rFonts w:ascii="Symbol" w:hAnsi="Symbol"/>
      </w:rPr>
    </w:lvl>
    <w:lvl w:ilvl="5" w:tplc="E824617E">
      <w:start w:val="1"/>
      <w:numFmt w:val="bullet"/>
      <w:lvlText w:val=""/>
      <w:lvlJc w:val="left"/>
      <w:pPr>
        <w:ind w:left="1440" w:hanging="360"/>
      </w:pPr>
      <w:rPr>
        <w:rFonts w:ascii="Symbol" w:hAnsi="Symbol"/>
      </w:rPr>
    </w:lvl>
    <w:lvl w:ilvl="6" w:tplc="A642AC5C">
      <w:start w:val="1"/>
      <w:numFmt w:val="bullet"/>
      <w:lvlText w:val=""/>
      <w:lvlJc w:val="left"/>
      <w:pPr>
        <w:ind w:left="1440" w:hanging="360"/>
      </w:pPr>
      <w:rPr>
        <w:rFonts w:ascii="Symbol" w:hAnsi="Symbol"/>
      </w:rPr>
    </w:lvl>
    <w:lvl w:ilvl="7" w:tplc="BF4E9738">
      <w:start w:val="1"/>
      <w:numFmt w:val="bullet"/>
      <w:lvlText w:val=""/>
      <w:lvlJc w:val="left"/>
      <w:pPr>
        <w:ind w:left="1440" w:hanging="360"/>
      </w:pPr>
      <w:rPr>
        <w:rFonts w:ascii="Symbol" w:hAnsi="Symbol"/>
      </w:rPr>
    </w:lvl>
    <w:lvl w:ilvl="8" w:tplc="DF22A5E8">
      <w:start w:val="1"/>
      <w:numFmt w:val="bullet"/>
      <w:lvlText w:val=""/>
      <w:lvlJc w:val="left"/>
      <w:pPr>
        <w:ind w:left="1440" w:hanging="360"/>
      </w:pPr>
      <w:rPr>
        <w:rFonts w:ascii="Symbol" w:hAnsi="Symbol"/>
      </w:rPr>
    </w:lvl>
  </w:abstractNum>
  <w:abstractNum w:abstractNumId="37" w15:restartNumberingAfterBreak="0">
    <w:nsid w:val="59A732D9"/>
    <w:multiLevelType w:val="multilevel"/>
    <w:tmpl w:val="6F3A80FA"/>
    <w:styleLink w:val="CurrentList1"/>
    <w:lvl w:ilvl="0">
      <w:start w:val="1"/>
      <w:numFmt w:val="decimal"/>
      <w:lvlText w:val="%1."/>
      <w:lvlJc w:val="left"/>
      <w:pPr>
        <w:ind w:left="454" w:hanging="454"/>
      </w:pPr>
      <w:rPr>
        <w:rFonts w:hint="default"/>
        <w:color w:val="555555"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AEE2ABD"/>
    <w:multiLevelType w:val="hybridMultilevel"/>
    <w:tmpl w:val="82C68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EB0EAF"/>
    <w:multiLevelType w:val="hybridMultilevel"/>
    <w:tmpl w:val="F26E2BD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DC233F3"/>
    <w:multiLevelType w:val="hybridMultilevel"/>
    <w:tmpl w:val="EDF2EE0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D56770"/>
    <w:multiLevelType w:val="hybridMultilevel"/>
    <w:tmpl w:val="3DE022BA"/>
    <w:lvl w:ilvl="0" w:tplc="325ECAEC">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324BA0"/>
    <w:multiLevelType w:val="hybridMultilevel"/>
    <w:tmpl w:val="F336E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AC0413"/>
    <w:multiLevelType w:val="hybridMultilevel"/>
    <w:tmpl w:val="F8F2FA96"/>
    <w:lvl w:ilvl="0" w:tplc="FDE0FE8E">
      <w:start w:val="1"/>
      <w:numFmt w:val="bullet"/>
      <w:lvlText w:val=""/>
      <w:lvlJc w:val="left"/>
      <w:pPr>
        <w:ind w:left="1440" w:hanging="360"/>
      </w:pPr>
      <w:rPr>
        <w:rFonts w:ascii="Symbol" w:hAnsi="Symbol"/>
      </w:rPr>
    </w:lvl>
    <w:lvl w:ilvl="1" w:tplc="1BF4E4C8">
      <w:start w:val="1"/>
      <w:numFmt w:val="bullet"/>
      <w:lvlText w:val=""/>
      <w:lvlJc w:val="left"/>
      <w:pPr>
        <w:ind w:left="1440" w:hanging="360"/>
      </w:pPr>
      <w:rPr>
        <w:rFonts w:ascii="Symbol" w:hAnsi="Symbol"/>
      </w:rPr>
    </w:lvl>
    <w:lvl w:ilvl="2" w:tplc="528AF512">
      <w:start w:val="1"/>
      <w:numFmt w:val="bullet"/>
      <w:lvlText w:val=""/>
      <w:lvlJc w:val="left"/>
      <w:pPr>
        <w:ind w:left="1440" w:hanging="360"/>
      </w:pPr>
      <w:rPr>
        <w:rFonts w:ascii="Symbol" w:hAnsi="Symbol"/>
      </w:rPr>
    </w:lvl>
    <w:lvl w:ilvl="3" w:tplc="723E591E">
      <w:start w:val="1"/>
      <w:numFmt w:val="bullet"/>
      <w:lvlText w:val=""/>
      <w:lvlJc w:val="left"/>
      <w:pPr>
        <w:ind w:left="1440" w:hanging="360"/>
      </w:pPr>
      <w:rPr>
        <w:rFonts w:ascii="Symbol" w:hAnsi="Symbol"/>
      </w:rPr>
    </w:lvl>
    <w:lvl w:ilvl="4" w:tplc="67F46B16">
      <w:start w:val="1"/>
      <w:numFmt w:val="bullet"/>
      <w:lvlText w:val=""/>
      <w:lvlJc w:val="left"/>
      <w:pPr>
        <w:ind w:left="1440" w:hanging="360"/>
      </w:pPr>
      <w:rPr>
        <w:rFonts w:ascii="Symbol" w:hAnsi="Symbol"/>
      </w:rPr>
    </w:lvl>
    <w:lvl w:ilvl="5" w:tplc="B7A2737E">
      <w:start w:val="1"/>
      <w:numFmt w:val="bullet"/>
      <w:lvlText w:val=""/>
      <w:lvlJc w:val="left"/>
      <w:pPr>
        <w:ind w:left="1440" w:hanging="360"/>
      </w:pPr>
      <w:rPr>
        <w:rFonts w:ascii="Symbol" w:hAnsi="Symbol"/>
      </w:rPr>
    </w:lvl>
    <w:lvl w:ilvl="6" w:tplc="471A14E8">
      <w:start w:val="1"/>
      <w:numFmt w:val="bullet"/>
      <w:lvlText w:val=""/>
      <w:lvlJc w:val="left"/>
      <w:pPr>
        <w:ind w:left="1440" w:hanging="360"/>
      </w:pPr>
      <w:rPr>
        <w:rFonts w:ascii="Symbol" w:hAnsi="Symbol"/>
      </w:rPr>
    </w:lvl>
    <w:lvl w:ilvl="7" w:tplc="4D12062C">
      <w:start w:val="1"/>
      <w:numFmt w:val="bullet"/>
      <w:lvlText w:val=""/>
      <w:lvlJc w:val="left"/>
      <w:pPr>
        <w:ind w:left="1440" w:hanging="360"/>
      </w:pPr>
      <w:rPr>
        <w:rFonts w:ascii="Symbol" w:hAnsi="Symbol"/>
      </w:rPr>
    </w:lvl>
    <w:lvl w:ilvl="8" w:tplc="39107646">
      <w:start w:val="1"/>
      <w:numFmt w:val="bullet"/>
      <w:lvlText w:val=""/>
      <w:lvlJc w:val="left"/>
      <w:pPr>
        <w:ind w:left="1440" w:hanging="360"/>
      </w:pPr>
      <w:rPr>
        <w:rFonts w:ascii="Symbol" w:hAnsi="Symbol"/>
      </w:rPr>
    </w:lvl>
  </w:abstractNum>
  <w:abstractNum w:abstractNumId="44" w15:restartNumberingAfterBreak="0">
    <w:nsid w:val="6BCD6299"/>
    <w:multiLevelType w:val="multilevel"/>
    <w:tmpl w:val="80AE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7A3353"/>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EBD0AA3"/>
    <w:multiLevelType w:val="hybridMultilevel"/>
    <w:tmpl w:val="0D6E6FF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20173CE"/>
    <w:multiLevelType w:val="hybridMultilevel"/>
    <w:tmpl w:val="C4EC273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8" w15:restartNumberingAfterBreak="0">
    <w:nsid w:val="72C42AEC"/>
    <w:multiLevelType w:val="hybridMultilevel"/>
    <w:tmpl w:val="D0BC3228"/>
    <w:lvl w:ilvl="0" w:tplc="EC88E142">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2C95883"/>
    <w:multiLevelType w:val="hybridMultilevel"/>
    <w:tmpl w:val="AEFA50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74134EB0"/>
    <w:multiLevelType w:val="hybridMultilevel"/>
    <w:tmpl w:val="F5E63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A64432"/>
    <w:multiLevelType w:val="hybridMultilevel"/>
    <w:tmpl w:val="70B2E068"/>
    <w:lvl w:ilvl="0" w:tplc="0C090001">
      <w:start w:val="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7CD71CC4"/>
    <w:multiLevelType w:val="hybridMultilevel"/>
    <w:tmpl w:val="4CA234A4"/>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D5F0427"/>
    <w:multiLevelType w:val="hybridMultilevel"/>
    <w:tmpl w:val="32AA055A"/>
    <w:lvl w:ilvl="0" w:tplc="BF20D97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1653290">
    <w:abstractNumId w:val="32"/>
  </w:num>
  <w:num w:numId="2" w16cid:durableId="1170749867">
    <w:abstractNumId w:val="52"/>
  </w:num>
  <w:num w:numId="3" w16cid:durableId="1499155397">
    <w:abstractNumId w:val="9"/>
  </w:num>
  <w:num w:numId="4" w16cid:durableId="1940873228">
    <w:abstractNumId w:val="3"/>
  </w:num>
  <w:num w:numId="5" w16cid:durableId="2124031169">
    <w:abstractNumId w:val="37"/>
  </w:num>
  <w:num w:numId="6" w16cid:durableId="241063977">
    <w:abstractNumId w:val="45"/>
  </w:num>
  <w:num w:numId="7" w16cid:durableId="591623771">
    <w:abstractNumId w:val="28"/>
  </w:num>
  <w:num w:numId="8" w16cid:durableId="1486975180">
    <w:abstractNumId w:val="41"/>
  </w:num>
  <w:num w:numId="9" w16cid:durableId="906302283">
    <w:abstractNumId w:val="5"/>
  </w:num>
  <w:num w:numId="10" w16cid:durableId="383216177">
    <w:abstractNumId w:val="2"/>
  </w:num>
  <w:num w:numId="11" w16cid:durableId="1775784662">
    <w:abstractNumId w:val="22"/>
  </w:num>
  <w:num w:numId="12" w16cid:durableId="1945726521">
    <w:abstractNumId w:val="53"/>
  </w:num>
  <w:num w:numId="13" w16cid:durableId="2099708793">
    <w:abstractNumId w:val="16"/>
  </w:num>
  <w:num w:numId="14" w16cid:durableId="845363187">
    <w:abstractNumId w:val="14"/>
  </w:num>
  <w:num w:numId="15" w16cid:durableId="439569194">
    <w:abstractNumId w:val="30"/>
  </w:num>
  <w:num w:numId="16" w16cid:durableId="1180461002">
    <w:abstractNumId w:val="46"/>
  </w:num>
  <w:num w:numId="17" w16cid:durableId="1333096395">
    <w:abstractNumId w:val="34"/>
  </w:num>
  <w:num w:numId="18" w16cid:durableId="1516193768">
    <w:abstractNumId w:val="26"/>
  </w:num>
  <w:num w:numId="19" w16cid:durableId="983654830">
    <w:abstractNumId w:val="10"/>
  </w:num>
  <w:num w:numId="20" w16cid:durableId="770272827">
    <w:abstractNumId w:val="19"/>
  </w:num>
  <w:num w:numId="21" w16cid:durableId="2801873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32725359">
    <w:abstractNumId w:val="21"/>
  </w:num>
  <w:num w:numId="23" w16cid:durableId="1749813296">
    <w:abstractNumId w:val="31"/>
  </w:num>
  <w:num w:numId="24" w16cid:durableId="1643728207">
    <w:abstractNumId w:val="11"/>
  </w:num>
  <w:num w:numId="25" w16cid:durableId="749085063">
    <w:abstractNumId w:val="48"/>
  </w:num>
  <w:num w:numId="26" w16cid:durableId="607934212">
    <w:abstractNumId w:val="6"/>
  </w:num>
  <w:num w:numId="27" w16cid:durableId="894200635">
    <w:abstractNumId w:val="0"/>
  </w:num>
  <w:num w:numId="28" w16cid:durableId="628050132">
    <w:abstractNumId w:val="29"/>
  </w:num>
  <w:num w:numId="29" w16cid:durableId="2057896909">
    <w:abstractNumId w:val="8"/>
  </w:num>
  <w:num w:numId="30" w16cid:durableId="598679479">
    <w:abstractNumId w:val="42"/>
  </w:num>
  <w:num w:numId="31" w16cid:durableId="541744820">
    <w:abstractNumId w:val="44"/>
  </w:num>
  <w:num w:numId="32" w16cid:durableId="1613853980">
    <w:abstractNumId w:val="12"/>
  </w:num>
  <w:num w:numId="33" w16cid:durableId="759103724">
    <w:abstractNumId w:val="36"/>
  </w:num>
  <w:num w:numId="34" w16cid:durableId="83651126">
    <w:abstractNumId w:val="20"/>
  </w:num>
  <w:num w:numId="35" w16cid:durableId="1866863166">
    <w:abstractNumId w:val="43"/>
  </w:num>
  <w:num w:numId="36" w16cid:durableId="1746803106">
    <w:abstractNumId w:val="13"/>
  </w:num>
  <w:num w:numId="37" w16cid:durableId="1544176590">
    <w:abstractNumId w:val="17"/>
  </w:num>
  <w:num w:numId="38" w16cid:durableId="68233768">
    <w:abstractNumId w:val="15"/>
  </w:num>
  <w:num w:numId="39" w16cid:durableId="1768774450">
    <w:abstractNumId w:val="38"/>
  </w:num>
  <w:num w:numId="40" w16cid:durableId="1020399606">
    <w:abstractNumId w:val="7"/>
  </w:num>
  <w:num w:numId="41" w16cid:durableId="14383885">
    <w:abstractNumId w:val="1"/>
  </w:num>
  <w:num w:numId="42" w16cid:durableId="1576627542">
    <w:abstractNumId w:val="35"/>
  </w:num>
  <w:num w:numId="43" w16cid:durableId="114913208">
    <w:abstractNumId w:val="25"/>
  </w:num>
  <w:num w:numId="44" w16cid:durableId="390275271">
    <w:abstractNumId w:val="18"/>
  </w:num>
  <w:num w:numId="45" w16cid:durableId="506411247">
    <w:abstractNumId w:val="50"/>
  </w:num>
  <w:num w:numId="46" w16cid:durableId="1537087445">
    <w:abstractNumId w:val="47"/>
  </w:num>
  <w:num w:numId="47" w16cid:durableId="943922964">
    <w:abstractNumId w:val="39"/>
  </w:num>
  <w:num w:numId="48" w16cid:durableId="866135497">
    <w:abstractNumId w:val="23"/>
  </w:num>
  <w:num w:numId="49" w16cid:durableId="2046562240">
    <w:abstractNumId w:val="49"/>
  </w:num>
  <w:num w:numId="50" w16cid:durableId="646974772">
    <w:abstractNumId w:val="27"/>
  </w:num>
  <w:num w:numId="51" w16cid:durableId="16420343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19842522">
    <w:abstractNumId w:val="24"/>
  </w:num>
  <w:num w:numId="53" w16cid:durableId="3486831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28871865">
    <w:abstractNumId w:val="4"/>
  </w:num>
  <w:num w:numId="55" w16cid:durableId="141698167">
    <w:abstractNumId w:val="51"/>
  </w:num>
  <w:num w:numId="56" w16cid:durableId="1967194574">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8DB"/>
    <w:rsid w:val="00001330"/>
    <w:rsid w:val="0000153C"/>
    <w:rsid w:val="00001AC6"/>
    <w:rsid w:val="00001D37"/>
    <w:rsid w:val="00002244"/>
    <w:rsid w:val="00002EF4"/>
    <w:rsid w:val="0000434B"/>
    <w:rsid w:val="00005079"/>
    <w:rsid w:val="00005254"/>
    <w:rsid w:val="00005B36"/>
    <w:rsid w:val="00006163"/>
    <w:rsid w:val="0000646C"/>
    <w:rsid w:val="00006511"/>
    <w:rsid w:val="0000714D"/>
    <w:rsid w:val="0000796A"/>
    <w:rsid w:val="00007ADA"/>
    <w:rsid w:val="000104C2"/>
    <w:rsid w:val="0001054C"/>
    <w:rsid w:val="0001067F"/>
    <w:rsid w:val="00010F2C"/>
    <w:rsid w:val="00011014"/>
    <w:rsid w:val="00011636"/>
    <w:rsid w:val="000118EC"/>
    <w:rsid w:val="00012102"/>
    <w:rsid w:val="00013152"/>
    <w:rsid w:val="00013DAF"/>
    <w:rsid w:val="0001468E"/>
    <w:rsid w:val="000146E3"/>
    <w:rsid w:val="00014945"/>
    <w:rsid w:val="00014B3E"/>
    <w:rsid w:val="00015BC0"/>
    <w:rsid w:val="00015C1B"/>
    <w:rsid w:val="00016356"/>
    <w:rsid w:val="000164DB"/>
    <w:rsid w:val="00016F79"/>
    <w:rsid w:val="000170DF"/>
    <w:rsid w:val="000170E2"/>
    <w:rsid w:val="000173D6"/>
    <w:rsid w:val="0001792F"/>
    <w:rsid w:val="000203EC"/>
    <w:rsid w:val="00020477"/>
    <w:rsid w:val="0002049F"/>
    <w:rsid w:val="000217E5"/>
    <w:rsid w:val="0002182E"/>
    <w:rsid w:val="00021C51"/>
    <w:rsid w:val="00021C5D"/>
    <w:rsid w:val="00021DC0"/>
    <w:rsid w:val="00021E90"/>
    <w:rsid w:val="000221D7"/>
    <w:rsid w:val="0002323B"/>
    <w:rsid w:val="000233D0"/>
    <w:rsid w:val="0002344A"/>
    <w:rsid w:val="00023562"/>
    <w:rsid w:val="00023F9A"/>
    <w:rsid w:val="00024202"/>
    <w:rsid w:val="0002447F"/>
    <w:rsid w:val="0002489A"/>
    <w:rsid w:val="00025493"/>
    <w:rsid w:val="00025532"/>
    <w:rsid w:val="00025CF6"/>
    <w:rsid w:val="00025F7C"/>
    <w:rsid w:val="00026276"/>
    <w:rsid w:val="0002669E"/>
    <w:rsid w:val="000277D4"/>
    <w:rsid w:val="00027933"/>
    <w:rsid w:val="000279DE"/>
    <w:rsid w:val="00027CCA"/>
    <w:rsid w:val="0003031D"/>
    <w:rsid w:val="00030E8E"/>
    <w:rsid w:val="000314D9"/>
    <w:rsid w:val="00031842"/>
    <w:rsid w:val="0003197B"/>
    <w:rsid w:val="00032745"/>
    <w:rsid w:val="00032C40"/>
    <w:rsid w:val="000331E4"/>
    <w:rsid w:val="00033EA0"/>
    <w:rsid w:val="00034696"/>
    <w:rsid w:val="00034ECC"/>
    <w:rsid w:val="000355FE"/>
    <w:rsid w:val="000359C3"/>
    <w:rsid w:val="000359E8"/>
    <w:rsid w:val="00035FF5"/>
    <w:rsid w:val="0003635B"/>
    <w:rsid w:val="000365EA"/>
    <w:rsid w:val="00036DC6"/>
    <w:rsid w:val="00036EFE"/>
    <w:rsid w:val="00040018"/>
    <w:rsid w:val="00041000"/>
    <w:rsid w:val="00041010"/>
    <w:rsid w:val="00041350"/>
    <w:rsid w:val="00041447"/>
    <w:rsid w:val="00041517"/>
    <w:rsid w:val="0004159F"/>
    <w:rsid w:val="000416C9"/>
    <w:rsid w:val="00041AED"/>
    <w:rsid w:val="000420F0"/>
    <w:rsid w:val="000422DC"/>
    <w:rsid w:val="000433B3"/>
    <w:rsid w:val="00043AF9"/>
    <w:rsid w:val="00043FE3"/>
    <w:rsid w:val="00044C59"/>
    <w:rsid w:val="00044DC9"/>
    <w:rsid w:val="0004534B"/>
    <w:rsid w:val="0004547B"/>
    <w:rsid w:val="00045BF9"/>
    <w:rsid w:val="0004715C"/>
    <w:rsid w:val="00047356"/>
    <w:rsid w:val="00047912"/>
    <w:rsid w:val="00047A34"/>
    <w:rsid w:val="00047B36"/>
    <w:rsid w:val="00047B6C"/>
    <w:rsid w:val="00047E0D"/>
    <w:rsid w:val="00050461"/>
    <w:rsid w:val="00050763"/>
    <w:rsid w:val="00050D11"/>
    <w:rsid w:val="0005183D"/>
    <w:rsid w:val="00052109"/>
    <w:rsid w:val="000526B5"/>
    <w:rsid w:val="000527FB"/>
    <w:rsid w:val="0005306A"/>
    <w:rsid w:val="0005315A"/>
    <w:rsid w:val="00053B95"/>
    <w:rsid w:val="00054395"/>
    <w:rsid w:val="00055048"/>
    <w:rsid w:val="00055089"/>
    <w:rsid w:val="00055144"/>
    <w:rsid w:val="0005592A"/>
    <w:rsid w:val="000560C1"/>
    <w:rsid w:val="000562B6"/>
    <w:rsid w:val="0005650B"/>
    <w:rsid w:val="000565ED"/>
    <w:rsid w:val="000568B7"/>
    <w:rsid w:val="00056B35"/>
    <w:rsid w:val="00056BDB"/>
    <w:rsid w:val="00056EDC"/>
    <w:rsid w:val="000573ED"/>
    <w:rsid w:val="0005755C"/>
    <w:rsid w:val="0005762D"/>
    <w:rsid w:val="000579AE"/>
    <w:rsid w:val="00057B84"/>
    <w:rsid w:val="00057CD0"/>
    <w:rsid w:val="0006056C"/>
    <w:rsid w:val="0006097F"/>
    <w:rsid w:val="00060D05"/>
    <w:rsid w:val="00061474"/>
    <w:rsid w:val="000621D9"/>
    <w:rsid w:val="000622B5"/>
    <w:rsid w:val="00062630"/>
    <w:rsid w:val="00062DAB"/>
    <w:rsid w:val="00062DBB"/>
    <w:rsid w:val="00062E07"/>
    <w:rsid w:val="00062ECE"/>
    <w:rsid w:val="000635F4"/>
    <w:rsid w:val="000639A0"/>
    <w:rsid w:val="00064127"/>
    <w:rsid w:val="000645DE"/>
    <w:rsid w:val="000648E8"/>
    <w:rsid w:val="000648F5"/>
    <w:rsid w:val="00065994"/>
    <w:rsid w:val="00066756"/>
    <w:rsid w:val="00066C71"/>
    <w:rsid w:val="00066CF2"/>
    <w:rsid w:val="00067EE2"/>
    <w:rsid w:val="0007049D"/>
    <w:rsid w:val="00070812"/>
    <w:rsid w:val="000709E3"/>
    <w:rsid w:val="00070A44"/>
    <w:rsid w:val="00070BEA"/>
    <w:rsid w:val="000710F0"/>
    <w:rsid w:val="00071854"/>
    <w:rsid w:val="0007280A"/>
    <w:rsid w:val="0007302B"/>
    <w:rsid w:val="00073145"/>
    <w:rsid w:val="0007431B"/>
    <w:rsid w:val="00074B4A"/>
    <w:rsid w:val="00075309"/>
    <w:rsid w:val="0007661C"/>
    <w:rsid w:val="00076A5C"/>
    <w:rsid w:val="00076C72"/>
    <w:rsid w:val="00077604"/>
    <w:rsid w:val="000776AA"/>
    <w:rsid w:val="00080042"/>
    <w:rsid w:val="00080300"/>
    <w:rsid w:val="000808A2"/>
    <w:rsid w:val="000808B1"/>
    <w:rsid w:val="00081548"/>
    <w:rsid w:val="0008177A"/>
    <w:rsid w:val="00081B24"/>
    <w:rsid w:val="00081C6E"/>
    <w:rsid w:val="000820DC"/>
    <w:rsid w:val="00082900"/>
    <w:rsid w:val="00082C88"/>
    <w:rsid w:val="00082D08"/>
    <w:rsid w:val="00082EFB"/>
    <w:rsid w:val="00083011"/>
    <w:rsid w:val="0008394C"/>
    <w:rsid w:val="00083B30"/>
    <w:rsid w:val="00083FA3"/>
    <w:rsid w:val="0008458A"/>
    <w:rsid w:val="000845C4"/>
    <w:rsid w:val="000849C0"/>
    <w:rsid w:val="00085523"/>
    <w:rsid w:val="00087035"/>
    <w:rsid w:val="00087FDD"/>
    <w:rsid w:val="000911BF"/>
    <w:rsid w:val="0009143A"/>
    <w:rsid w:val="00091978"/>
    <w:rsid w:val="00091B2F"/>
    <w:rsid w:val="000922CC"/>
    <w:rsid w:val="000923EE"/>
    <w:rsid w:val="00092E07"/>
    <w:rsid w:val="0009334E"/>
    <w:rsid w:val="00093FFA"/>
    <w:rsid w:val="0009401A"/>
    <w:rsid w:val="00094586"/>
    <w:rsid w:val="00094EDE"/>
    <w:rsid w:val="000952E7"/>
    <w:rsid w:val="00095527"/>
    <w:rsid w:val="00095FC7"/>
    <w:rsid w:val="00096397"/>
    <w:rsid w:val="000975DA"/>
    <w:rsid w:val="000979FA"/>
    <w:rsid w:val="00097F86"/>
    <w:rsid w:val="000A0B3E"/>
    <w:rsid w:val="000A23F2"/>
    <w:rsid w:val="000A35A7"/>
    <w:rsid w:val="000A41AF"/>
    <w:rsid w:val="000A5842"/>
    <w:rsid w:val="000A58B3"/>
    <w:rsid w:val="000A5C31"/>
    <w:rsid w:val="000A5FED"/>
    <w:rsid w:val="000A628C"/>
    <w:rsid w:val="000B0036"/>
    <w:rsid w:val="000B0311"/>
    <w:rsid w:val="000B03D8"/>
    <w:rsid w:val="000B135E"/>
    <w:rsid w:val="000B138A"/>
    <w:rsid w:val="000B1AED"/>
    <w:rsid w:val="000B1B06"/>
    <w:rsid w:val="000B284B"/>
    <w:rsid w:val="000B2988"/>
    <w:rsid w:val="000B2C6A"/>
    <w:rsid w:val="000B2D85"/>
    <w:rsid w:val="000B2E93"/>
    <w:rsid w:val="000B3C62"/>
    <w:rsid w:val="000B3F46"/>
    <w:rsid w:val="000B4168"/>
    <w:rsid w:val="000B4B79"/>
    <w:rsid w:val="000B52C8"/>
    <w:rsid w:val="000B66F7"/>
    <w:rsid w:val="000B69DE"/>
    <w:rsid w:val="000B70C4"/>
    <w:rsid w:val="000B74A3"/>
    <w:rsid w:val="000B7631"/>
    <w:rsid w:val="000B7A3A"/>
    <w:rsid w:val="000C05DD"/>
    <w:rsid w:val="000C0676"/>
    <w:rsid w:val="000C0C2E"/>
    <w:rsid w:val="000C2515"/>
    <w:rsid w:val="000C25CC"/>
    <w:rsid w:val="000C27C2"/>
    <w:rsid w:val="000C2E81"/>
    <w:rsid w:val="000C30BE"/>
    <w:rsid w:val="000C36E3"/>
    <w:rsid w:val="000C41DD"/>
    <w:rsid w:val="000C4250"/>
    <w:rsid w:val="000C4400"/>
    <w:rsid w:val="000C4467"/>
    <w:rsid w:val="000C47ED"/>
    <w:rsid w:val="000C4A65"/>
    <w:rsid w:val="000C5625"/>
    <w:rsid w:val="000C5BA1"/>
    <w:rsid w:val="000C5DC9"/>
    <w:rsid w:val="000C615C"/>
    <w:rsid w:val="000C6D3D"/>
    <w:rsid w:val="000C7389"/>
    <w:rsid w:val="000C7A05"/>
    <w:rsid w:val="000C7B63"/>
    <w:rsid w:val="000C7BC5"/>
    <w:rsid w:val="000D038E"/>
    <w:rsid w:val="000D08BE"/>
    <w:rsid w:val="000D12C5"/>
    <w:rsid w:val="000D1B1D"/>
    <w:rsid w:val="000D204D"/>
    <w:rsid w:val="000D2786"/>
    <w:rsid w:val="000D4184"/>
    <w:rsid w:val="000D440C"/>
    <w:rsid w:val="000D44A7"/>
    <w:rsid w:val="000D4BAE"/>
    <w:rsid w:val="000D51E4"/>
    <w:rsid w:val="000D5269"/>
    <w:rsid w:val="000D54EA"/>
    <w:rsid w:val="000D5D4C"/>
    <w:rsid w:val="000D61A9"/>
    <w:rsid w:val="000D69EB"/>
    <w:rsid w:val="000D7994"/>
    <w:rsid w:val="000D7B69"/>
    <w:rsid w:val="000E00D5"/>
    <w:rsid w:val="000E0875"/>
    <w:rsid w:val="000E09F8"/>
    <w:rsid w:val="000E12D6"/>
    <w:rsid w:val="000E1516"/>
    <w:rsid w:val="000E1715"/>
    <w:rsid w:val="000E1861"/>
    <w:rsid w:val="000E18E3"/>
    <w:rsid w:val="000E1AB0"/>
    <w:rsid w:val="000E1CF4"/>
    <w:rsid w:val="000E257D"/>
    <w:rsid w:val="000E2925"/>
    <w:rsid w:val="000E2DA9"/>
    <w:rsid w:val="000E3975"/>
    <w:rsid w:val="000E3B74"/>
    <w:rsid w:val="000E3C37"/>
    <w:rsid w:val="000E4011"/>
    <w:rsid w:val="000E42B8"/>
    <w:rsid w:val="000E4420"/>
    <w:rsid w:val="000E4FE9"/>
    <w:rsid w:val="000E5070"/>
    <w:rsid w:val="000E5D5E"/>
    <w:rsid w:val="000E60B6"/>
    <w:rsid w:val="000E6421"/>
    <w:rsid w:val="000E655A"/>
    <w:rsid w:val="000E6918"/>
    <w:rsid w:val="000E6D39"/>
    <w:rsid w:val="000E6E94"/>
    <w:rsid w:val="000E702D"/>
    <w:rsid w:val="000E741A"/>
    <w:rsid w:val="000E7AD5"/>
    <w:rsid w:val="000E7C5C"/>
    <w:rsid w:val="000F0D53"/>
    <w:rsid w:val="000F1118"/>
    <w:rsid w:val="000F1C5B"/>
    <w:rsid w:val="000F2292"/>
    <w:rsid w:val="000F27AC"/>
    <w:rsid w:val="000F2926"/>
    <w:rsid w:val="000F2E9F"/>
    <w:rsid w:val="000F2F5E"/>
    <w:rsid w:val="000F32C1"/>
    <w:rsid w:val="000F361F"/>
    <w:rsid w:val="000F4064"/>
    <w:rsid w:val="000F446F"/>
    <w:rsid w:val="000F4838"/>
    <w:rsid w:val="000F5920"/>
    <w:rsid w:val="000F655D"/>
    <w:rsid w:val="000F6661"/>
    <w:rsid w:val="000F6B89"/>
    <w:rsid w:val="000F7E85"/>
    <w:rsid w:val="00100D2A"/>
    <w:rsid w:val="00100DF4"/>
    <w:rsid w:val="00100F7D"/>
    <w:rsid w:val="00100FCD"/>
    <w:rsid w:val="00101670"/>
    <w:rsid w:val="00101970"/>
    <w:rsid w:val="00101D06"/>
    <w:rsid w:val="00101E43"/>
    <w:rsid w:val="00101E48"/>
    <w:rsid w:val="001022C9"/>
    <w:rsid w:val="001024F5"/>
    <w:rsid w:val="00102B2E"/>
    <w:rsid w:val="00103373"/>
    <w:rsid w:val="00103424"/>
    <w:rsid w:val="00103467"/>
    <w:rsid w:val="0010362F"/>
    <w:rsid w:val="0010386C"/>
    <w:rsid w:val="00103F63"/>
    <w:rsid w:val="00104BF3"/>
    <w:rsid w:val="0010560D"/>
    <w:rsid w:val="0010591B"/>
    <w:rsid w:val="00106820"/>
    <w:rsid w:val="00106913"/>
    <w:rsid w:val="001069E6"/>
    <w:rsid w:val="00106AFC"/>
    <w:rsid w:val="00106B63"/>
    <w:rsid w:val="00106D35"/>
    <w:rsid w:val="00107E0E"/>
    <w:rsid w:val="00107E56"/>
    <w:rsid w:val="0011056F"/>
    <w:rsid w:val="001109D5"/>
    <w:rsid w:val="001125A2"/>
    <w:rsid w:val="001125F2"/>
    <w:rsid w:val="0011275F"/>
    <w:rsid w:val="00112806"/>
    <w:rsid w:val="00112FF6"/>
    <w:rsid w:val="001132DD"/>
    <w:rsid w:val="00113BB7"/>
    <w:rsid w:val="00113EAE"/>
    <w:rsid w:val="00114BEE"/>
    <w:rsid w:val="00114FBC"/>
    <w:rsid w:val="00115231"/>
    <w:rsid w:val="00115C32"/>
    <w:rsid w:val="00116AD3"/>
    <w:rsid w:val="00116C21"/>
    <w:rsid w:val="00116E94"/>
    <w:rsid w:val="001205C7"/>
    <w:rsid w:val="00120776"/>
    <w:rsid w:val="00120A41"/>
    <w:rsid w:val="00120CB8"/>
    <w:rsid w:val="00121278"/>
    <w:rsid w:val="00121E49"/>
    <w:rsid w:val="00122479"/>
    <w:rsid w:val="00123572"/>
    <w:rsid w:val="00123F1C"/>
    <w:rsid w:val="00124158"/>
    <w:rsid w:val="00125019"/>
    <w:rsid w:val="00125EBD"/>
    <w:rsid w:val="00126037"/>
    <w:rsid w:val="00126FE4"/>
    <w:rsid w:val="00127223"/>
    <w:rsid w:val="001273AC"/>
    <w:rsid w:val="00127D40"/>
    <w:rsid w:val="00130803"/>
    <w:rsid w:val="00131146"/>
    <w:rsid w:val="0013270B"/>
    <w:rsid w:val="00132D46"/>
    <w:rsid w:val="0013326A"/>
    <w:rsid w:val="0013384D"/>
    <w:rsid w:val="00133CA3"/>
    <w:rsid w:val="00133EED"/>
    <w:rsid w:val="001342F0"/>
    <w:rsid w:val="0013485D"/>
    <w:rsid w:val="001350F4"/>
    <w:rsid w:val="0013536E"/>
    <w:rsid w:val="00135806"/>
    <w:rsid w:val="001359E0"/>
    <w:rsid w:val="00135F32"/>
    <w:rsid w:val="00135F9F"/>
    <w:rsid w:val="00136054"/>
    <w:rsid w:val="00136266"/>
    <w:rsid w:val="00136749"/>
    <w:rsid w:val="00136BCB"/>
    <w:rsid w:val="00136E6A"/>
    <w:rsid w:val="00136F88"/>
    <w:rsid w:val="00137BAE"/>
    <w:rsid w:val="0014033C"/>
    <w:rsid w:val="00141B4C"/>
    <w:rsid w:val="00143941"/>
    <w:rsid w:val="001447BE"/>
    <w:rsid w:val="00145A0F"/>
    <w:rsid w:val="00145D78"/>
    <w:rsid w:val="00147395"/>
    <w:rsid w:val="0014788D"/>
    <w:rsid w:val="00150070"/>
    <w:rsid w:val="0015089A"/>
    <w:rsid w:val="00150D69"/>
    <w:rsid w:val="0015125E"/>
    <w:rsid w:val="00151556"/>
    <w:rsid w:val="00151C12"/>
    <w:rsid w:val="00151D28"/>
    <w:rsid w:val="00152E7B"/>
    <w:rsid w:val="001532C4"/>
    <w:rsid w:val="00153512"/>
    <w:rsid w:val="00153602"/>
    <w:rsid w:val="0015401E"/>
    <w:rsid w:val="0015413F"/>
    <w:rsid w:val="0015452A"/>
    <w:rsid w:val="00154ECB"/>
    <w:rsid w:val="001551B2"/>
    <w:rsid w:val="001559FC"/>
    <w:rsid w:val="00155F05"/>
    <w:rsid w:val="001563EF"/>
    <w:rsid w:val="001568C4"/>
    <w:rsid w:val="00157404"/>
    <w:rsid w:val="00157C24"/>
    <w:rsid w:val="00157CB9"/>
    <w:rsid w:val="00160130"/>
    <w:rsid w:val="001609EE"/>
    <w:rsid w:val="0016163A"/>
    <w:rsid w:val="0016187D"/>
    <w:rsid w:val="00161CD2"/>
    <w:rsid w:val="001620C7"/>
    <w:rsid w:val="00162CDD"/>
    <w:rsid w:val="00163746"/>
    <w:rsid w:val="00163C68"/>
    <w:rsid w:val="0016474A"/>
    <w:rsid w:val="00164936"/>
    <w:rsid w:val="00164CA5"/>
    <w:rsid w:val="001653F1"/>
    <w:rsid w:val="00165486"/>
    <w:rsid w:val="00165835"/>
    <w:rsid w:val="00165C91"/>
    <w:rsid w:val="00166797"/>
    <w:rsid w:val="001667EC"/>
    <w:rsid w:val="00166F39"/>
    <w:rsid w:val="00167488"/>
    <w:rsid w:val="0016786F"/>
    <w:rsid w:val="001705DD"/>
    <w:rsid w:val="0017062E"/>
    <w:rsid w:val="00172508"/>
    <w:rsid w:val="00172694"/>
    <w:rsid w:val="001734AE"/>
    <w:rsid w:val="001736AC"/>
    <w:rsid w:val="001736E5"/>
    <w:rsid w:val="00173C1F"/>
    <w:rsid w:val="00174665"/>
    <w:rsid w:val="00174EBB"/>
    <w:rsid w:val="001756C3"/>
    <w:rsid w:val="00175906"/>
    <w:rsid w:val="00175D97"/>
    <w:rsid w:val="00175EC4"/>
    <w:rsid w:val="00175F4A"/>
    <w:rsid w:val="00175FA0"/>
    <w:rsid w:val="00176277"/>
    <w:rsid w:val="00176701"/>
    <w:rsid w:val="00177065"/>
    <w:rsid w:val="00177522"/>
    <w:rsid w:val="00177D1A"/>
    <w:rsid w:val="00177E71"/>
    <w:rsid w:val="00177EC3"/>
    <w:rsid w:val="0018095D"/>
    <w:rsid w:val="00181172"/>
    <w:rsid w:val="00181267"/>
    <w:rsid w:val="00181D28"/>
    <w:rsid w:val="00181ED4"/>
    <w:rsid w:val="00182439"/>
    <w:rsid w:val="00182A73"/>
    <w:rsid w:val="001836C8"/>
    <w:rsid w:val="00183C52"/>
    <w:rsid w:val="00183EFD"/>
    <w:rsid w:val="00184042"/>
    <w:rsid w:val="001854F9"/>
    <w:rsid w:val="001862E5"/>
    <w:rsid w:val="0018728D"/>
    <w:rsid w:val="00187B98"/>
    <w:rsid w:val="00187FA1"/>
    <w:rsid w:val="00187FB8"/>
    <w:rsid w:val="00190C79"/>
    <w:rsid w:val="00190C93"/>
    <w:rsid w:val="00191678"/>
    <w:rsid w:val="0019172F"/>
    <w:rsid w:val="00191899"/>
    <w:rsid w:val="001918DC"/>
    <w:rsid w:val="00192D50"/>
    <w:rsid w:val="001931CB"/>
    <w:rsid w:val="001935BD"/>
    <w:rsid w:val="001935EF"/>
    <w:rsid w:val="001936FF"/>
    <w:rsid w:val="00193772"/>
    <w:rsid w:val="0019402F"/>
    <w:rsid w:val="0019418B"/>
    <w:rsid w:val="00195540"/>
    <w:rsid w:val="00195783"/>
    <w:rsid w:val="00195C41"/>
    <w:rsid w:val="00196678"/>
    <w:rsid w:val="00196F94"/>
    <w:rsid w:val="0019751E"/>
    <w:rsid w:val="00197D69"/>
    <w:rsid w:val="001A06DC"/>
    <w:rsid w:val="001A1451"/>
    <w:rsid w:val="001A19F0"/>
    <w:rsid w:val="001A1C02"/>
    <w:rsid w:val="001A1CFA"/>
    <w:rsid w:val="001A2A3C"/>
    <w:rsid w:val="001A2CE9"/>
    <w:rsid w:val="001A2E9B"/>
    <w:rsid w:val="001A3B0E"/>
    <w:rsid w:val="001A3CBC"/>
    <w:rsid w:val="001A3E64"/>
    <w:rsid w:val="001A4132"/>
    <w:rsid w:val="001A4B03"/>
    <w:rsid w:val="001A5EAD"/>
    <w:rsid w:val="001A62B4"/>
    <w:rsid w:val="001A65B2"/>
    <w:rsid w:val="001A66CB"/>
    <w:rsid w:val="001A6B24"/>
    <w:rsid w:val="001A6D87"/>
    <w:rsid w:val="001A6DDC"/>
    <w:rsid w:val="001A7544"/>
    <w:rsid w:val="001B02AE"/>
    <w:rsid w:val="001B17B6"/>
    <w:rsid w:val="001B2343"/>
    <w:rsid w:val="001B2681"/>
    <w:rsid w:val="001B331B"/>
    <w:rsid w:val="001B3857"/>
    <w:rsid w:val="001B3C16"/>
    <w:rsid w:val="001B4019"/>
    <w:rsid w:val="001B4533"/>
    <w:rsid w:val="001B45BB"/>
    <w:rsid w:val="001B5086"/>
    <w:rsid w:val="001B5130"/>
    <w:rsid w:val="001B55F5"/>
    <w:rsid w:val="001B5CF3"/>
    <w:rsid w:val="001B62BA"/>
    <w:rsid w:val="001B6642"/>
    <w:rsid w:val="001B7021"/>
    <w:rsid w:val="001B7FEF"/>
    <w:rsid w:val="001C0342"/>
    <w:rsid w:val="001C050A"/>
    <w:rsid w:val="001C09F5"/>
    <w:rsid w:val="001C0BDD"/>
    <w:rsid w:val="001C1A44"/>
    <w:rsid w:val="001C2DD9"/>
    <w:rsid w:val="001C3165"/>
    <w:rsid w:val="001C3307"/>
    <w:rsid w:val="001C363E"/>
    <w:rsid w:val="001C379B"/>
    <w:rsid w:val="001C443F"/>
    <w:rsid w:val="001C4BE8"/>
    <w:rsid w:val="001C5184"/>
    <w:rsid w:val="001C523A"/>
    <w:rsid w:val="001C5504"/>
    <w:rsid w:val="001C6424"/>
    <w:rsid w:val="001C6C4D"/>
    <w:rsid w:val="001C7368"/>
    <w:rsid w:val="001C7436"/>
    <w:rsid w:val="001C7942"/>
    <w:rsid w:val="001D0835"/>
    <w:rsid w:val="001D0E21"/>
    <w:rsid w:val="001D0E67"/>
    <w:rsid w:val="001D0FAF"/>
    <w:rsid w:val="001D1D71"/>
    <w:rsid w:val="001D1E98"/>
    <w:rsid w:val="001D2922"/>
    <w:rsid w:val="001D411A"/>
    <w:rsid w:val="001D4876"/>
    <w:rsid w:val="001D4EBC"/>
    <w:rsid w:val="001D51BA"/>
    <w:rsid w:val="001D64C4"/>
    <w:rsid w:val="001D66EE"/>
    <w:rsid w:val="001D6E55"/>
    <w:rsid w:val="001D7FE1"/>
    <w:rsid w:val="001E0DE6"/>
    <w:rsid w:val="001E0F5C"/>
    <w:rsid w:val="001E1167"/>
    <w:rsid w:val="001E12D5"/>
    <w:rsid w:val="001E1402"/>
    <w:rsid w:val="001E14D8"/>
    <w:rsid w:val="001E1E87"/>
    <w:rsid w:val="001E21A7"/>
    <w:rsid w:val="001E27D8"/>
    <w:rsid w:val="001E2919"/>
    <w:rsid w:val="001E2CB0"/>
    <w:rsid w:val="001E325B"/>
    <w:rsid w:val="001E34C0"/>
    <w:rsid w:val="001E4233"/>
    <w:rsid w:val="001E46A8"/>
    <w:rsid w:val="001E46BC"/>
    <w:rsid w:val="001E59C7"/>
    <w:rsid w:val="001E65BD"/>
    <w:rsid w:val="001E6BF6"/>
    <w:rsid w:val="001E7152"/>
    <w:rsid w:val="001E76DB"/>
    <w:rsid w:val="001E7CE8"/>
    <w:rsid w:val="001E7EA1"/>
    <w:rsid w:val="001F0525"/>
    <w:rsid w:val="001F09C4"/>
    <w:rsid w:val="001F0A8C"/>
    <w:rsid w:val="001F0B12"/>
    <w:rsid w:val="001F16D0"/>
    <w:rsid w:val="001F18DC"/>
    <w:rsid w:val="001F1A72"/>
    <w:rsid w:val="001F1B09"/>
    <w:rsid w:val="001F1EBB"/>
    <w:rsid w:val="001F1FBC"/>
    <w:rsid w:val="001F25DA"/>
    <w:rsid w:val="001F2A91"/>
    <w:rsid w:val="001F2A95"/>
    <w:rsid w:val="001F2C5D"/>
    <w:rsid w:val="001F3B64"/>
    <w:rsid w:val="001F41B2"/>
    <w:rsid w:val="001F4BF0"/>
    <w:rsid w:val="001F5023"/>
    <w:rsid w:val="001F5953"/>
    <w:rsid w:val="001F6BA9"/>
    <w:rsid w:val="001F7370"/>
    <w:rsid w:val="001F78A9"/>
    <w:rsid w:val="001F7D40"/>
    <w:rsid w:val="00200964"/>
    <w:rsid w:val="00200EBB"/>
    <w:rsid w:val="0020233B"/>
    <w:rsid w:val="00202408"/>
    <w:rsid w:val="00202D20"/>
    <w:rsid w:val="00202D9E"/>
    <w:rsid w:val="00203657"/>
    <w:rsid w:val="00203FE4"/>
    <w:rsid w:val="002040EC"/>
    <w:rsid w:val="00204D0A"/>
    <w:rsid w:val="00205A99"/>
    <w:rsid w:val="00207349"/>
    <w:rsid w:val="00207863"/>
    <w:rsid w:val="00207A6E"/>
    <w:rsid w:val="00207BC5"/>
    <w:rsid w:val="00207E22"/>
    <w:rsid w:val="00210192"/>
    <w:rsid w:val="00210B40"/>
    <w:rsid w:val="00210C37"/>
    <w:rsid w:val="00210F4D"/>
    <w:rsid w:val="00211036"/>
    <w:rsid w:val="002117C3"/>
    <w:rsid w:val="00212271"/>
    <w:rsid w:val="002123BA"/>
    <w:rsid w:val="00212E5B"/>
    <w:rsid w:val="00213665"/>
    <w:rsid w:val="002141DC"/>
    <w:rsid w:val="00214364"/>
    <w:rsid w:val="00214371"/>
    <w:rsid w:val="00214B91"/>
    <w:rsid w:val="00216070"/>
    <w:rsid w:val="00216303"/>
    <w:rsid w:val="00216628"/>
    <w:rsid w:val="0021698C"/>
    <w:rsid w:val="00217536"/>
    <w:rsid w:val="00217972"/>
    <w:rsid w:val="00217D0C"/>
    <w:rsid w:val="0022023E"/>
    <w:rsid w:val="0022063E"/>
    <w:rsid w:val="0022092C"/>
    <w:rsid w:val="00221744"/>
    <w:rsid w:val="0022174B"/>
    <w:rsid w:val="00221F71"/>
    <w:rsid w:val="002233EA"/>
    <w:rsid w:val="0022373D"/>
    <w:rsid w:val="00223B47"/>
    <w:rsid w:val="00224108"/>
    <w:rsid w:val="00224549"/>
    <w:rsid w:val="00224A9C"/>
    <w:rsid w:val="0022511A"/>
    <w:rsid w:val="00225168"/>
    <w:rsid w:val="00225269"/>
    <w:rsid w:val="0022534C"/>
    <w:rsid w:val="0022539F"/>
    <w:rsid w:val="0022568F"/>
    <w:rsid w:val="002258F1"/>
    <w:rsid w:val="002268FD"/>
    <w:rsid w:val="002302BF"/>
    <w:rsid w:val="002308B5"/>
    <w:rsid w:val="00230E93"/>
    <w:rsid w:val="002310DA"/>
    <w:rsid w:val="00232FE2"/>
    <w:rsid w:val="0023333F"/>
    <w:rsid w:val="002335CA"/>
    <w:rsid w:val="00234CE6"/>
    <w:rsid w:val="00235158"/>
    <w:rsid w:val="002359BC"/>
    <w:rsid w:val="002361EB"/>
    <w:rsid w:val="002362DE"/>
    <w:rsid w:val="00236C2E"/>
    <w:rsid w:val="00236E9B"/>
    <w:rsid w:val="002378DB"/>
    <w:rsid w:val="0023796C"/>
    <w:rsid w:val="00240BEA"/>
    <w:rsid w:val="00240DAA"/>
    <w:rsid w:val="002410D1"/>
    <w:rsid w:val="0024119D"/>
    <w:rsid w:val="002416B4"/>
    <w:rsid w:val="002426AF"/>
    <w:rsid w:val="00242E41"/>
    <w:rsid w:val="002433F7"/>
    <w:rsid w:val="002437D8"/>
    <w:rsid w:val="00243C23"/>
    <w:rsid w:val="00243D00"/>
    <w:rsid w:val="00244138"/>
    <w:rsid w:val="00244733"/>
    <w:rsid w:val="00244838"/>
    <w:rsid w:val="00244AB9"/>
    <w:rsid w:val="00244DE4"/>
    <w:rsid w:val="00245C22"/>
    <w:rsid w:val="00245F74"/>
    <w:rsid w:val="0024647B"/>
    <w:rsid w:val="00246E50"/>
    <w:rsid w:val="002472BD"/>
    <w:rsid w:val="0024782F"/>
    <w:rsid w:val="00247D0B"/>
    <w:rsid w:val="0025009D"/>
    <w:rsid w:val="002515E2"/>
    <w:rsid w:val="00251D40"/>
    <w:rsid w:val="002529BD"/>
    <w:rsid w:val="00252C0C"/>
    <w:rsid w:val="002530A1"/>
    <w:rsid w:val="00253AC7"/>
    <w:rsid w:val="00253F9D"/>
    <w:rsid w:val="00254482"/>
    <w:rsid w:val="00254949"/>
    <w:rsid w:val="00254952"/>
    <w:rsid w:val="0025498C"/>
    <w:rsid w:val="00254AD2"/>
    <w:rsid w:val="00254B12"/>
    <w:rsid w:val="00254BF0"/>
    <w:rsid w:val="00254CAD"/>
    <w:rsid w:val="00254CBA"/>
    <w:rsid w:val="00254D3F"/>
    <w:rsid w:val="00255293"/>
    <w:rsid w:val="00255641"/>
    <w:rsid w:val="00255902"/>
    <w:rsid w:val="00255FB4"/>
    <w:rsid w:val="00256B22"/>
    <w:rsid w:val="0025716F"/>
    <w:rsid w:val="0026008A"/>
    <w:rsid w:val="002609A8"/>
    <w:rsid w:val="00261035"/>
    <w:rsid w:val="00261097"/>
    <w:rsid w:val="002612B0"/>
    <w:rsid w:val="00261649"/>
    <w:rsid w:val="00261739"/>
    <w:rsid w:val="002618D1"/>
    <w:rsid w:val="002618EC"/>
    <w:rsid w:val="00261C0F"/>
    <w:rsid w:val="00262411"/>
    <w:rsid w:val="00262D28"/>
    <w:rsid w:val="0026346E"/>
    <w:rsid w:val="00264327"/>
    <w:rsid w:val="00264EA5"/>
    <w:rsid w:val="00266594"/>
    <w:rsid w:val="00266A4F"/>
    <w:rsid w:val="00266E50"/>
    <w:rsid w:val="00266F01"/>
    <w:rsid w:val="00267558"/>
    <w:rsid w:val="0026783E"/>
    <w:rsid w:val="00270159"/>
    <w:rsid w:val="00270BC0"/>
    <w:rsid w:val="00271651"/>
    <w:rsid w:val="0027212D"/>
    <w:rsid w:val="00272AEA"/>
    <w:rsid w:val="00273526"/>
    <w:rsid w:val="00274708"/>
    <w:rsid w:val="00274FDA"/>
    <w:rsid w:val="0027528C"/>
    <w:rsid w:val="00275A3B"/>
    <w:rsid w:val="0027620A"/>
    <w:rsid w:val="002765D5"/>
    <w:rsid w:val="0027660B"/>
    <w:rsid w:val="00276AD3"/>
    <w:rsid w:val="00277DB5"/>
    <w:rsid w:val="002803C2"/>
    <w:rsid w:val="002803E9"/>
    <w:rsid w:val="002807F0"/>
    <w:rsid w:val="00280A08"/>
    <w:rsid w:val="00281442"/>
    <w:rsid w:val="002818E3"/>
    <w:rsid w:val="00281961"/>
    <w:rsid w:val="00281AEE"/>
    <w:rsid w:val="00281E8A"/>
    <w:rsid w:val="00282197"/>
    <w:rsid w:val="00282406"/>
    <w:rsid w:val="002824E8"/>
    <w:rsid w:val="00282979"/>
    <w:rsid w:val="00282AF4"/>
    <w:rsid w:val="00282B46"/>
    <w:rsid w:val="00282EC0"/>
    <w:rsid w:val="00283295"/>
    <w:rsid w:val="002837B5"/>
    <w:rsid w:val="002838F1"/>
    <w:rsid w:val="00283E2D"/>
    <w:rsid w:val="002840B2"/>
    <w:rsid w:val="00284397"/>
    <w:rsid w:val="00284A19"/>
    <w:rsid w:val="00284D99"/>
    <w:rsid w:val="00284DC3"/>
    <w:rsid w:val="002856F3"/>
    <w:rsid w:val="00285C77"/>
    <w:rsid w:val="00290377"/>
    <w:rsid w:val="00290488"/>
    <w:rsid w:val="00290651"/>
    <w:rsid w:val="00290C57"/>
    <w:rsid w:val="00291989"/>
    <w:rsid w:val="00291B85"/>
    <w:rsid w:val="00291F78"/>
    <w:rsid w:val="00292317"/>
    <w:rsid w:val="0029232D"/>
    <w:rsid w:val="00292EF4"/>
    <w:rsid w:val="00293069"/>
    <w:rsid w:val="002932F4"/>
    <w:rsid w:val="002934D8"/>
    <w:rsid w:val="00293BF3"/>
    <w:rsid w:val="00294EE4"/>
    <w:rsid w:val="00294F37"/>
    <w:rsid w:val="00295718"/>
    <w:rsid w:val="00295767"/>
    <w:rsid w:val="002957E2"/>
    <w:rsid w:val="00295CAF"/>
    <w:rsid w:val="00295E54"/>
    <w:rsid w:val="0029697E"/>
    <w:rsid w:val="00296E8F"/>
    <w:rsid w:val="00297040"/>
    <w:rsid w:val="00297AE5"/>
    <w:rsid w:val="002A0171"/>
    <w:rsid w:val="002A0183"/>
    <w:rsid w:val="002A044C"/>
    <w:rsid w:val="002A05A8"/>
    <w:rsid w:val="002A0A6D"/>
    <w:rsid w:val="002A188E"/>
    <w:rsid w:val="002A1DA6"/>
    <w:rsid w:val="002A2487"/>
    <w:rsid w:val="002A26DB"/>
    <w:rsid w:val="002A2E78"/>
    <w:rsid w:val="002A35C3"/>
    <w:rsid w:val="002A53BB"/>
    <w:rsid w:val="002A68D4"/>
    <w:rsid w:val="002A69D3"/>
    <w:rsid w:val="002A6D31"/>
    <w:rsid w:val="002A6E3D"/>
    <w:rsid w:val="002A7652"/>
    <w:rsid w:val="002B0070"/>
    <w:rsid w:val="002B03BF"/>
    <w:rsid w:val="002B0770"/>
    <w:rsid w:val="002B1F81"/>
    <w:rsid w:val="002B20D3"/>
    <w:rsid w:val="002B2108"/>
    <w:rsid w:val="002B26FC"/>
    <w:rsid w:val="002B2847"/>
    <w:rsid w:val="002B2C89"/>
    <w:rsid w:val="002B3056"/>
    <w:rsid w:val="002B3071"/>
    <w:rsid w:val="002B31B7"/>
    <w:rsid w:val="002B3254"/>
    <w:rsid w:val="002B3A7F"/>
    <w:rsid w:val="002B3C39"/>
    <w:rsid w:val="002B4667"/>
    <w:rsid w:val="002B4F25"/>
    <w:rsid w:val="002B4FB1"/>
    <w:rsid w:val="002B50E4"/>
    <w:rsid w:val="002B51BE"/>
    <w:rsid w:val="002B5294"/>
    <w:rsid w:val="002B5538"/>
    <w:rsid w:val="002B5782"/>
    <w:rsid w:val="002B589F"/>
    <w:rsid w:val="002B5C41"/>
    <w:rsid w:val="002B671F"/>
    <w:rsid w:val="002B691F"/>
    <w:rsid w:val="002B6B9D"/>
    <w:rsid w:val="002B6BED"/>
    <w:rsid w:val="002B6D40"/>
    <w:rsid w:val="002B7302"/>
    <w:rsid w:val="002B76B0"/>
    <w:rsid w:val="002C0C4A"/>
    <w:rsid w:val="002C0F4B"/>
    <w:rsid w:val="002C118C"/>
    <w:rsid w:val="002C138E"/>
    <w:rsid w:val="002C183C"/>
    <w:rsid w:val="002C2117"/>
    <w:rsid w:val="002C2434"/>
    <w:rsid w:val="002C26CF"/>
    <w:rsid w:val="002C2B61"/>
    <w:rsid w:val="002C2DBC"/>
    <w:rsid w:val="002C2F7A"/>
    <w:rsid w:val="002C3146"/>
    <w:rsid w:val="002C334A"/>
    <w:rsid w:val="002C3E06"/>
    <w:rsid w:val="002C4511"/>
    <w:rsid w:val="002C4B10"/>
    <w:rsid w:val="002C5264"/>
    <w:rsid w:val="002C56F3"/>
    <w:rsid w:val="002C592F"/>
    <w:rsid w:val="002C5DB4"/>
    <w:rsid w:val="002C603F"/>
    <w:rsid w:val="002C63C8"/>
    <w:rsid w:val="002C6670"/>
    <w:rsid w:val="002C6952"/>
    <w:rsid w:val="002C758F"/>
    <w:rsid w:val="002D13EB"/>
    <w:rsid w:val="002D18A6"/>
    <w:rsid w:val="002D1BE5"/>
    <w:rsid w:val="002D23BF"/>
    <w:rsid w:val="002D256B"/>
    <w:rsid w:val="002D2E38"/>
    <w:rsid w:val="002D3914"/>
    <w:rsid w:val="002D43A9"/>
    <w:rsid w:val="002D476F"/>
    <w:rsid w:val="002D48F0"/>
    <w:rsid w:val="002D5163"/>
    <w:rsid w:val="002D68A3"/>
    <w:rsid w:val="002D73D0"/>
    <w:rsid w:val="002D7461"/>
    <w:rsid w:val="002D7AA7"/>
    <w:rsid w:val="002E15CE"/>
    <w:rsid w:val="002E1D9B"/>
    <w:rsid w:val="002E2135"/>
    <w:rsid w:val="002E265F"/>
    <w:rsid w:val="002E298D"/>
    <w:rsid w:val="002E3856"/>
    <w:rsid w:val="002E3BD7"/>
    <w:rsid w:val="002E425C"/>
    <w:rsid w:val="002E5334"/>
    <w:rsid w:val="002E5BAA"/>
    <w:rsid w:val="002E5EBF"/>
    <w:rsid w:val="002E6EF9"/>
    <w:rsid w:val="002E6FA7"/>
    <w:rsid w:val="002E7449"/>
    <w:rsid w:val="002E7B1A"/>
    <w:rsid w:val="002F0C72"/>
    <w:rsid w:val="002F0E53"/>
    <w:rsid w:val="002F1153"/>
    <w:rsid w:val="002F12DC"/>
    <w:rsid w:val="002F15B3"/>
    <w:rsid w:val="002F1B19"/>
    <w:rsid w:val="002F24F4"/>
    <w:rsid w:val="002F278B"/>
    <w:rsid w:val="002F2A31"/>
    <w:rsid w:val="002F2BAA"/>
    <w:rsid w:val="002F3DEE"/>
    <w:rsid w:val="002F41C7"/>
    <w:rsid w:val="002F46E7"/>
    <w:rsid w:val="002F4D81"/>
    <w:rsid w:val="002F4E12"/>
    <w:rsid w:val="002F4E95"/>
    <w:rsid w:val="002F53C7"/>
    <w:rsid w:val="002F5A98"/>
    <w:rsid w:val="002F6E2B"/>
    <w:rsid w:val="002F7905"/>
    <w:rsid w:val="00300F8D"/>
    <w:rsid w:val="00301184"/>
    <w:rsid w:val="00302542"/>
    <w:rsid w:val="00302839"/>
    <w:rsid w:val="00303495"/>
    <w:rsid w:val="00303604"/>
    <w:rsid w:val="00304C50"/>
    <w:rsid w:val="00304D69"/>
    <w:rsid w:val="00305063"/>
    <w:rsid w:val="00305F67"/>
    <w:rsid w:val="00306DFD"/>
    <w:rsid w:val="00306E63"/>
    <w:rsid w:val="0030768A"/>
    <w:rsid w:val="003106C0"/>
    <w:rsid w:val="0031217C"/>
    <w:rsid w:val="00312513"/>
    <w:rsid w:val="00312A76"/>
    <w:rsid w:val="003133BE"/>
    <w:rsid w:val="003134FE"/>
    <w:rsid w:val="003137F7"/>
    <w:rsid w:val="00313C1C"/>
    <w:rsid w:val="00313F16"/>
    <w:rsid w:val="00314075"/>
    <w:rsid w:val="00314D0C"/>
    <w:rsid w:val="0031510E"/>
    <w:rsid w:val="0031529A"/>
    <w:rsid w:val="00315410"/>
    <w:rsid w:val="00315CE9"/>
    <w:rsid w:val="00316061"/>
    <w:rsid w:val="0031606F"/>
    <w:rsid w:val="003160DD"/>
    <w:rsid w:val="00316141"/>
    <w:rsid w:val="003163E2"/>
    <w:rsid w:val="00316A02"/>
    <w:rsid w:val="00316C6A"/>
    <w:rsid w:val="00316DA0"/>
    <w:rsid w:val="00317614"/>
    <w:rsid w:val="0031783C"/>
    <w:rsid w:val="003200B8"/>
    <w:rsid w:val="0032017B"/>
    <w:rsid w:val="00320750"/>
    <w:rsid w:val="00320BE4"/>
    <w:rsid w:val="00320E9D"/>
    <w:rsid w:val="00321F63"/>
    <w:rsid w:val="003230B5"/>
    <w:rsid w:val="00323481"/>
    <w:rsid w:val="00324279"/>
    <w:rsid w:val="00324FF3"/>
    <w:rsid w:val="00325001"/>
    <w:rsid w:val="00325E69"/>
    <w:rsid w:val="0032731A"/>
    <w:rsid w:val="003275D7"/>
    <w:rsid w:val="00327CF3"/>
    <w:rsid w:val="00331102"/>
    <w:rsid w:val="00331A2E"/>
    <w:rsid w:val="003320BD"/>
    <w:rsid w:val="003324BC"/>
    <w:rsid w:val="00334042"/>
    <w:rsid w:val="00335CF3"/>
    <w:rsid w:val="003363F3"/>
    <w:rsid w:val="00336418"/>
    <w:rsid w:val="0033685A"/>
    <w:rsid w:val="00337159"/>
    <w:rsid w:val="003375A8"/>
    <w:rsid w:val="00337CA0"/>
    <w:rsid w:val="00340DE3"/>
    <w:rsid w:val="00341BCB"/>
    <w:rsid w:val="00342222"/>
    <w:rsid w:val="00342254"/>
    <w:rsid w:val="00342C88"/>
    <w:rsid w:val="00342D8E"/>
    <w:rsid w:val="00342EDC"/>
    <w:rsid w:val="00342F2A"/>
    <w:rsid w:val="00343143"/>
    <w:rsid w:val="00343172"/>
    <w:rsid w:val="003435F4"/>
    <w:rsid w:val="003445F8"/>
    <w:rsid w:val="00344704"/>
    <w:rsid w:val="0034513F"/>
    <w:rsid w:val="00347132"/>
    <w:rsid w:val="003506E4"/>
    <w:rsid w:val="00351129"/>
    <w:rsid w:val="00351DF5"/>
    <w:rsid w:val="0035253C"/>
    <w:rsid w:val="00352671"/>
    <w:rsid w:val="00352B4A"/>
    <w:rsid w:val="00352BE7"/>
    <w:rsid w:val="00352C5B"/>
    <w:rsid w:val="00354093"/>
    <w:rsid w:val="003541F0"/>
    <w:rsid w:val="0035457C"/>
    <w:rsid w:val="00354B70"/>
    <w:rsid w:val="00354D2F"/>
    <w:rsid w:val="003568BC"/>
    <w:rsid w:val="003569ED"/>
    <w:rsid w:val="00356AA7"/>
    <w:rsid w:val="00356FD2"/>
    <w:rsid w:val="003603FA"/>
    <w:rsid w:val="003614BC"/>
    <w:rsid w:val="00362857"/>
    <w:rsid w:val="00362C3E"/>
    <w:rsid w:val="00363445"/>
    <w:rsid w:val="003639DA"/>
    <w:rsid w:val="003643B3"/>
    <w:rsid w:val="00364733"/>
    <w:rsid w:val="00364B13"/>
    <w:rsid w:val="00364C2C"/>
    <w:rsid w:val="00365E23"/>
    <w:rsid w:val="00365ED6"/>
    <w:rsid w:val="003671EA"/>
    <w:rsid w:val="00367B6A"/>
    <w:rsid w:val="00367DC9"/>
    <w:rsid w:val="00367E31"/>
    <w:rsid w:val="00367F2B"/>
    <w:rsid w:val="0037095F"/>
    <w:rsid w:val="00370F72"/>
    <w:rsid w:val="00371139"/>
    <w:rsid w:val="003713C7"/>
    <w:rsid w:val="00371CA0"/>
    <w:rsid w:val="00371D02"/>
    <w:rsid w:val="00372807"/>
    <w:rsid w:val="00372BE4"/>
    <w:rsid w:val="00372E2A"/>
    <w:rsid w:val="00373F3C"/>
    <w:rsid w:val="00374B0C"/>
    <w:rsid w:val="00374C42"/>
    <w:rsid w:val="00376E59"/>
    <w:rsid w:val="00376E5D"/>
    <w:rsid w:val="00377668"/>
    <w:rsid w:val="0037772A"/>
    <w:rsid w:val="00377CF0"/>
    <w:rsid w:val="003803FE"/>
    <w:rsid w:val="00380A26"/>
    <w:rsid w:val="00380EBB"/>
    <w:rsid w:val="0038213E"/>
    <w:rsid w:val="0038216E"/>
    <w:rsid w:val="003827C2"/>
    <w:rsid w:val="00382E6B"/>
    <w:rsid w:val="00383A30"/>
    <w:rsid w:val="00383DFD"/>
    <w:rsid w:val="00383E75"/>
    <w:rsid w:val="00384D5F"/>
    <w:rsid w:val="0038500A"/>
    <w:rsid w:val="0038557E"/>
    <w:rsid w:val="0038598F"/>
    <w:rsid w:val="00385A11"/>
    <w:rsid w:val="00385E16"/>
    <w:rsid w:val="003860A1"/>
    <w:rsid w:val="003861F9"/>
    <w:rsid w:val="00386979"/>
    <w:rsid w:val="00387869"/>
    <w:rsid w:val="00387EA6"/>
    <w:rsid w:val="00390574"/>
    <w:rsid w:val="00391C84"/>
    <w:rsid w:val="00391CA0"/>
    <w:rsid w:val="0039213B"/>
    <w:rsid w:val="0039244E"/>
    <w:rsid w:val="00392764"/>
    <w:rsid w:val="003928A4"/>
    <w:rsid w:val="00393282"/>
    <w:rsid w:val="00393364"/>
    <w:rsid w:val="003944C0"/>
    <w:rsid w:val="0039459A"/>
    <w:rsid w:val="0039500C"/>
    <w:rsid w:val="00395105"/>
    <w:rsid w:val="00395385"/>
    <w:rsid w:val="00395697"/>
    <w:rsid w:val="00395838"/>
    <w:rsid w:val="00396755"/>
    <w:rsid w:val="00396922"/>
    <w:rsid w:val="00397329"/>
    <w:rsid w:val="0039796D"/>
    <w:rsid w:val="003A092D"/>
    <w:rsid w:val="003A14DF"/>
    <w:rsid w:val="003A1BB8"/>
    <w:rsid w:val="003A1D9B"/>
    <w:rsid w:val="003A2D2B"/>
    <w:rsid w:val="003A32C0"/>
    <w:rsid w:val="003A37F9"/>
    <w:rsid w:val="003A3FF1"/>
    <w:rsid w:val="003A404C"/>
    <w:rsid w:val="003A4313"/>
    <w:rsid w:val="003A438A"/>
    <w:rsid w:val="003A4C77"/>
    <w:rsid w:val="003A4FDC"/>
    <w:rsid w:val="003A54F2"/>
    <w:rsid w:val="003A6058"/>
    <w:rsid w:val="003A662F"/>
    <w:rsid w:val="003A6983"/>
    <w:rsid w:val="003A6F33"/>
    <w:rsid w:val="003A701D"/>
    <w:rsid w:val="003A749E"/>
    <w:rsid w:val="003A7DA9"/>
    <w:rsid w:val="003B090C"/>
    <w:rsid w:val="003B14A7"/>
    <w:rsid w:val="003B1A14"/>
    <w:rsid w:val="003B2E17"/>
    <w:rsid w:val="003B355E"/>
    <w:rsid w:val="003B45D0"/>
    <w:rsid w:val="003B4610"/>
    <w:rsid w:val="003B4ACF"/>
    <w:rsid w:val="003B5022"/>
    <w:rsid w:val="003B516A"/>
    <w:rsid w:val="003B53E8"/>
    <w:rsid w:val="003B5473"/>
    <w:rsid w:val="003B60BE"/>
    <w:rsid w:val="003B62D0"/>
    <w:rsid w:val="003B63C7"/>
    <w:rsid w:val="003B64B1"/>
    <w:rsid w:val="003B6880"/>
    <w:rsid w:val="003B6E3D"/>
    <w:rsid w:val="003C12BB"/>
    <w:rsid w:val="003C19BF"/>
    <w:rsid w:val="003C1DCF"/>
    <w:rsid w:val="003C28B9"/>
    <w:rsid w:val="003C2A30"/>
    <w:rsid w:val="003C2B68"/>
    <w:rsid w:val="003C2D48"/>
    <w:rsid w:val="003C2D6E"/>
    <w:rsid w:val="003C2EE4"/>
    <w:rsid w:val="003C3D68"/>
    <w:rsid w:val="003C43AA"/>
    <w:rsid w:val="003C44BB"/>
    <w:rsid w:val="003C4963"/>
    <w:rsid w:val="003C4F78"/>
    <w:rsid w:val="003C51C6"/>
    <w:rsid w:val="003C52D3"/>
    <w:rsid w:val="003C57A8"/>
    <w:rsid w:val="003C633B"/>
    <w:rsid w:val="003C6CBA"/>
    <w:rsid w:val="003D0A6E"/>
    <w:rsid w:val="003D0C21"/>
    <w:rsid w:val="003D0D98"/>
    <w:rsid w:val="003D11D5"/>
    <w:rsid w:val="003D2236"/>
    <w:rsid w:val="003D2887"/>
    <w:rsid w:val="003D3208"/>
    <w:rsid w:val="003D38C7"/>
    <w:rsid w:val="003D42A4"/>
    <w:rsid w:val="003D505F"/>
    <w:rsid w:val="003D5106"/>
    <w:rsid w:val="003D53E8"/>
    <w:rsid w:val="003D64ED"/>
    <w:rsid w:val="003D78BC"/>
    <w:rsid w:val="003D79ED"/>
    <w:rsid w:val="003D7F5C"/>
    <w:rsid w:val="003D9985"/>
    <w:rsid w:val="003E0C42"/>
    <w:rsid w:val="003E1A31"/>
    <w:rsid w:val="003E1D0B"/>
    <w:rsid w:val="003E201A"/>
    <w:rsid w:val="003E31C0"/>
    <w:rsid w:val="003E33F5"/>
    <w:rsid w:val="003E34D0"/>
    <w:rsid w:val="003E3896"/>
    <w:rsid w:val="003E3955"/>
    <w:rsid w:val="003E405B"/>
    <w:rsid w:val="003E42AB"/>
    <w:rsid w:val="003E4683"/>
    <w:rsid w:val="003E4EBC"/>
    <w:rsid w:val="003E503E"/>
    <w:rsid w:val="003E5507"/>
    <w:rsid w:val="003E6000"/>
    <w:rsid w:val="003E6202"/>
    <w:rsid w:val="003E63FC"/>
    <w:rsid w:val="003E6457"/>
    <w:rsid w:val="003E69AA"/>
    <w:rsid w:val="003E6B80"/>
    <w:rsid w:val="003E7674"/>
    <w:rsid w:val="003E83C0"/>
    <w:rsid w:val="003F0E5E"/>
    <w:rsid w:val="003F106E"/>
    <w:rsid w:val="003F1418"/>
    <w:rsid w:val="003F1985"/>
    <w:rsid w:val="003F1F27"/>
    <w:rsid w:val="003F224C"/>
    <w:rsid w:val="003F2419"/>
    <w:rsid w:val="003F2512"/>
    <w:rsid w:val="003F2CB6"/>
    <w:rsid w:val="003F3788"/>
    <w:rsid w:val="003F37D1"/>
    <w:rsid w:val="003F3B11"/>
    <w:rsid w:val="003F3E67"/>
    <w:rsid w:val="003F466E"/>
    <w:rsid w:val="003F4909"/>
    <w:rsid w:val="003F49AD"/>
    <w:rsid w:val="003F4C8C"/>
    <w:rsid w:val="003F54F9"/>
    <w:rsid w:val="003F5F36"/>
    <w:rsid w:val="003F5F47"/>
    <w:rsid w:val="003F6995"/>
    <w:rsid w:val="003F6AF5"/>
    <w:rsid w:val="003F7177"/>
    <w:rsid w:val="004002F7"/>
    <w:rsid w:val="004018DF"/>
    <w:rsid w:val="0040230E"/>
    <w:rsid w:val="00402916"/>
    <w:rsid w:val="00403391"/>
    <w:rsid w:val="0040375C"/>
    <w:rsid w:val="0040382C"/>
    <w:rsid w:val="00403A01"/>
    <w:rsid w:val="00403CDD"/>
    <w:rsid w:val="004042AB"/>
    <w:rsid w:val="004047C8"/>
    <w:rsid w:val="00404B7F"/>
    <w:rsid w:val="00404DB4"/>
    <w:rsid w:val="0040502F"/>
    <w:rsid w:val="004054E1"/>
    <w:rsid w:val="0040569A"/>
    <w:rsid w:val="00406C61"/>
    <w:rsid w:val="00407161"/>
    <w:rsid w:val="004072DA"/>
    <w:rsid w:val="004072E2"/>
    <w:rsid w:val="00407566"/>
    <w:rsid w:val="00407B68"/>
    <w:rsid w:val="004102B3"/>
    <w:rsid w:val="00410317"/>
    <w:rsid w:val="0041073C"/>
    <w:rsid w:val="00410BD9"/>
    <w:rsid w:val="00411566"/>
    <w:rsid w:val="0041242F"/>
    <w:rsid w:val="00412A0D"/>
    <w:rsid w:val="00412C13"/>
    <w:rsid w:val="00412CE6"/>
    <w:rsid w:val="00413591"/>
    <w:rsid w:val="004135A2"/>
    <w:rsid w:val="004139F3"/>
    <w:rsid w:val="00413C06"/>
    <w:rsid w:val="004144FD"/>
    <w:rsid w:val="00414657"/>
    <w:rsid w:val="0041471F"/>
    <w:rsid w:val="00414829"/>
    <w:rsid w:val="00415599"/>
    <w:rsid w:val="0041581F"/>
    <w:rsid w:val="00415E77"/>
    <w:rsid w:val="0041649C"/>
    <w:rsid w:val="004165B1"/>
    <w:rsid w:val="00416A5C"/>
    <w:rsid w:val="00416D6F"/>
    <w:rsid w:val="00416F11"/>
    <w:rsid w:val="004173B9"/>
    <w:rsid w:val="00417D25"/>
    <w:rsid w:val="00420244"/>
    <w:rsid w:val="00420766"/>
    <w:rsid w:val="00420792"/>
    <w:rsid w:val="00420F02"/>
    <w:rsid w:val="00421A1E"/>
    <w:rsid w:val="00422674"/>
    <w:rsid w:val="00422A32"/>
    <w:rsid w:val="00422F7D"/>
    <w:rsid w:val="004230AB"/>
    <w:rsid w:val="004230DD"/>
    <w:rsid w:val="0042381D"/>
    <w:rsid w:val="00423A49"/>
    <w:rsid w:val="00423BB0"/>
    <w:rsid w:val="004246F7"/>
    <w:rsid w:val="00425390"/>
    <w:rsid w:val="0042678C"/>
    <w:rsid w:val="00426D88"/>
    <w:rsid w:val="00427B67"/>
    <w:rsid w:val="0043041E"/>
    <w:rsid w:val="00430CB1"/>
    <w:rsid w:val="00430D04"/>
    <w:rsid w:val="0043108E"/>
    <w:rsid w:val="00431CAB"/>
    <w:rsid w:val="00431D0A"/>
    <w:rsid w:val="004323CA"/>
    <w:rsid w:val="00432D85"/>
    <w:rsid w:val="00433AA6"/>
    <w:rsid w:val="00433E23"/>
    <w:rsid w:val="004342F4"/>
    <w:rsid w:val="0043456C"/>
    <w:rsid w:val="004345F1"/>
    <w:rsid w:val="0043471C"/>
    <w:rsid w:val="00435797"/>
    <w:rsid w:val="00437F5F"/>
    <w:rsid w:val="004407A9"/>
    <w:rsid w:val="00440D18"/>
    <w:rsid w:val="00440D1A"/>
    <w:rsid w:val="00440FCD"/>
    <w:rsid w:val="00441203"/>
    <w:rsid w:val="00441BEB"/>
    <w:rsid w:val="00441F6C"/>
    <w:rsid w:val="0044231F"/>
    <w:rsid w:val="00442612"/>
    <w:rsid w:val="00443349"/>
    <w:rsid w:val="00443ECF"/>
    <w:rsid w:val="0044407A"/>
    <w:rsid w:val="0044437C"/>
    <w:rsid w:val="004445A1"/>
    <w:rsid w:val="0044468D"/>
    <w:rsid w:val="0044486B"/>
    <w:rsid w:val="00444F47"/>
    <w:rsid w:val="0044543E"/>
    <w:rsid w:val="00445C97"/>
    <w:rsid w:val="00445D58"/>
    <w:rsid w:val="00445DCB"/>
    <w:rsid w:val="00446AAA"/>
    <w:rsid w:val="00446CEF"/>
    <w:rsid w:val="00446D21"/>
    <w:rsid w:val="0044780E"/>
    <w:rsid w:val="00450C57"/>
    <w:rsid w:val="004527EA"/>
    <w:rsid w:val="00452BAE"/>
    <w:rsid w:val="00454112"/>
    <w:rsid w:val="0045446B"/>
    <w:rsid w:val="00455965"/>
    <w:rsid w:val="00455FB7"/>
    <w:rsid w:val="00456594"/>
    <w:rsid w:val="004565F4"/>
    <w:rsid w:val="00456E31"/>
    <w:rsid w:val="00457B95"/>
    <w:rsid w:val="0046032D"/>
    <w:rsid w:val="004604C6"/>
    <w:rsid w:val="00461757"/>
    <w:rsid w:val="004619BD"/>
    <w:rsid w:val="00461FD9"/>
    <w:rsid w:val="0046293C"/>
    <w:rsid w:val="00462C30"/>
    <w:rsid w:val="00462DE9"/>
    <w:rsid w:val="00462E8D"/>
    <w:rsid w:val="0046308E"/>
    <w:rsid w:val="00463333"/>
    <w:rsid w:val="00463EC1"/>
    <w:rsid w:val="00463F8B"/>
    <w:rsid w:val="00463FE0"/>
    <w:rsid w:val="004645AE"/>
    <w:rsid w:val="00464631"/>
    <w:rsid w:val="00464885"/>
    <w:rsid w:val="00464DB1"/>
    <w:rsid w:val="00464DBA"/>
    <w:rsid w:val="00464E3F"/>
    <w:rsid w:val="00465328"/>
    <w:rsid w:val="00465408"/>
    <w:rsid w:val="00465538"/>
    <w:rsid w:val="004662DB"/>
    <w:rsid w:val="0046650E"/>
    <w:rsid w:val="004668A8"/>
    <w:rsid w:val="0046720B"/>
    <w:rsid w:val="004672F8"/>
    <w:rsid w:val="00467457"/>
    <w:rsid w:val="00467521"/>
    <w:rsid w:val="00470376"/>
    <w:rsid w:val="0047039B"/>
    <w:rsid w:val="0047047A"/>
    <w:rsid w:val="0047118A"/>
    <w:rsid w:val="00472234"/>
    <w:rsid w:val="00472919"/>
    <w:rsid w:val="004739A4"/>
    <w:rsid w:val="00474150"/>
    <w:rsid w:val="00474466"/>
    <w:rsid w:val="00474AC8"/>
    <w:rsid w:val="00474C26"/>
    <w:rsid w:val="00475815"/>
    <w:rsid w:val="00475CC0"/>
    <w:rsid w:val="004763C1"/>
    <w:rsid w:val="004766E7"/>
    <w:rsid w:val="00476AA3"/>
    <w:rsid w:val="004773DE"/>
    <w:rsid w:val="00477577"/>
    <w:rsid w:val="004775EB"/>
    <w:rsid w:val="00477667"/>
    <w:rsid w:val="00480D87"/>
    <w:rsid w:val="00481229"/>
    <w:rsid w:val="004814BC"/>
    <w:rsid w:val="00481500"/>
    <w:rsid w:val="00481774"/>
    <w:rsid w:val="004819AE"/>
    <w:rsid w:val="00481B9B"/>
    <w:rsid w:val="00482C9E"/>
    <w:rsid w:val="00483395"/>
    <w:rsid w:val="0048388A"/>
    <w:rsid w:val="00483D84"/>
    <w:rsid w:val="00483DC0"/>
    <w:rsid w:val="00483F3D"/>
    <w:rsid w:val="00484227"/>
    <w:rsid w:val="00484266"/>
    <w:rsid w:val="0048481D"/>
    <w:rsid w:val="00484E28"/>
    <w:rsid w:val="00484F2C"/>
    <w:rsid w:val="00485580"/>
    <w:rsid w:val="00485B6B"/>
    <w:rsid w:val="00485C90"/>
    <w:rsid w:val="004868C6"/>
    <w:rsid w:val="00487056"/>
    <w:rsid w:val="00490079"/>
    <w:rsid w:val="00490D77"/>
    <w:rsid w:val="004910F5"/>
    <w:rsid w:val="004920CE"/>
    <w:rsid w:val="004922B0"/>
    <w:rsid w:val="0049256C"/>
    <w:rsid w:val="004925D7"/>
    <w:rsid w:val="004928F7"/>
    <w:rsid w:val="0049373C"/>
    <w:rsid w:val="00493DB0"/>
    <w:rsid w:val="004940D9"/>
    <w:rsid w:val="0049443B"/>
    <w:rsid w:val="00494CDB"/>
    <w:rsid w:val="0049513E"/>
    <w:rsid w:val="00496223"/>
    <w:rsid w:val="004965C6"/>
    <w:rsid w:val="00496942"/>
    <w:rsid w:val="00496CBA"/>
    <w:rsid w:val="0049750F"/>
    <w:rsid w:val="00497BC9"/>
    <w:rsid w:val="00497DA1"/>
    <w:rsid w:val="00497E6D"/>
    <w:rsid w:val="004A0CA2"/>
    <w:rsid w:val="004A1321"/>
    <w:rsid w:val="004A16B6"/>
    <w:rsid w:val="004A21D8"/>
    <w:rsid w:val="004A250D"/>
    <w:rsid w:val="004A274E"/>
    <w:rsid w:val="004A27A7"/>
    <w:rsid w:val="004A3126"/>
    <w:rsid w:val="004A4502"/>
    <w:rsid w:val="004A46A1"/>
    <w:rsid w:val="004A5119"/>
    <w:rsid w:val="004A53AC"/>
    <w:rsid w:val="004A54BB"/>
    <w:rsid w:val="004A5EC6"/>
    <w:rsid w:val="004A69D3"/>
    <w:rsid w:val="004A69F0"/>
    <w:rsid w:val="004A6CFF"/>
    <w:rsid w:val="004B0851"/>
    <w:rsid w:val="004B0ABE"/>
    <w:rsid w:val="004B1458"/>
    <w:rsid w:val="004B17B7"/>
    <w:rsid w:val="004B2958"/>
    <w:rsid w:val="004B2FD7"/>
    <w:rsid w:val="004B30CF"/>
    <w:rsid w:val="004B38A2"/>
    <w:rsid w:val="004B3AAE"/>
    <w:rsid w:val="004B5AC3"/>
    <w:rsid w:val="004B6CD1"/>
    <w:rsid w:val="004B6F88"/>
    <w:rsid w:val="004B726F"/>
    <w:rsid w:val="004B7CC5"/>
    <w:rsid w:val="004C10A1"/>
    <w:rsid w:val="004C1301"/>
    <w:rsid w:val="004C1516"/>
    <w:rsid w:val="004C1C45"/>
    <w:rsid w:val="004C217A"/>
    <w:rsid w:val="004C22CF"/>
    <w:rsid w:val="004C2831"/>
    <w:rsid w:val="004C2DB7"/>
    <w:rsid w:val="004C2E2D"/>
    <w:rsid w:val="004C324B"/>
    <w:rsid w:val="004C42D2"/>
    <w:rsid w:val="004C4663"/>
    <w:rsid w:val="004C4C34"/>
    <w:rsid w:val="004C4FAC"/>
    <w:rsid w:val="004C5290"/>
    <w:rsid w:val="004C5CFD"/>
    <w:rsid w:val="004C6D59"/>
    <w:rsid w:val="004C706D"/>
    <w:rsid w:val="004C7301"/>
    <w:rsid w:val="004C7F7F"/>
    <w:rsid w:val="004D1A78"/>
    <w:rsid w:val="004D1D1A"/>
    <w:rsid w:val="004D21AA"/>
    <w:rsid w:val="004D2422"/>
    <w:rsid w:val="004D24BB"/>
    <w:rsid w:val="004D308B"/>
    <w:rsid w:val="004D30DC"/>
    <w:rsid w:val="004D350D"/>
    <w:rsid w:val="004D3745"/>
    <w:rsid w:val="004D3C73"/>
    <w:rsid w:val="004D3DB9"/>
    <w:rsid w:val="004D3F0D"/>
    <w:rsid w:val="004D3FDB"/>
    <w:rsid w:val="004D41C5"/>
    <w:rsid w:val="004D424A"/>
    <w:rsid w:val="004D4453"/>
    <w:rsid w:val="004D44A3"/>
    <w:rsid w:val="004D51BB"/>
    <w:rsid w:val="004D5B27"/>
    <w:rsid w:val="004D657B"/>
    <w:rsid w:val="004D6943"/>
    <w:rsid w:val="004D6FF1"/>
    <w:rsid w:val="004D7205"/>
    <w:rsid w:val="004D78AA"/>
    <w:rsid w:val="004D7CF6"/>
    <w:rsid w:val="004D7F0C"/>
    <w:rsid w:val="004E0901"/>
    <w:rsid w:val="004E1774"/>
    <w:rsid w:val="004E3473"/>
    <w:rsid w:val="004E3E05"/>
    <w:rsid w:val="004E4E69"/>
    <w:rsid w:val="004E4F2B"/>
    <w:rsid w:val="004E5B72"/>
    <w:rsid w:val="004E5B92"/>
    <w:rsid w:val="004E73A9"/>
    <w:rsid w:val="004F111C"/>
    <w:rsid w:val="004F1270"/>
    <w:rsid w:val="004F2915"/>
    <w:rsid w:val="004F2B68"/>
    <w:rsid w:val="004F2D6C"/>
    <w:rsid w:val="004F3F80"/>
    <w:rsid w:val="004F4AC0"/>
    <w:rsid w:val="004F611F"/>
    <w:rsid w:val="004F613B"/>
    <w:rsid w:val="004F6AFB"/>
    <w:rsid w:val="004F6CC7"/>
    <w:rsid w:val="004F6E7D"/>
    <w:rsid w:val="004F7AC6"/>
    <w:rsid w:val="004F7F51"/>
    <w:rsid w:val="00500356"/>
    <w:rsid w:val="00500498"/>
    <w:rsid w:val="00500DEE"/>
    <w:rsid w:val="00501088"/>
    <w:rsid w:val="00501122"/>
    <w:rsid w:val="005012ED"/>
    <w:rsid w:val="005019E5"/>
    <w:rsid w:val="00502134"/>
    <w:rsid w:val="00502899"/>
    <w:rsid w:val="00502F8C"/>
    <w:rsid w:val="005038D9"/>
    <w:rsid w:val="00503D93"/>
    <w:rsid w:val="005045BF"/>
    <w:rsid w:val="005046D6"/>
    <w:rsid w:val="0050473E"/>
    <w:rsid w:val="005047CC"/>
    <w:rsid w:val="00504CF7"/>
    <w:rsid w:val="00504D70"/>
    <w:rsid w:val="00505266"/>
    <w:rsid w:val="0050536F"/>
    <w:rsid w:val="00505A15"/>
    <w:rsid w:val="00506392"/>
    <w:rsid w:val="00506D75"/>
    <w:rsid w:val="00507122"/>
    <w:rsid w:val="005077F6"/>
    <w:rsid w:val="005079A9"/>
    <w:rsid w:val="00507D64"/>
    <w:rsid w:val="00507DFE"/>
    <w:rsid w:val="005104F9"/>
    <w:rsid w:val="005106AA"/>
    <w:rsid w:val="005111E1"/>
    <w:rsid w:val="00511420"/>
    <w:rsid w:val="00511A2C"/>
    <w:rsid w:val="00511DCA"/>
    <w:rsid w:val="0051258B"/>
    <w:rsid w:val="005127AB"/>
    <w:rsid w:val="005129F7"/>
    <w:rsid w:val="00513D31"/>
    <w:rsid w:val="00514366"/>
    <w:rsid w:val="0051475C"/>
    <w:rsid w:val="00514ED5"/>
    <w:rsid w:val="00515ADF"/>
    <w:rsid w:val="00515EB3"/>
    <w:rsid w:val="00516477"/>
    <w:rsid w:val="005172EC"/>
    <w:rsid w:val="00520521"/>
    <w:rsid w:val="005208B7"/>
    <w:rsid w:val="00520B1B"/>
    <w:rsid w:val="005211DC"/>
    <w:rsid w:val="00521BCF"/>
    <w:rsid w:val="00522EDA"/>
    <w:rsid w:val="005230FD"/>
    <w:rsid w:val="00523433"/>
    <w:rsid w:val="00523D3E"/>
    <w:rsid w:val="0052463C"/>
    <w:rsid w:val="00524DBC"/>
    <w:rsid w:val="005250AA"/>
    <w:rsid w:val="00525632"/>
    <w:rsid w:val="00525E93"/>
    <w:rsid w:val="00526640"/>
    <w:rsid w:val="005268C9"/>
    <w:rsid w:val="0052713B"/>
    <w:rsid w:val="0052728E"/>
    <w:rsid w:val="005274D8"/>
    <w:rsid w:val="005279F9"/>
    <w:rsid w:val="00527F73"/>
    <w:rsid w:val="005300A0"/>
    <w:rsid w:val="005304A6"/>
    <w:rsid w:val="00530BFD"/>
    <w:rsid w:val="00530DF4"/>
    <w:rsid w:val="00531080"/>
    <w:rsid w:val="005328E8"/>
    <w:rsid w:val="00532A41"/>
    <w:rsid w:val="00532C56"/>
    <w:rsid w:val="00533214"/>
    <w:rsid w:val="0053365C"/>
    <w:rsid w:val="00534A3A"/>
    <w:rsid w:val="00534D01"/>
    <w:rsid w:val="00535290"/>
    <w:rsid w:val="0053551C"/>
    <w:rsid w:val="005356B5"/>
    <w:rsid w:val="00535952"/>
    <w:rsid w:val="00535C31"/>
    <w:rsid w:val="00536B9D"/>
    <w:rsid w:val="00536DB5"/>
    <w:rsid w:val="00536F9F"/>
    <w:rsid w:val="005374F2"/>
    <w:rsid w:val="005375A7"/>
    <w:rsid w:val="005375FE"/>
    <w:rsid w:val="00537D54"/>
    <w:rsid w:val="0054037E"/>
    <w:rsid w:val="00540485"/>
    <w:rsid w:val="00540D96"/>
    <w:rsid w:val="00540D9B"/>
    <w:rsid w:val="005412F4"/>
    <w:rsid w:val="00542456"/>
    <w:rsid w:val="005425B5"/>
    <w:rsid w:val="00542AB4"/>
    <w:rsid w:val="00543A0E"/>
    <w:rsid w:val="00545942"/>
    <w:rsid w:val="00545EDF"/>
    <w:rsid w:val="0054696F"/>
    <w:rsid w:val="00546F78"/>
    <w:rsid w:val="0054706B"/>
    <w:rsid w:val="005471C2"/>
    <w:rsid w:val="005474AD"/>
    <w:rsid w:val="00547BD1"/>
    <w:rsid w:val="00547D61"/>
    <w:rsid w:val="00547F4A"/>
    <w:rsid w:val="00550786"/>
    <w:rsid w:val="0055096C"/>
    <w:rsid w:val="00550F17"/>
    <w:rsid w:val="005511F9"/>
    <w:rsid w:val="005514B9"/>
    <w:rsid w:val="0055173D"/>
    <w:rsid w:val="00551798"/>
    <w:rsid w:val="005517B0"/>
    <w:rsid w:val="00551B60"/>
    <w:rsid w:val="005524DE"/>
    <w:rsid w:val="00554240"/>
    <w:rsid w:val="0055553C"/>
    <w:rsid w:val="0055580F"/>
    <w:rsid w:val="005565E1"/>
    <w:rsid w:val="005603D6"/>
    <w:rsid w:val="005616A2"/>
    <w:rsid w:val="00561CE5"/>
    <w:rsid w:val="00562432"/>
    <w:rsid w:val="00562A68"/>
    <w:rsid w:val="00562AB0"/>
    <w:rsid w:val="0056321F"/>
    <w:rsid w:val="005632A4"/>
    <w:rsid w:val="005636BC"/>
    <w:rsid w:val="0056371D"/>
    <w:rsid w:val="00563CDB"/>
    <w:rsid w:val="0056400E"/>
    <w:rsid w:val="00564227"/>
    <w:rsid w:val="005649D3"/>
    <w:rsid w:val="00564B22"/>
    <w:rsid w:val="00564DED"/>
    <w:rsid w:val="005650D2"/>
    <w:rsid w:val="00565AAD"/>
    <w:rsid w:val="00566254"/>
    <w:rsid w:val="00566888"/>
    <w:rsid w:val="00567E04"/>
    <w:rsid w:val="00570411"/>
    <w:rsid w:val="00570490"/>
    <w:rsid w:val="005704B9"/>
    <w:rsid w:val="00570626"/>
    <w:rsid w:val="005706C2"/>
    <w:rsid w:val="0057110E"/>
    <w:rsid w:val="0057142C"/>
    <w:rsid w:val="00571816"/>
    <w:rsid w:val="00571942"/>
    <w:rsid w:val="00571BB4"/>
    <w:rsid w:val="00571BF0"/>
    <w:rsid w:val="0057201C"/>
    <w:rsid w:val="005720C6"/>
    <w:rsid w:val="00572464"/>
    <w:rsid w:val="0057256D"/>
    <w:rsid w:val="005729EB"/>
    <w:rsid w:val="005729F7"/>
    <w:rsid w:val="005739A4"/>
    <w:rsid w:val="00574130"/>
    <w:rsid w:val="00574601"/>
    <w:rsid w:val="005746FB"/>
    <w:rsid w:val="00574904"/>
    <w:rsid w:val="00574958"/>
    <w:rsid w:val="00576BAC"/>
    <w:rsid w:val="00576D6F"/>
    <w:rsid w:val="005779DF"/>
    <w:rsid w:val="00577DE2"/>
    <w:rsid w:val="00580160"/>
    <w:rsid w:val="005806AA"/>
    <w:rsid w:val="00580983"/>
    <w:rsid w:val="00580A66"/>
    <w:rsid w:val="00580BB5"/>
    <w:rsid w:val="00581C07"/>
    <w:rsid w:val="0058255A"/>
    <w:rsid w:val="005825E6"/>
    <w:rsid w:val="005826BB"/>
    <w:rsid w:val="00582B2B"/>
    <w:rsid w:val="005835FB"/>
    <w:rsid w:val="005846FE"/>
    <w:rsid w:val="005847FC"/>
    <w:rsid w:val="00584B3B"/>
    <w:rsid w:val="00585D7C"/>
    <w:rsid w:val="005862B3"/>
    <w:rsid w:val="00586707"/>
    <w:rsid w:val="00586814"/>
    <w:rsid w:val="00586874"/>
    <w:rsid w:val="00586AB7"/>
    <w:rsid w:val="00587632"/>
    <w:rsid w:val="005878D6"/>
    <w:rsid w:val="0059057A"/>
    <w:rsid w:val="00590F6E"/>
    <w:rsid w:val="005919B1"/>
    <w:rsid w:val="00591DB0"/>
    <w:rsid w:val="00591E33"/>
    <w:rsid w:val="00591EF5"/>
    <w:rsid w:val="00592300"/>
    <w:rsid w:val="00593EA0"/>
    <w:rsid w:val="005941DF"/>
    <w:rsid w:val="00594C5D"/>
    <w:rsid w:val="00594DAC"/>
    <w:rsid w:val="00594FF1"/>
    <w:rsid w:val="00595411"/>
    <w:rsid w:val="0059564A"/>
    <w:rsid w:val="00596191"/>
    <w:rsid w:val="0059691C"/>
    <w:rsid w:val="00596975"/>
    <w:rsid w:val="00597D2E"/>
    <w:rsid w:val="005A0C8F"/>
    <w:rsid w:val="005A1743"/>
    <w:rsid w:val="005A2306"/>
    <w:rsid w:val="005A2C80"/>
    <w:rsid w:val="005A3A16"/>
    <w:rsid w:val="005A40E6"/>
    <w:rsid w:val="005A4141"/>
    <w:rsid w:val="005A4854"/>
    <w:rsid w:val="005A4D42"/>
    <w:rsid w:val="005A5B97"/>
    <w:rsid w:val="005A5C7C"/>
    <w:rsid w:val="005A600F"/>
    <w:rsid w:val="005A60B9"/>
    <w:rsid w:val="005A67E1"/>
    <w:rsid w:val="005A6BD8"/>
    <w:rsid w:val="005A727E"/>
    <w:rsid w:val="005A73CE"/>
    <w:rsid w:val="005A74C7"/>
    <w:rsid w:val="005A75C0"/>
    <w:rsid w:val="005A7A24"/>
    <w:rsid w:val="005A7F1F"/>
    <w:rsid w:val="005B0067"/>
    <w:rsid w:val="005B01D0"/>
    <w:rsid w:val="005B082A"/>
    <w:rsid w:val="005B0AD4"/>
    <w:rsid w:val="005B172D"/>
    <w:rsid w:val="005B1771"/>
    <w:rsid w:val="005B1C63"/>
    <w:rsid w:val="005B237E"/>
    <w:rsid w:val="005B2E29"/>
    <w:rsid w:val="005B3689"/>
    <w:rsid w:val="005B38C1"/>
    <w:rsid w:val="005B3AFA"/>
    <w:rsid w:val="005B3CF5"/>
    <w:rsid w:val="005B3F42"/>
    <w:rsid w:val="005B3FAD"/>
    <w:rsid w:val="005B4550"/>
    <w:rsid w:val="005B60E4"/>
    <w:rsid w:val="005B70C1"/>
    <w:rsid w:val="005C0436"/>
    <w:rsid w:val="005C06DE"/>
    <w:rsid w:val="005C08E4"/>
    <w:rsid w:val="005C1A56"/>
    <w:rsid w:val="005C227D"/>
    <w:rsid w:val="005C30ED"/>
    <w:rsid w:val="005C3498"/>
    <w:rsid w:val="005C3CAF"/>
    <w:rsid w:val="005C41B8"/>
    <w:rsid w:val="005C46F1"/>
    <w:rsid w:val="005C4987"/>
    <w:rsid w:val="005C5644"/>
    <w:rsid w:val="005C5B39"/>
    <w:rsid w:val="005C5BDA"/>
    <w:rsid w:val="005C5C05"/>
    <w:rsid w:val="005C6155"/>
    <w:rsid w:val="005C63B3"/>
    <w:rsid w:val="005C6430"/>
    <w:rsid w:val="005C65CC"/>
    <w:rsid w:val="005C6735"/>
    <w:rsid w:val="005C6A89"/>
    <w:rsid w:val="005C6D35"/>
    <w:rsid w:val="005C6FFD"/>
    <w:rsid w:val="005C7C82"/>
    <w:rsid w:val="005D0942"/>
    <w:rsid w:val="005D09DD"/>
    <w:rsid w:val="005D25E5"/>
    <w:rsid w:val="005D30A6"/>
    <w:rsid w:val="005D3107"/>
    <w:rsid w:val="005D3D33"/>
    <w:rsid w:val="005D4188"/>
    <w:rsid w:val="005D41E0"/>
    <w:rsid w:val="005D50E1"/>
    <w:rsid w:val="005D5295"/>
    <w:rsid w:val="005D560A"/>
    <w:rsid w:val="005D63AA"/>
    <w:rsid w:val="005D6598"/>
    <w:rsid w:val="005D6622"/>
    <w:rsid w:val="005D6809"/>
    <w:rsid w:val="005D68A2"/>
    <w:rsid w:val="005D6986"/>
    <w:rsid w:val="005D6AD8"/>
    <w:rsid w:val="005D6B31"/>
    <w:rsid w:val="005D7064"/>
    <w:rsid w:val="005D70CB"/>
    <w:rsid w:val="005D7320"/>
    <w:rsid w:val="005D792D"/>
    <w:rsid w:val="005D7A46"/>
    <w:rsid w:val="005D7B24"/>
    <w:rsid w:val="005E105E"/>
    <w:rsid w:val="005E14DB"/>
    <w:rsid w:val="005E1C1F"/>
    <w:rsid w:val="005E1C24"/>
    <w:rsid w:val="005E1E0B"/>
    <w:rsid w:val="005E1E55"/>
    <w:rsid w:val="005E1FF8"/>
    <w:rsid w:val="005E2013"/>
    <w:rsid w:val="005E2831"/>
    <w:rsid w:val="005E3799"/>
    <w:rsid w:val="005E4949"/>
    <w:rsid w:val="005E4B31"/>
    <w:rsid w:val="005E53CD"/>
    <w:rsid w:val="005E556A"/>
    <w:rsid w:val="005E55EB"/>
    <w:rsid w:val="005E6146"/>
    <w:rsid w:val="005E63A5"/>
    <w:rsid w:val="005E7668"/>
    <w:rsid w:val="005E7F4A"/>
    <w:rsid w:val="005F037C"/>
    <w:rsid w:val="005F0A9A"/>
    <w:rsid w:val="005F0ABB"/>
    <w:rsid w:val="005F1E33"/>
    <w:rsid w:val="005F2B1C"/>
    <w:rsid w:val="005F2CCC"/>
    <w:rsid w:val="005F3138"/>
    <w:rsid w:val="005F3482"/>
    <w:rsid w:val="005F3AD8"/>
    <w:rsid w:val="005F3F82"/>
    <w:rsid w:val="005F3FF9"/>
    <w:rsid w:val="005F45BC"/>
    <w:rsid w:val="005F51B3"/>
    <w:rsid w:val="005F51DD"/>
    <w:rsid w:val="005F53E1"/>
    <w:rsid w:val="005F67C4"/>
    <w:rsid w:val="005F692C"/>
    <w:rsid w:val="005F6C15"/>
    <w:rsid w:val="005F6E88"/>
    <w:rsid w:val="005F757A"/>
    <w:rsid w:val="005F78EC"/>
    <w:rsid w:val="005F7910"/>
    <w:rsid w:val="00600BA0"/>
    <w:rsid w:val="00600BE9"/>
    <w:rsid w:val="00600C76"/>
    <w:rsid w:val="00601655"/>
    <w:rsid w:val="00601846"/>
    <w:rsid w:val="00601B3C"/>
    <w:rsid w:val="00601CD9"/>
    <w:rsid w:val="00601E1E"/>
    <w:rsid w:val="00602344"/>
    <w:rsid w:val="00602D9E"/>
    <w:rsid w:val="006036AC"/>
    <w:rsid w:val="0060413C"/>
    <w:rsid w:val="0060446C"/>
    <w:rsid w:val="0060465D"/>
    <w:rsid w:val="006048CD"/>
    <w:rsid w:val="00604F00"/>
    <w:rsid w:val="00605092"/>
    <w:rsid w:val="00605174"/>
    <w:rsid w:val="006057D1"/>
    <w:rsid w:val="00605911"/>
    <w:rsid w:val="00605AE4"/>
    <w:rsid w:val="00605F1F"/>
    <w:rsid w:val="00605FE2"/>
    <w:rsid w:val="006061AB"/>
    <w:rsid w:val="00606312"/>
    <w:rsid w:val="00606606"/>
    <w:rsid w:val="006073EB"/>
    <w:rsid w:val="00607FF6"/>
    <w:rsid w:val="006103BA"/>
    <w:rsid w:val="00610834"/>
    <w:rsid w:val="00610A3E"/>
    <w:rsid w:val="00611494"/>
    <w:rsid w:val="006120EC"/>
    <w:rsid w:val="00612564"/>
    <w:rsid w:val="006127A2"/>
    <w:rsid w:val="00612BEA"/>
    <w:rsid w:val="00612BFA"/>
    <w:rsid w:val="00612C09"/>
    <w:rsid w:val="00614841"/>
    <w:rsid w:val="00614E83"/>
    <w:rsid w:val="00614F6F"/>
    <w:rsid w:val="00615DB4"/>
    <w:rsid w:val="00615E0D"/>
    <w:rsid w:val="00615FDE"/>
    <w:rsid w:val="006165EB"/>
    <w:rsid w:val="006167CD"/>
    <w:rsid w:val="006169CF"/>
    <w:rsid w:val="00617140"/>
    <w:rsid w:val="006175ED"/>
    <w:rsid w:val="006176E0"/>
    <w:rsid w:val="0061791F"/>
    <w:rsid w:val="00617A51"/>
    <w:rsid w:val="00617DC4"/>
    <w:rsid w:val="00620438"/>
    <w:rsid w:val="006209BA"/>
    <w:rsid w:val="00620AF8"/>
    <w:rsid w:val="00621A65"/>
    <w:rsid w:val="006223C5"/>
    <w:rsid w:val="00622554"/>
    <w:rsid w:val="006226C0"/>
    <w:rsid w:val="006228DD"/>
    <w:rsid w:val="00622AFF"/>
    <w:rsid w:val="00623317"/>
    <w:rsid w:val="0062347D"/>
    <w:rsid w:val="006237CE"/>
    <w:rsid w:val="00624521"/>
    <w:rsid w:val="00624649"/>
    <w:rsid w:val="00624F8C"/>
    <w:rsid w:val="0062525E"/>
    <w:rsid w:val="006264A0"/>
    <w:rsid w:val="00626FB5"/>
    <w:rsid w:val="00627A30"/>
    <w:rsid w:val="00627AF4"/>
    <w:rsid w:val="0063048F"/>
    <w:rsid w:val="00630708"/>
    <w:rsid w:val="00630B33"/>
    <w:rsid w:val="00631036"/>
    <w:rsid w:val="00631814"/>
    <w:rsid w:val="00631A07"/>
    <w:rsid w:val="00631AE8"/>
    <w:rsid w:val="00631FF5"/>
    <w:rsid w:val="00632DC8"/>
    <w:rsid w:val="0063308D"/>
    <w:rsid w:val="006336A5"/>
    <w:rsid w:val="0063384C"/>
    <w:rsid w:val="00633A43"/>
    <w:rsid w:val="00633F7A"/>
    <w:rsid w:val="0063424A"/>
    <w:rsid w:val="00634819"/>
    <w:rsid w:val="00635EDC"/>
    <w:rsid w:val="00635F36"/>
    <w:rsid w:val="00636684"/>
    <w:rsid w:val="00637DF2"/>
    <w:rsid w:val="00637EFF"/>
    <w:rsid w:val="00637F17"/>
    <w:rsid w:val="0064022B"/>
    <w:rsid w:val="0064078A"/>
    <w:rsid w:val="00640B85"/>
    <w:rsid w:val="00641143"/>
    <w:rsid w:val="006423F0"/>
    <w:rsid w:val="00642492"/>
    <w:rsid w:val="006440AA"/>
    <w:rsid w:val="0064451E"/>
    <w:rsid w:val="00644EEA"/>
    <w:rsid w:val="00644FCD"/>
    <w:rsid w:val="00645640"/>
    <w:rsid w:val="00645B2E"/>
    <w:rsid w:val="006462C8"/>
    <w:rsid w:val="00646456"/>
    <w:rsid w:val="006467D3"/>
    <w:rsid w:val="00646CB7"/>
    <w:rsid w:val="00646D83"/>
    <w:rsid w:val="00646E35"/>
    <w:rsid w:val="006470B2"/>
    <w:rsid w:val="00647508"/>
    <w:rsid w:val="00650025"/>
    <w:rsid w:val="006500F5"/>
    <w:rsid w:val="0065096A"/>
    <w:rsid w:val="00650A81"/>
    <w:rsid w:val="00651BD9"/>
    <w:rsid w:val="00651CD0"/>
    <w:rsid w:val="0065231C"/>
    <w:rsid w:val="00652F67"/>
    <w:rsid w:val="0065313A"/>
    <w:rsid w:val="00653492"/>
    <w:rsid w:val="006548F6"/>
    <w:rsid w:val="00655016"/>
    <w:rsid w:val="00655178"/>
    <w:rsid w:val="00655545"/>
    <w:rsid w:val="006559EC"/>
    <w:rsid w:val="00655B19"/>
    <w:rsid w:val="00657FA7"/>
    <w:rsid w:val="0066005C"/>
    <w:rsid w:val="006604A2"/>
    <w:rsid w:val="00660E6C"/>
    <w:rsid w:val="00661107"/>
    <w:rsid w:val="00662503"/>
    <w:rsid w:val="00662515"/>
    <w:rsid w:val="006626BF"/>
    <w:rsid w:val="00662B40"/>
    <w:rsid w:val="00662DF2"/>
    <w:rsid w:val="00662DFD"/>
    <w:rsid w:val="00663047"/>
    <w:rsid w:val="0066334C"/>
    <w:rsid w:val="0066350C"/>
    <w:rsid w:val="0066361B"/>
    <w:rsid w:val="00665072"/>
    <w:rsid w:val="006653EF"/>
    <w:rsid w:val="006655D9"/>
    <w:rsid w:val="006656B6"/>
    <w:rsid w:val="00665B4C"/>
    <w:rsid w:val="0066625D"/>
    <w:rsid w:val="0066636A"/>
    <w:rsid w:val="00666E1C"/>
    <w:rsid w:val="00667262"/>
    <w:rsid w:val="006672F9"/>
    <w:rsid w:val="006678AF"/>
    <w:rsid w:val="00667D79"/>
    <w:rsid w:val="00667F58"/>
    <w:rsid w:val="00670DF3"/>
    <w:rsid w:val="00671128"/>
    <w:rsid w:val="006711F7"/>
    <w:rsid w:val="006716CD"/>
    <w:rsid w:val="00671B0C"/>
    <w:rsid w:val="00671D88"/>
    <w:rsid w:val="006722C4"/>
    <w:rsid w:val="006723B9"/>
    <w:rsid w:val="00672984"/>
    <w:rsid w:val="00672A06"/>
    <w:rsid w:val="00672C9F"/>
    <w:rsid w:val="00673894"/>
    <w:rsid w:val="00673B33"/>
    <w:rsid w:val="006744B4"/>
    <w:rsid w:val="0067527F"/>
    <w:rsid w:val="00675C46"/>
    <w:rsid w:val="00676404"/>
    <w:rsid w:val="00676687"/>
    <w:rsid w:val="006772E7"/>
    <w:rsid w:val="00680232"/>
    <w:rsid w:val="0068134E"/>
    <w:rsid w:val="006827FD"/>
    <w:rsid w:val="00682844"/>
    <w:rsid w:val="00682D2A"/>
    <w:rsid w:val="00683479"/>
    <w:rsid w:val="00683897"/>
    <w:rsid w:val="00683CA5"/>
    <w:rsid w:val="00683F3E"/>
    <w:rsid w:val="0068573A"/>
    <w:rsid w:val="00686028"/>
    <w:rsid w:val="00686ACE"/>
    <w:rsid w:val="00686FEF"/>
    <w:rsid w:val="006872F0"/>
    <w:rsid w:val="00687757"/>
    <w:rsid w:val="006878B7"/>
    <w:rsid w:val="00687CF6"/>
    <w:rsid w:val="00687E31"/>
    <w:rsid w:val="00690625"/>
    <w:rsid w:val="00690818"/>
    <w:rsid w:val="00690B2D"/>
    <w:rsid w:val="00690C0C"/>
    <w:rsid w:val="00691CD9"/>
    <w:rsid w:val="00692242"/>
    <w:rsid w:val="00692A24"/>
    <w:rsid w:val="00692CED"/>
    <w:rsid w:val="0069309D"/>
    <w:rsid w:val="0069391C"/>
    <w:rsid w:val="0069479D"/>
    <w:rsid w:val="006958A7"/>
    <w:rsid w:val="006963C8"/>
    <w:rsid w:val="0069649D"/>
    <w:rsid w:val="00696772"/>
    <w:rsid w:val="00697AFA"/>
    <w:rsid w:val="006A043D"/>
    <w:rsid w:val="006A0A06"/>
    <w:rsid w:val="006A0B77"/>
    <w:rsid w:val="006A1511"/>
    <w:rsid w:val="006A1F70"/>
    <w:rsid w:val="006A20D7"/>
    <w:rsid w:val="006A2453"/>
    <w:rsid w:val="006A24D4"/>
    <w:rsid w:val="006A260B"/>
    <w:rsid w:val="006A3073"/>
    <w:rsid w:val="006A310D"/>
    <w:rsid w:val="006A34A9"/>
    <w:rsid w:val="006A3B72"/>
    <w:rsid w:val="006A3E81"/>
    <w:rsid w:val="006A4033"/>
    <w:rsid w:val="006A4A95"/>
    <w:rsid w:val="006A4ABE"/>
    <w:rsid w:val="006A5211"/>
    <w:rsid w:val="006A5396"/>
    <w:rsid w:val="006A57C8"/>
    <w:rsid w:val="006A5AE6"/>
    <w:rsid w:val="006A6054"/>
    <w:rsid w:val="006A6BB4"/>
    <w:rsid w:val="006A73DB"/>
    <w:rsid w:val="006A7441"/>
    <w:rsid w:val="006A7630"/>
    <w:rsid w:val="006B0078"/>
    <w:rsid w:val="006B0107"/>
    <w:rsid w:val="006B053A"/>
    <w:rsid w:val="006B055A"/>
    <w:rsid w:val="006B0C6D"/>
    <w:rsid w:val="006B0F20"/>
    <w:rsid w:val="006B10FF"/>
    <w:rsid w:val="006B1F06"/>
    <w:rsid w:val="006B1FD3"/>
    <w:rsid w:val="006B223E"/>
    <w:rsid w:val="006B2898"/>
    <w:rsid w:val="006B3E85"/>
    <w:rsid w:val="006B41C1"/>
    <w:rsid w:val="006B4473"/>
    <w:rsid w:val="006B489D"/>
    <w:rsid w:val="006B5819"/>
    <w:rsid w:val="006B5909"/>
    <w:rsid w:val="006B598B"/>
    <w:rsid w:val="006B59A3"/>
    <w:rsid w:val="006B5AC5"/>
    <w:rsid w:val="006B62CF"/>
    <w:rsid w:val="006B6A06"/>
    <w:rsid w:val="006B783F"/>
    <w:rsid w:val="006B7C7E"/>
    <w:rsid w:val="006C0366"/>
    <w:rsid w:val="006C0BC9"/>
    <w:rsid w:val="006C16FC"/>
    <w:rsid w:val="006C1CFE"/>
    <w:rsid w:val="006C28E0"/>
    <w:rsid w:val="006C3534"/>
    <w:rsid w:val="006C368A"/>
    <w:rsid w:val="006C3B9D"/>
    <w:rsid w:val="006C3D2F"/>
    <w:rsid w:val="006C4297"/>
    <w:rsid w:val="006C4B33"/>
    <w:rsid w:val="006C5DE9"/>
    <w:rsid w:val="006C62F3"/>
    <w:rsid w:val="006C6930"/>
    <w:rsid w:val="006C6948"/>
    <w:rsid w:val="006C6ADF"/>
    <w:rsid w:val="006C6AED"/>
    <w:rsid w:val="006C6FF8"/>
    <w:rsid w:val="006C703E"/>
    <w:rsid w:val="006C743C"/>
    <w:rsid w:val="006C77A0"/>
    <w:rsid w:val="006C7DEB"/>
    <w:rsid w:val="006C7F7F"/>
    <w:rsid w:val="006D04D5"/>
    <w:rsid w:val="006D0645"/>
    <w:rsid w:val="006D0BBA"/>
    <w:rsid w:val="006D1FC7"/>
    <w:rsid w:val="006D2290"/>
    <w:rsid w:val="006D2702"/>
    <w:rsid w:val="006D35E6"/>
    <w:rsid w:val="006D3852"/>
    <w:rsid w:val="006D3C39"/>
    <w:rsid w:val="006D4E9B"/>
    <w:rsid w:val="006D4F1D"/>
    <w:rsid w:val="006D6DC2"/>
    <w:rsid w:val="006D7174"/>
    <w:rsid w:val="006D7494"/>
    <w:rsid w:val="006D7796"/>
    <w:rsid w:val="006D77D8"/>
    <w:rsid w:val="006D786B"/>
    <w:rsid w:val="006D79EA"/>
    <w:rsid w:val="006D7FD8"/>
    <w:rsid w:val="006E0254"/>
    <w:rsid w:val="006E12AA"/>
    <w:rsid w:val="006E1745"/>
    <w:rsid w:val="006E17FC"/>
    <w:rsid w:val="006E2BEE"/>
    <w:rsid w:val="006E2DCB"/>
    <w:rsid w:val="006E2FB0"/>
    <w:rsid w:val="006E30A1"/>
    <w:rsid w:val="006E4EAC"/>
    <w:rsid w:val="006E5776"/>
    <w:rsid w:val="006E5B54"/>
    <w:rsid w:val="006E601B"/>
    <w:rsid w:val="006E60B1"/>
    <w:rsid w:val="006E665E"/>
    <w:rsid w:val="006E6993"/>
    <w:rsid w:val="006E763D"/>
    <w:rsid w:val="006E78ED"/>
    <w:rsid w:val="006E7BBB"/>
    <w:rsid w:val="006E7F5A"/>
    <w:rsid w:val="006F0079"/>
    <w:rsid w:val="006F06F2"/>
    <w:rsid w:val="006F0775"/>
    <w:rsid w:val="006F19A2"/>
    <w:rsid w:val="006F1ABD"/>
    <w:rsid w:val="006F1EC3"/>
    <w:rsid w:val="006F1F84"/>
    <w:rsid w:val="006F2956"/>
    <w:rsid w:val="006F34AE"/>
    <w:rsid w:val="006F3649"/>
    <w:rsid w:val="006F3B97"/>
    <w:rsid w:val="006F4470"/>
    <w:rsid w:val="006F4D19"/>
    <w:rsid w:val="006F53B0"/>
    <w:rsid w:val="006F53EB"/>
    <w:rsid w:val="006F6FE9"/>
    <w:rsid w:val="006F774C"/>
    <w:rsid w:val="006F7A72"/>
    <w:rsid w:val="007012B9"/>
    <w:rsid w:val="0070157F"/>
    <w:rsid w:val="007018D2"/>
    <w:rsid w:val="00701E7C"/>
    <w:rsid w:val="00702017"/>
    <w:rsid w:val="0070231D"/>
    <w:rsid w:val="007026C7"/>
    <w:rsid w:val="007028DA"/>
    <w:rsid w:val="00702FD2"/>
    <w:rsid w:val="00704456"/>
    <w:rsid w:val="00704C1D"/>
    <w:rsid w:val="00705AB7"/>
    <w:rsid w:val="00705B25"/>
    <w:rsid w:val="00705D9F"/>
    <w:rsid w:val="007064D7"/>
    <w:rsid w:val="00706F14"/>
    <w:rsid w:val="00707E86"/>
    <w:rsid w:val="007104F9"/>
    <w:rsid w:val="00710970"/>
    <w:rsid w:val="00710CA9"/>
    <w:rsid w:val="007119F2"/>
    <w:rsid w:val="00712485"/>
    <w:rsid w:val="007127B5"/>
    <w:rsid w:val="007129E5"/>
    <w:rsid w:val="00712C4A"/>
    <w:rsid w:val="007132E0"/>
    <w:rsid w:val="00713BC9"/>
    <w:rsid w:val="00713CC4"/>
    <w:rsid w:val="007142E8"/>
    <w:rsid w:val="00714408"/>
    <w:rsid w:val="007159CB"/>
    <w:rsid w:val="00715FBE"/>
    <w:rsid w:val="00716732"/>
    <w:rsid w:val="00716847"/>
    <w:rsid w:val="007169DD"/>
    <w:rsid w:val="00716B8C"/>
    <w:rsid w:val="0071762D"/>
    <w:rsid w:val="007178E4"/>
    <w:rsid w:val="00717B13"/>
    <w:rsid w:val="00717B64"/>
    <w:rsid w:val="00717F89"/>
    <w:rsid w:val="00720004"/>
    <w:rsid w:val="007204DD"/>
    <w:rsid w:val="00720CD6"/>
    <w:rsid w:val="0072102A"/>
    <w:rsid w:val="00721B32"/>
    <w:rsid w:val="00721B67"/>
    <w:rsid w:val="00722695"/>
    <w:rsid w:val="00723942"/>
    <w:rsid w:val="007244D7"/>
    <w:rsid w:val="00724E19"/>
    <w:rsid w:val="00725145"/>
    <w:rsid w:val="007254EC"/>
    <w:rsid w:val="00726E85"/>
    <w:rsid w:val="00727172"/>
    <w:rsid w:val="00730A30"/>
    <w:rsid w:val="00731483"/>
    <w:rsid w:val="007314F4"/>
    <w:rsid w:val="00732242"/>
    <w:rsid w:val="0073454B"/>
    <w:rsid w:val="0073458D"/>
    <w:rsid w:val="00734CAB"/>
    <w:rsid w:val="00735EEC"/>
    <w:rsid w:val="007364F0"/>
    <w:rsid w:val="00736782"/>
    <w:rsid w:val="00736A6E"/>
    <w:rsid w:val="00736BEC"/>
    <w:rsid w:val="00737200"/>
    <w:rsid w:val="00737361"/>
    <w:rsid w:val="0073752A"/>
    <w:rsid w:val="00737F7F"/>
    <w:rsid w:val="00740C44"/>
    <w:rsid w:val="00743D0A"/>
    <w:rsid w:val="0074487E"/>
    <w:rsid w:val="00744AA3"/>
    <w:rsid w:val="007458F1"/>
    <w:rsid w:val="007461C8"/>
    <w:rsid w:val="00747871"/>
    <w:rsid w:val="00747AD1"/>
    <w:rsid w:val="00747B16"/>
    <w:rsid w:val="007509FD"/>
    <w:rsid w:val="00750B2A"/>
    <w:rsid w:val="00750F6D"/>
    <w:rsid w:val="007516AC"/>
    <w:rsid w:val="00752074"/>
    <w:rsid w:val="0075207F"/>
    <w:rsid w:val="00752DB2"/>
    <w:rsid w:val="00753530"/>
    <w:rsid w:val="00753908"/>
    <w:rsid w:val="00754B1C"/>
    <w:rsid w:val="00755B25"/>
    <w:rsid w:val="00755EDB"/>
    <w:rsid w:val="00756A1E"/>
    <w:rsid w:val="007578EB"/>
    <w:rsid w:val="007601B3"/>
    <w:rsid w:val="00760C1A"/>
    <w:rsid w:val="00760C88"/>
    <w:rsid w:val="00760CC6"/>
    <w:rsid w:val="00760D37"/>
    <w:rsid w:val="00760DBE"/>
    <w:rsid w:val="00760E49"/>
    <w:rsid w:val="00761D0F"/>
    <w:rsid w:val="00762F58"/>
    <w:rsid w:val="00763722"/>
    <w:rsid w:val="007637B1"/>
    <w:rsid w:val="00763948"/>
    <w:rsid w:val="00764B60"/>
    <w:rsid w:val="0076505A"/>
    <w:rsid w:val="00765759"/>
    <w:rsid w:val="00765904"/>
    <w:rsid w:val="00765B03"/>
    <w:rsid w:val="00765FF1"/>
    <w:rsid w:val="007662B6"/>
    <w:rsid w:val="00766664"/>
    <w:rsid w:val="007677F1"/>
    <w:rsid w:val="0076798E"/>
    <w:rsid w:val="007704B1"/>
    <w:rsid w:val="0077083C"/>
    <w:rsid w:val="00770CF2"/>
    <w:rsid w:val="0077116D"/>
    <w:rsid w:val="00771591"/>
    <w:rsid w:val="00771A42"/>
    <w:rsid w:val="00771D3B"/>
    <w:rsid w:val="00772131"/>
    <w:rsid w:val="007722A5"/>
    <w:rsid w:val="00772616"/>
    <w:rsid w:val="00773049"/>
    <w:rsid w:val="007735D4"/>
    <w:rsid w:val="00773F82"/>
    <w:rsid w:val="00774C3C"/>
    <w:rsid w:val="0077519E"/>
    <w:rsid w:val="0077551D"/>
    <w:rsid w:val="00776015"/>
    <w:rsid w:val="00776823"/>
    <w:rsid w:val="007769DB"/>
    <w:rsid w:val="00776DAF"/>
    <w:rsid w:val="00777817"/>
    <w:rsid w:val="007779DE"/>
    <w:rsid w:val="00780049"/>
    <w:rsid w:val="00781234"/>
    <w:rsid w:val="00781329"/>
    <w:rsid w:val="00781E9A"/>
    <w:rsid w:val="00781F60"/>
    <w:rsid w:val="0078283A"/>
    <w:rsid w:val="007829EC"/>
    <w:rsid w:val="0078363B"/>
    <w:rsid w:val="0078389E"/>
    <w:rsid w:val="00784587"/>
    <w:rsid w:val="0078485C"/>
    <w:rsid w:val="00784BBB"/>
    <w:rsid w:val="00784F4A"/>
    <w:rsid w:val="00785629"/>
    <w:rsid w:val="00785DE9"/>
    <w:rsid w:val="00786557"/>
    <w:rsid w:val="00786960"/>
    <w:rsid w:val="007874CF"/>
    <w:rsid w:val="007876A4"/>
    <w:rsid w:val="00787D19"/>
    <w:rsid w:val="00787FC6"/>
    <w:rsid w:val="007900A8"/>
    <w:rsid w:val="007901AD"/>
    <w:rsid w:val="0079052E"/>
    <w:rsid w:val="00792034"/>
    <w:rsid w:val="007923E9"/>
    <w:rsid w:val="00792696"/>
    <w:rsid w:val="0079297B"/>
    <w:rsid w:val="00792E03"/>
    <w:rsid w:val="00792FEF"/>
    <w:rsid w:val="0079396B"/>
    <w:rsid w:val="0079491E"/>
    <w:rsid w:val="00794CCE"/>
    <w:rsid w:val="00794E29"/>
    <w:rsid w:val="007954EA"/>
    <w:rsid w:val="00795549"/>
    <w:rsid w:val="0079597A"/>
    <w:rsid w:val="00795D98"/>
    <w:rsid w:val="0079621D"/>
    <w:rsid w:val="00796426"/>
    <w:rsid w:val="00796A57"/>
    <w:rsid w:val="00797AD9"/>
    <w:rsid w:val="00797C8C"/>
    <w:rsid w:val="00797F7E"/>
    <w:rsid w:val="007A0156"/>
    <w:rsid w:val="007A049C"/>
    <w:rsid w:val="007A06C0"/>
    <w:rsid w:val="007A083C"/>
    <w:rsid w:val="007A0BC2"/>
    <w:rsid w:val="007A0F15"/>
    <w:rsid w:val="007A1303"/>
    <w:rsid w:val="007A1710"/>
    <w:rsid w:val="007A20E0"/>
    <w:rsid w:val="007A2571"/>
    <w:rsid w:val="007A3503"/>
    <w:rsid w:val="007A3C99"/>
    <w:rsid w:val="007A4E1B"/>
    <w:rsid w:val="007A4F89"/>
    <w:rsid w:val="007A5831"/>
    <w:rsid w:val="007A6DFD"/>
    <w:rsid w:val="007A7339"/>
    <w:rsid w:val="007A7478"/>
    <w:rsid w:val="007A79B9"/>
    <w:rsid w:val="007A7A83"/>
    <w:rsid w:val="007A7B9B"/>
    <w:rsid w:val="007A7E8E"/>
    <w:rsid w:val="007B0468"/>
    <w:rsid w:val="007B0766"/>
    <w:rsid w:val="007B08DE"/>
    <w:rsid w:val="007B127A"/>
    <w:rsid w:val="007B164B"/>
    <w:rsid w:val="007B17FB"/>
    <w:rsid w:val="007B2399"/>
    <w:rsid w:val="007B23F5"/>
    <w:rsid w:val="007B291F"/>
    <w:rsid w:val="007B30DE"/>
    <w:rsid w:val="007B35C7"/>
    <w:rsid w:val="007B36D0"/>
    <w:rsid w:val="007B38A1"/>
    <w:rsid w:val="007B39DE"/>
    <w:rsid w:val="007B4246"/>
    <w:rsid w:val="007B4456"/>
    <w:rsid w:val="007B494A"/>
    <w:rsid w:val="007B4E08"/>
    <w:rsid w:val="007B4E7F"/>
    <w:rsid w:val="007B5259"/>
    <w:rsid w:val="007B65B3"/>
    <w:rsid w:val="007B6CEE"/>
    <w:rsid w:val="007B6F48"/>
    <w:rsid w:val="007C00A0"/>
    <w:rsid w:val="007C02FE"/>
    <w:rsid w:val="007C0D12"/>
    <w:rsid w:val="007C166E"/>
    <w:rsid w:val="007C1A64"/>
    <w:rsid w:val="007C1D75"/>
    <w:rsid w:val="007C21EF"/>
    <w:rsid w:val="007C2868"/>
    <w:rsid w:val="007C2DAF"/>
    <w:rsid w:val="007C2DC0"/>
    <w:rsid w:val="007C356E"/>
    <w:rsid w:val="007C3AD7"/>
    <w:rsid w:val="007C4373"/>
    <w:rsid w:val="007C4804"/>
    <w:rsid w:val="007C4ED8"/>
    <w:rsid w:val="007C4F82"/>
    <w:rsid w:val="007C6802"/>
    <w:rsid w:val="007C6BE6"/>
    <w:rsid w:val="007C7B68"/>
    <w:rsid w:val="007D08C7"/>
    <w:rsid w:val="007D0E88"/>
    <w:rsid w:val="007D1787"/>
    <w:rsid w:val="007D1A6B"/>
    <w:rsid w:val="007D1E96"/>
    <w:rsid w:val="007D21C0"/>
    <w:rsid w:val="007D23F6"/>
    <w:rsid w:val="007D2509"/>
    <w:rsid w:val="007D359E"/>
    <w:rsid w:val="007D3D96"/>
    <w:rsid w:val="007D42E3"/>
    <w:rsid w:val="007D4F97"/>
    <w:rsid w:val="007D574D"/>
    <w:rsid w:val="007D5FD4"/>
    <w:rsid w:val="007D63BC"/>
    <w:rsid w:val="007D6429"/>
    <w:rsid w:val="007D6480"/>
    <w:rsid w:val="007D7189"/>
    <w:rsid w:val="007D71C1"/>
    <w:rsid w:val="007D7430"/>
    <w:rsid w:val="007D7591"/>
    <w:rsid w:val="007D776B"/>
    <w:rsid w:val="007E0111"/>
    <w:rsid w:val="007E0947"/>
    <w:rsid w:val="007E0FB2"/>
    <w:rsid w:val="007E15C2"/>
    <w:rsid w:val="007E2678"/>
    <w:rsid w:val="007E26E6"/>
    <w:rsid w:val="007E2701"/>
    <w:rsid w:val="007E280A"/>
    <w:rsid w:val="007E3109"/>
    <w:rsid w:val="007E312C"/>
    <w:rsid w:val="007E3275"/>
    <w:rsid w:val="007E370F"/>
    <w:rsid w:val="007E408A"/>
    <w:rsid w:val="007E43B5"/>
    <w:rsid w:val="007E48E2"/>
    <w:rsid w:val="007E556B"/>
    <w:rsid w:val="007E5B20"/>
    <w:rsid w:val="007E5D9E"/>
    <w:rsid w:val="007E67B1"/>
    <w:rsid w:val="007E7576"/>
    <w:rsid w:val="007E7720"/>
    <w:rsid w:val="007E7F54"/>
    <w:rsid w:val="007F0031"/>
    <w:rsid w:val="007F09DF"/>
    <w:rsid w:val="007F0E92"/>
    <w:rsid w:val="007F19DE"/>
    <w:rsid w:val="007F1B82"/>
    <w:rsid w:val="007F224B"/>
    <w:rsid w:val="007F2A6D"/>
    <w:rsid w:val="007F3CD7"/>
    <w:rsid w:val="007F4094"/>
    <w:rsid w:val="007F42A1"/>
    <w:rsid w:val="007F69DD"/>
    <w:rsid w:val="007F6EB0"/>
    <w:rsid w:val="007F7552"/>
    <w:rsid w:val="007F76F2"/>
    <w:rsid w:val="007F77C3"/>
    <w:rsid w:val="00801C9E"/>
    <w:rsid w:val="00801CA5"/>
    <w:rsid w:val="00801EC3"/>
    <w:rsid w:val="00803443"/>
    <w:rsid w:val="008037F4"/>
    <w:rsid w:val="0080399F"/>
    <w:rsid w:val="0080486D"/>
    <w:rsid w:val="00804C84"/>
    <w:rsid w:val="00805362"/>
    <w:rsid w:val="008054A8"/>
    <w:rsid w:val="008058A3"/>
    <w:rsid w:val="00805ED6"/>
    <w:rsid w:val="0081002A"/>
    <w:rsid w:val="00810112"/>
    <w:rsid w:val="00810872"/>
    <w:rsid w:val="0081268C"/>
    <w:rsid w:val="00812BD0"/>
    <w:rsid w:val="00813591"/>
    <w:rsid w:val="00813629"/>
    <w:rsid w:val="00813783"/>
    <w:rsid w:val="00813CA3"/>
    <w:rsid w:val="008148FD"/>
    <w:rsid w:val="00815D34"/>
    <w:rsid w:val="00816DFD"/>
    <w:rsid w:val="008177BD"/>
    <w:rsid w:val="00817A41"/>
    <w:rsid w:val="00817EC4"/>
    <w:rsid w:val="00820277"/>
    <w:rsid w:val="00820726"/>
    <w:rsid w:val="00820AFC"/>
    <w:rsid w:val="0082138B"/>
    <w:rsid w:val="00821752"/>
    <w:rsid w:val="0082196A"/>
    <w:rsid w:val="008221B4"/>
    <w:rsid w:val="008221BB"/>
    <w:rsid w:val="0082286C"/>
    <w:rsid w:val="008233C9"/>
    <w:rsid w:val="00823863"/>
    <w:rsid w:val="00823C25"/>
    <w:rsid w:val="008254C8"/>
    <w:rsid w:val="00826E6E"/>
    <w:rsid w:val="00826E96"/>
    <w:rsid w:val="00827D39"/>
    <w:rsid w:val="008303AD"/>
    <w:rsid w:val="00830C5C"/>
    <w:rsid w:val="00831106"/>
    <w:rsid w:val="008315B6"/>
    <w:rsid w:val="00831A9F"/>
    <w:rsid w:val="00831C62"/>
    <w:rsid w:val="00831CF9"/>
    <w:rsid w:val="0083287D"/>
    <w:rsid w:val="008328AA"/>
    <w:rsid w:val="00833BA5"/>
    <w:rsid w:val="00833FF7"/>
    <w:rsid w:val="00834236"/>
    <w:rsid w:val="00834547"/>
    <w:rsid w:val="00834BCD"/>
    <w:rsid w:val="00834ECF"/>
    <w:rsid w:val="008353D9"/>
    <w:rsid w:val="00835C39"/>
    <w:rsid w:val="00835F23"/>
    <w:rsid w:val="00836064"/>
    <w:rsid w:val="00837195"/>
    <w:rsid w:val="008376C0"/>
    <w:rsid w:val="00837F99"/>
    <w:rsid w:val="008409A8"/>
    <w:rsid w:val="00840A3A"/>
    <w:rsid w:val="00840AD9"/>
    <w:rsid w:val="00840FBD"/>
    <w:rsid w:val="00841FEE"/>
    <w:rsid w:val="0084217F"/>
    <w:rsid w:val="0084243C"/>
    <w:rsid w:val="00842893"/>
    <w:rsid w:val="00842949"/>
    <w:rsid w:val="00842DBC"/>
    <w:rsid w:val="00842DC6"/>
    <w:rsid w:val="0084329F"/>
    <w:rsid w:val="00844EDA"/>
    <w:rsid w:val="00845241"/>
    <w:rsid w:val="008452C1"/>
    <w:rsid w:val="00845BCF"/>
    <w:rsid w:val="0084622D"/>
    <w:rsid w:val="008465D0"/>
    <w:rsid w:val="00847600"/>
    <w:rsid w:val="00847A40"/>
    <w:rsid w:val="00847C0F"/>
    <w:rsid w:val="00850395"/>
    <w:rsid w:val="008513DE"/>
    <w:rsid w:val="00854296"/>
    <w:rsid w:val="00854508"/>
    <w:rsid w:val="0085481A"/>
    <w:rsid w:val="008550EE"/>
    <w:rsid w:val="008553E1"/>
    <w:rsid w:val="00856218"/>
    <w:rsid w:val="00856577"/>
    <w:rsid w:val="00856DBF"/>
    <w:rsid w:val="00857557"/>
    <w:rsid w:val="008576F1"/>
    <w:rsid w:val="008578D0"/>
    <w:rsid w:val="00857C57"/>
    <w:rsid w:val="00861901"/>
    <w:rsid w:val="00861922"/>
    <w:rsid w:val="00861B63"/>
    <w:rsid w:val="008628BE"/>
    <w:rsid w:val="00862C7B"/>
    <w:rsid w:val="008634F8"/>
    <w:rsid w:val="00864D4B"/>
    <w:rsid w:val="008651A8"/>
    <w:rsid w:val="008654DB"/>
    <w:rsid w:val="00865E3F"/>
    <w:rsid w:val="00865E91"/>
    <w:rsid w:val="0086686C"/>
    <w:rsid w:val="008671FB"/>
    <w:rsid w:val="0086754E"/>
    <w:rsid w:val="008679D1"/>
    <w:rsid w:val="00871210"/>
    <w:rsid w:val="00871BF6"/>
    <w:rsid w:val="00872518"/>
    <w:rsid w:val="00872B2D"/>
    <w:rsid w:val="00872B5F"/>
    <w:rsid w:val="00872B6D"/>
    <w:rsid w:val="00872F1F"/>
    <w:rsid w:val="00872F27"/>
    <w:rsid w:val="00872FC2"/>
    <w:rsid w:val="00873968"/>
    <w:rsid w:val="00873AA8"/>
    <w:rsid w:val="00873E52"/>
    <w:rsid w:val="00874023"/>
    <w:rsid w:val="00874496"/>
    <w:rsid w:val="00874C4A"/>
    <w:rsid w:val="0087574D"/>
    <w:rsid w:val="00875B47"/>
    <w:rsid w:val="00875F6B"/>
    <w:rsid w:val="00876231"/>
    <w:rsid w:val="0087678F"/>
    <w:rsid w:val="0087679E"/>
    <w:rsid w:val="00876BA8"/>
    <w:rsid w:val="00876C57"/>
    <w:rsid w:val="00877987"/>
    <w:rsid w:val="008805C9"/>
    <w:rsid w:val="00880A99"/>
    <w:rsid w:val="00883199"/>
    <w:rsid w:val="008831E0"/>
    <w:rsid w:val="00883385"/>
    <w:rsid w:val="00883D3D"/>
    <w:rsid w:val="008845D3"/>
    <w:rsid w:val="008846A1"/>
    <w:rsid w:val="00884805"/>
    <w:rsid w:val="00884970"/>
    <w:rsid w:val="00884A7F"/>
    <w:rsid w:val="00884DDC"/>
    <w:rsid w:val="00885B3D"/>
    <w:rsid w:val="0088646B"/>
    <w:rsid w:val="00886F9E"/>
    <w:rsid w:val="00887DB0"/>
    <w:rsid w:val="00887DF9"/>
    <w:rsid w:val="008900A8"/>
    <w:rsid w:val="008900C0"/>
    <w:rsid w:val="00890546"/>
    <w:rsid w:val="00891026"/>
    <w:rsid w:val="0089126E"/>
    <w:rsid w:val="008912D6"/>
    <w:rsid w:val="0089156B"/>
    <w:rsid w:val="008916EA"/>
    <w:rsid w:val="0089178D"/>
    <w:rsid w:val="00892062"/>
    <w:rsid w:val="00892262"/>
    <w:rsid w:val="008926C4"/>
    <w:rsid w:val="00892A44"/>
    <w:rsid w:val="00892D22"/>
    <w:rsid w:val="00892ED3"/>
    <w:rsid w:val="008931E7"/>
    <w:rsid w:val="00893452"/>
    <w:rsid w:val="00894D54"/>
    <w:rsid w:val="00894E6B"/>
    <w:rsid w:val="008958B0"/>
    <w:rsid w:val="00895AA1"/>
    <w:rsid w:val="00896136"/>
    <w:rsid w:val="00896486"/>
    <w:rsid w:val="0089672B"/>
    <w:rsid w:val="008979DF"/>
    <w:rsid w:val="00897FEA"/>
    <w:rsid w:val="008A02CA"/>
    <w:rsid w:val="008A0477"/>
    <w:rsid w:val="008A0816"/>
    <w:rsid w:val="008A08A8"/>
    <w:rsid w:val="008A1210"/>
    <w:rsid w:val="008A134C"/>
    <w:rsid w:val="008A1565"/>
    <w:rsid w:val="008A157E"/>
    <w:rsid w:val="008A16E5"/>
    <w:rsid w:val="008A19F3"/>
    <w:rsid w:val="008A1B39"/>
    <w:rsid w:val="008A26BA"/>
    <w:rsid w:val="008A2D65"/>
    <w:rsid w:val="008A3F7D"/>
    <w:rsid w:val="008A4076"/>
    <w:rsid w:val="008A4316"/>
    <w:rsid w:val="008A43C6"/>
    <w:rsid w:val="008A456C"/>
    <w:rsid w:val="008A4656"/>
    <w:rsid w:val="008A483B"/>
    <w:rsid w:val="008A4DE3"/>
    <w:rsid w:val="008A5122"/>
    <w:rsid w:val="008A5B14"/>
    <w:rsid w:val="008A675C"/>
    <w:rsid w:val="008A6E18"/>
    <w:rsid w:val="008A72D3"/>
    <w:rsid w:val="008A72D6"/>
    <w:rsid w:val="008A7961"/>
    <w:rsid w:val="008A7C44"/>
    <w:rsid w:val="008A7FCC"/>
    <w:rsid w:val="008B0006"/>
    <w:rsid w:val="008B0837"/>
    <w:rsid w:val="008B0B52"/>
    <w:rsid w:val="008B0DAC"/>
    <w:rsid w:val="008B0E19"/>
    <w:rsid w:val="008B17F8"/>
    <w:rsid w:val="008B1887"/>
    <w:rsid w:val="008B1C66"/>
    <w:rsid w:val="008B1F5F"/>
    <w:rsid w:val="008B201B"/>
    <w:rsid w:val="008B275A"/>
    <w:rsid w:val="008B2ED9"/>
    <w:rsid w:val="008B33C1"/>
    <w:rsid w:val="008B3FA8"/>
    <w:rsid w:val="008B4B16"/>
    <w:rsid w:val="008B5776"/>
    <w:rsid w:val="008B65E4"/>
    <w:rsid w:val="008B6E24"/>
    <w:rsid w:val="008B7109"/>
    <w:rsid w:val="008B77F8"/>
    <w:rsid w:val="008C05BA"/>
    <w:rsid w:val="008C0DB1"/>
    <w:rsid w:val="008C10E7"/>
    <w:rsid w:val="008C150F"/>
    <w:rsid w:val="008C18DF"/>
    <w:rsid w:val="008C2193"/>
    <w:rsid w:val="008C2590"/>
    <w:rsid w:val="008C3B37"/>
    <w:rsid w:val="008C3F09"/>
    <w:rsid w:val="008C4B47"/>
    <w:rsid w:val="008C5597"/>
    <w:rsid w:val="008C56A3"/>
    <w:rsid w:val="008C6876"/>
    <w:rsid w:val="008C7333"/>
    <w:rsid w:val="008C76EA"/>
    <w:rsid w:val="008D0189"/>
    <w:rsid w:val="008D0BE2"/>
    <w:rsid w:val="008D0ECA"/>
    <w:rsid w:val="008D1382"/>
    <w:rsid w:val="008D145A"/>
    <w:rsid w:val="008D1870"/>
    <w:rsid w:val="008D194D"/>
    <w:rsid w:val="008D1E64"/>
    <w:rsid w:val="008D1F57"/>
    <w:rsid w:val="008D226D"/>
    <w:rsid w:val="008D2291"/>
    <w:rsid w:val="008D24D6"/>
    <w:rsid w:val="008D29D7"/>
    <w:rsid w:val="008D2CBF"/>
    <w:rsid w:val="008D3015"/>
    <w:rsid w:val="008D3048"/>
    <w:rsid w:val="008D3C72"/>
    <w:rsid w:val="008D4DB2"/>
    <w:rsid w:val="008D5301"/>
    <w:rsid w:val="008D55AB"/>
    <w:rsid w:val="008D6BAB"/>
    <w:rsid w:val="008D6E8E"/>
    <w:rsid w:val="008D7A3D"/>
    <w:rsid w:val="008D7EC3"/>
    <w:rsid w:val="008E0251"/>
    <w:rsid w:val="008E04C5"/>
    <w:rsid w:val="008E146B"/>
    <w:rsid w:val="008E15F6"/>
    <w:rsid w:val="008E26C8"/>
    <w:rsid w:val="008E2BD7"/>
    <w:rsid w:val="008E3B57"/>
    <w:rsid w:val="008E3CA4"/>
    <w:rsid w:val="008E3DB9"/>
    <w:rsid w:val="008E47C1"/>
    <w:rsid w:val="008E5027"/>
    <w:rsid w:val="008E6852"/>
    <w:rsid w:val="008E6C14"/>
    <w:rsid w:val="008E7A75"/>
    <w:rsid w:val="008E7E16"/>
    <w:rsid w:val="008F0953"/>
    <w:rsid w:val="008F0D49"/>
    <w:rsid w:val="008F15C9"/>
    <w:rsid w:val="008F1DA2"/>
    <w:rsid w:val="008F25B5"/>
    <w:rsid w:val="008F2A4E"/>
    <w:rsid w:val="008F338A"/>
    <w:rsid w:val="008F37FE"/>
    <w:rsid w:val="008F3B58"/>
    <w:rsid w:val="008F3C88"/>
    <w:rsid w:val="008F3E33"/>
    <w:rsid w:val="008F4027"/>
    <w:rsid w:val="008F4150"/>
    <w:rsid w:val="008F47AE"/>
    <w:rsid w:val="008F4930"/>
    <w:rsid w:val="008F4CBB"/>
    <w:rsid w:val="008F4F02"/>
    <w:rsid w:val="008F5D13"/>
    <w:rsid w:val="008F6216"/>
    <w:rsid w:val="008F683F"/>
    <w:rsid w:val="009001CA"/>
    <w:rsid w:val="00901350"/>
    <w:rsid w:val="00901789"/>
    <w:rsid w:val="0090253C"/>
    <w:rsid w:val="00902D48"/>
    <w:rsid w:val="00902F3E"/>
    <w:rsid w:val="00903134"/>
    <w:rsid w:val="00904781"/>
    <w:rsid w:val="00904D21"/>
    <w:rsid w:val="00904DF4"/>
    <w:rsid w:val="00905604"/>
    <w:rsid w:val="00905E9D"/>
    <w:rsid w:val="009060A0"/>
    <w:rsid w:val="00906366"/>
    <w:rsid w:val="00906956"/>
    <w:rsid w:val="00906C2E"/>
    <w:rsid w:val="00906FE9"/>
    <w:rsid w:val="0090728F"/>
    <w:rsid w:val="009074DD"/>
    <w:rsid w:val="009075ED"/>
    <w:rsid w:val="009079FA"/>
    <w:rsid w:val="00907D51"/>
    <w:rsid w:val="00910067"/>
    <w:rsid w:val="0091311B"/>
    <w:rsid w:val="00913AD3"/>
    <w:rsid w:val="00913F78"/>
    <w:rsid w:val="00914060"/>
    <w:rsid w:val="00914678"/>
    <w:rsid w:val="00914730"/>
    <w:rsid w:val="00915695"/>
    <w:rsid w:val="009158FB"/>
    <w:rsid w:val="0091593A"/>
    <w:rsid w:val="00915AF4"/>
    <w:rsid w:val="009168C8"/>
    <w:rsid w:val="00916E04"/>
    <w:rsid w:val="00916FEE"/>
    <w:rsid w:val="0091784F"/>
    <w:rsid w:val="00920624"/>
    <w:rsid w:val="00920DB7"/>
    <w:rsid w:val="00921605"/>
    <w:rsid w:val="00921854"/>
    <w:rsid w:val="0092198B"/>
    <w:rsid w:val="00921AA9"/>
    <w:rsid w:val="0092223A"/>
    <w:rsid w:val="0092226E"/>
    <w:rsid w:val="009227B5"/>
    <w:rsid w:val="009227F6"/>
    <w:rsid w:val="00923279"/>
    <w:rsid w:val="009234BC"/>
    <w:rsid w:val="0092374A"/>
    <w:rsid w:val="00923E3E"/>
    <w:rsid w:val="0092466E"/>
    <w:rsid w:val="00924A6A"/>
    <w:rsid w:val="009279BB"/>
    <w:rsid w:val="00927F1B"/>
    <w:rsid w:val="00927F34"/>
    <w:rsid w:val="009302AB"/>
    <w:rsid w:val="00931145"/>
    <w:rsid w:val="0093174B"/>
    <w:rsid w:val="00933A01"/>
    <w:rsid w:val="00934009"/>
    <w:rsid w:val="0093429B"/>
    <w:rsid w:val="009350D4"/>
    <w:rsid w:val="00935351"/>
    <w:rsid w:val="009355F0"/>
    <w:rsid w:val="00935794"/>
    <w:rsid w:val="00935A88"/>
    <w:rsid w:val="009362CF"/>
    <w:rsid w:val="00936461"/>
    <w:rsid w:val="009419C6"/>
    <w:rsid w:val="009422C5"/>
    <w:rsid w:val="00943909"/>
    <w:rsid w:val="00944297"/>
    <w:rsid w:val="00944652"/>
    <w:rsid w:val="00944C2F"/>
    <w:rsid w:val="0094509B"/>
    <w:rsid w:val="009451D9"/>
    <w:rsid w:val="00945ED4"/>
    <w:rsid w:val="00946148"/>
    <w:rsid w:val="00946EC1"/>
    <w:rsid w:val="009475D3"/>
    <w:rsid w:val="00947E7C"/>
    <w:rsid w:val="00950176"/>
    <w:rsid w:val="00950CE7"/>
    <w:rsid w:val="00951E17"/>
    <w:rsid w:val="00951EFC"/>
    <w:rsid w:val="00952D17"/>
    <w:rsid w:val="00953200"/>
    <w:rsid w:val="009532F4"/>
    <w:rsid w:val="00953538"/>
    <w:rsid w:val="00953949"/>
    <w:rsid w:val="00954510"/>
    <w:rsid w:val="0095455B"/>
    <w:rsid w:val="00954746"/>
    <w:rsid w:val="00954E89"/>
    <w:rsid w:val="0095504B"/>
    <w:rsid w:val="00955652"/>
    <w:rsid w:val="009566CE"/>
    <w:rsid w:val="009568B4"/>
    <w:rsid w:val="00956B3C"/>
    <w:rsid w:val="00956CEC"/>
    <w:rsid w:val="00956DA3"/>
    <w:rsid w:val="00956E08"/>
    <w:rsid w:val="00956F9D"/>
    <w:rsid w:val="00957A9C"/>
    <w:rsid w:val="00960A9E"/>
    <w:rsid w:val="00960B6C"/>
    <w:rsid w:val="00961071"/>
    <w:rsid w:val="009613C3"/>
    <w:rsid w:val="0096160D"/>
    <w:rsid w:val="00961D2F"/>
    <w:rsid w:val="0096217A"/>
    <w:rsid w:val="00962AA6"/>
    <w:rsid w:val="00962B45"/>
    <w:rsid w:val="00963121"/>
    <w:rsid w:val="00963490"/>
    <w:rsid w:val="009634FF"/>
    <w:rsid w:val="00963B1D"/>
    <w:rsid w:val="009642C2"/>
    <w:rsid w:val="0096470C"/>
    <w:rsid w:val="009655C7"/>
    <w:rsid w:val="00965B79"/>
    <w:rsid w:val="00965EA7"/>
    <w:rsid w:val="00965F72"/>
    <w:rsid w:val="009664F3"/>
    <w:rsid w:val="00966C8C"/>
    <w:rsid w:val="00967152"/>
    <w:rsid w:val="00967A88"/>
    <w:rsid w:val="00967D16"/>
    <w:rsid w:val="00967F9A"/>
    <w:rsid w:val="009700C6"/>
    <w:rsid w:val="00970E3A"/>
    <w:rsid w:val="00971717"/>
    <w:rsid w:val="00971E78"/>
    <w:rsid w:val="00972325"/>
    <w:rsid w:val="0097254D"/>
    <w:rsid w:val="00972B56"/>
    <w:rsid w:val="009734EF"/>
    <w:rsid w:val="00973B5A"/>
    <w:rsid w:val="00973B97"/>
    <w:rsid w:val="00973BA1"/>
    <w:rsid w:val="00973F8C"/>
    <w:rsid w:val="0097442F"/>
    <w:rsid w:val="00974C25"/>
    <w:rsid w:val="00974EEB"/>
    <w:rsid w:val="00975093"/>
    <w:rsid w:val="00975201"/>
    <w:rsid w:val="00975F82"/>
    <w:rsid w:val="009764F5"/>
    <w:rsid w:val="00980F7E"/>
    <w:rsid w:val="00981953"/>
    <w:rsid w:val="00982637"/>
    <w:rsid w:val="0098271F"/>
    <w:rsid w:val="00982BE4"/>
    <w:rsid w:val="009831BF"/>
    <w:rsid w:val="00983EB1"/>
    <w:rsid w:val="00984174"/>
    <w:rsid w:val="00984686"/>
    <w:rsid w:val="00984DCF"/>
    <w:rsid w:val="009853A8"/>
    <w:rsid w:val="0098729B"/>
    <w:rsid w:val="009872F0"/>
    <w:rsid w:val="00987488"/>
    <w:rsid w:val="0099010F"/>
    <w:rsid w:val="00990761"/>
    <w:rsid w:val="009912D0"/>
    <w:rsid w:val="00991A11"/>
    <w:rsid w:val="00991F45"/>
    <w:rsid w:val="009931D3"/>
    <w:rsid w:val="009933C6"/>
    <w:rsid w:val="00993743"/>
    <w:rsid w:val="0099383B"/>
    <w:rsid w:val="00993C3F"/>
    <w:rsid w:val="0099450F"/>
    <w:rsid w:val="009945BC"/>
    <w:rsid w:val="00994613"/>
    <w:rsid w:val="00994F5C"/>
    <w:rsid w:val="009954ED"/>
    <w:rsid w:val="00995A38"/>
    <w:rsid w:val="0099663D"/>
    <w:rsid w:val="00996CA9"/>
    <w:rsid w:val="00997871"/>
    <w:rsid w:val="009A03CA"/>
    <w:rsid w:val="009A0627"/>
    <w:rsid w:val="009A0C8C"/>
    <w:rsid w:val="009A1252"/>
    <w:rsid w:val="009A14BA"/>
    <w:rsid w:val="009A16EE"/>
    <w:rsid w:val="009A1915"/>
    <w:rsid w:val="009A199D"/>
    <w:rsid w:val="009A2706"/>
    <w:rsid w:val="009A3D9A"/>
    <w:rsid w:val="009A4152"/>
    <w:rsid w:val="009A4F2B"/>
    <w:rsid w:val="009A56A5"/>
    <w:rsid w:val="009A6B59"/>
    <w:rsid w:val="009A6C23"/>
    <w:rsid w:val="009A7322"/>
    <w:rsid w:val="009A770A"/>
    <w:rsid w:val="009A788E"/>
    <w:rsid w:val="009A7F4C"/>
    <w:rsid w:val="009A7FF0"/>
    <w:rsid w:val="009B105C"/>
    <w:rsid w:val="009B1107"/>
    <w:rsid w:val="009B12A1"/>
    <w:rsid w:val="009B1A25"/>
    <w:rsid w:val="009B1FF8"/>
    <w:rsid w:val="009B2163"/>
    <w:rsid w:val="009B253E"/>
    <w:rsid w:val="009B5834"/>
    <w:rsid w:val="009B59BD"/>
    <w:rsid w:val="009B5C94"/>
    <w:rsid w:val="009B5E0F"/>
    <w:rsid w:val="009B5F3C"/>
    <w:rsid w:val="009B6668"/>
    <w:rsid w:val="009B6F2C"/>
    <w:rsid w:val="009B7694"/>
    <w:rsid w:val="009B7847"/>
    <w:rsid w:val="009C0812"/>
    <w:rsid w:val="009C0A24"/>
    <w:rsid w:val="009C0A29"/>
    <w:rsid w:val="009C0E7F"/>
    <w:rsid w:val="009C1CB5"/>
    <w:rsid w:val="009C2B52"/>
    <w:rsid w:val="009C2E51"/>
    <w:rsid w:val="009C3525"/>
    <w:rsid w:val="009C3726"/>
    <w:rsid w:val="009C3E97"/>
    <w:rsid w:val="009C3F82"/>
    <w:rsid w:val="009C4213"/>
    <w:rsid w:val="009C4295"/>
    <w:rsid w:val="009C4491"/>
    <w:rsid w:val="009C4612"/>
    <w:rsid w:val="009C4AED"/>
    <w:rsid w:val="009C4B29"/>
    <w:rsid w:val="009C4F54"/>
    <w:rsid w:val="009C509B"/>
    <w:rsid w:val="009C5783"/>
    <w:rsid w:val="009C5B60"/>
    <w:rsid w:val="009C5D6D"/>
    <w:rsid w:val="009C68CE"/>
    <w:rsid w:val="009C692A"/>
    <w:rsid w:val="009C6B47"/>
    <w:rsid w:val="009C76F8"/>
    <w:rsid w:val="009C7A1B"/>
    <w:rsid w:val="009C7B10"/>
    <w:rsid w:val="009C7EAB"/>
    <w:rsid w:val="009D0383"/>
    <w:rsid w:val="009D0A48"/>
    <w:rsid w:val="009D107B"/>
    <w:rsid w:val="009D110D"/>
    <w:rsid w:val="009D1356"/>
    <w:rsid w:val="009D1D6F"/>
    <w:rsid w:val="009D1FF6"/>
    <w:rsid w:val="009D246E"/>
    <w:rsid w:val="009D2638"/>
    <w:rsid w:val="009D2F62"/>
    <w:rsid w:val="009D31AC"/>
    <w:rsid w:val="009D321E"/>
    <w:rsid w:val="009D37DA"/>
    <w:rsid w:val="009D3983"/>
    <w:rsid w:val="009D421A"/>
    <w:rsid w:val="009D439F"/>
    <w:rsid w:val="009D55EF"/>
    <w:rsid w:val="009D56B2"/>
    <w:rsid w:val="009D58A2"/>
    <w:rsid w:val="009D58DA"/>
    <w:rsid w:val="009D5E88"/>
    <w:rsid w:val="009D652E"/>
    <w:rsid w:val="009D7202"/>
    <w:rsid w:val="009D7327"/>
    <w:rsid w:val="009D7449"/>
    <w:rsid w:val="009D7573"/>
    <w:rsid w:val="009D75ED"/>
    <w:rsid w:val="009E0036"/>
    <w:rsid w:val="009E0060"/>
    <w:rsid w:val="009E0692"/>
    <w:rsid w:val="009E1426"/>
    <w:rsid w:val="009E1DCC"/>
    <w:rsid w:val="009E22AB"/>
    <w:rsid w:val="009E346B"/>
    <w:rsid w:val="009E35E4"/>
    <w:rsid w:val="009E39D7"/>
    <w:rsid w:val="009E3A55"/>
    <w:rsid w:val="009E3DE5"/>
    <w:rsid w:val="009E42F9"/>
    <w:rsid w:val="009E4668"/>
    <w:rsid w:val="009E5689"/>
    <w:rsid w:val="009E602C"/>
    <w:rsid w:val="009E7819"/>
    <w:rsid w:val="009F0D41"/>
    <w:rsid w:val="009F11BF"/>
    <w:rsid w:val="009F1803"/>
    <w:rsid w:val="009F2341"/>
    <w:rsid w:val="009F2BEE"/>
    <w:rsid w:val="009F2CC7"/>
    <w:rsid w:val="009F2D2F"/>
    <w:rsid w:val="009F35AF"/>
    <w:rsid w:val="009F3693"/>
    <w:rsid w:val="009F37EB"/>
    <w:rsid w:val="009F3A4B"/>
    <w:rsid w:val="009F3E03"/>
    <w:rsid w:val="009F3F62"/>
    <w:rsid w:val="009F3FAD"/>
    <w:rsid w:val="009F3FF0"/>
    <w:rsid w:val="009F4DA2"/>
    <w:rsid w:val="009F5B45"/>
    <w:rsid w:val="009F5CA0"/>
    <w:rsid w:val="009F5CF7"/>
    <w:rsid w:val="009F63F7"/>
    <w:rsid w:val="009F656C"/>
    <w:rsid w:val="009F6BF2"/>
    <w:rsid w:val="009F6C16"/>
    <w:rsid w:val="009F6F9B"/>
    <w:rsid w:val="009F706E"/>
    <w:rsid w:val="009F73B5"/>
    <w:rsid w:val="009F7579"/>
    <w:rsid w:val="009F7780"/>
    <w:rsid w:val="00A0028E"/>
    <w:rsid w:val="00A0065F"/>
    <w:rsid w:val="00A0170B"/>
    <w:rsid w:val="00A023A5"/>
    <w:rsid w:val="00A026A1"/>
    <w:rsid w:val="00A03846"/>
    <w:rsid w:val="00A03F14"/>
    <w:rsid w:val="00A0402F"/>
    <w:rsid w:val="00A04071"/>
    <w:rsid w:val="00A05596"/>
    <w:rsid w:val="00A06143"/>
    <w:rsid w:val="00A0725C"/>
    <w:rsid w:val="00A0735D"/>
    <w:rsid w:val="00A0739F"/>
    <w:rsid w:val="00A07D58"/>
    <w:rsid w:val="00A108D3"/>
    <w:rsid w:val="00A10980"/>
    <w:rsid w:val="00A109EF"/>
    <w:rsid w:val="00A109F5"/>
    <w:rsid w:val="00A1131A"/>
    <w:rsid w:val="00A11607"/>
    <w:rsid w:val="00A12408"/>
    <w:rsid w:val="00A124E7"/>
    <w:rsid w:val="00A12B30"/>
    <w:rsid w:val="00A12B81"/>
    <w:rsid w:val="00A1361E"/>
    <w:rsid w:val="00A13678"/>
    <w:rsid w:val="00A1391E"/>
    <w:rsid w:val="00A139B9"/>
    <w:rsid w:val="00A13E71"/>
    <w:rsid w:val="00A13E81"/>
    <w:rsid w:val="00A146DB"/>
    <w:rsid w:val="00A14777"/>
    <w:rsid w:val="00A14A2E"/>
    <w:rsid w:val="00A151BE"/>
    <w:rsid w:val="00A15667"/>
    <w:rsid w:val="00A15771"/>
    <w:rsid w:val="00A16FE5"/>
    <w:rsid w:val="00A17126"/>
    <w:rsid w:val="00A17128"/>
    <w:rsid w:val="00A1773D"/>
    <w:rsid w:val="00A17803"/>
    <w:rsid w:val="00A17ACB"/>
    <w:rsid w:val="00A17CAB"/>
    <w:rsid w:val="00A20863"/>
    <w:rsid w:val="00A20964"/>
    <w:rsid w:val="00A20A26"/>
    <w:rsid w:val="00A215CF"/>
    <w:rsid w:val="00A21AE5"/>
    <w:rsid w:val="00A21C76"/>
    <w:rsid w:val="00A23258"/>
    <w:rsid w:val="00A23C70"/>
    <w:rsid w:val="00A23E1A"/>
    <w:rsid w:val="00A247CB"/>
    <w:rsid w:val="00A251DE"/>
    <w:rsid w:val="00A25E3E"/>
    <w:rsid w:val="00A26498"/>
    <w:rsid w:val="00A26692"/>
    <w:rsid w:val="00A27988"/>
    <w:rsid w:val="00A30591"/>
    <w:rsid w:val="00A30D5C"/>
    <w:rsid w:val="00A318D3"/>
    <w:rsid w:val="00A31E53"/>
    <w:rsid w:val="00A32389"/>
    <w:rsid w:val="00A324B1"/>
    <w:rsid w:val="00A32C29"/>
    <w:rsid w:val="00A330E3"/>
    <w:rsid w:val="00A33CAB"/>
    <w:rsid w:val="00A33FAE"/>
    <w:rsid w:val="00A34C43"/>
    <w:rsid w:val="00A354D7"/>
    <w:rsid w:val="00A35C0E"/>
    <w:rsid w:val="00A36D56"/>
    <w:rsid w:val="00A36FC8"/>
    <w:rsid w:val="00A37AF8"/>
    <w:rsid w:val="00A37D22"/>
    <w:rsid w:val="00A37E17"/>
    <w:rsid w:val="00A37EAA"/>
    <w:rsid w:val="00A40C88"/>
    <w:rsid w:val="00A40F09"/>
    <w:rsid w:val="00A418B6"/>
    <w:rsid w:val="00A41976"/>
    <w:rsid w:val="00A427CA"/>
    <w:rsid w:val="00A42889"/>
    <w:rsid w:val="00A42DE4"/>
    <w:rsid w:val="00A4312C"/>
    <w:rsid w:val="00A43530"/>
    <w:rsid w:val="00A43CA2"/>
    <w:rsid w:val="00A44221"/>
    <w:rsid w:val="00A444ED"/>
    <w:rsid w:val="00A44C98"/>
    <w:rsid w:val="00A44D84"/>
    <w:rsid w:val="00A45586"/>
    <w:rsid w:val="00A45A43"/>
    <w:rsid w:val="00A45E76"/>
    <w:rsid w:val="00A46167"/>
    <w:rsid w:val="00A46274"/>
    <w:rsid w:val="00A46C18"/>
    <w:rsid w:val="00A46DB3"/>
    <w:rsid w:val="00A46E92"/>
    <w:rsid w:val="00A4711F"/>
    <w:rsid w:val="00A474BB"/>
    <w:rsid w:val="00A501D9"/>
    <w:rsid w:val="00A50B81"/>
    <w:rsid w:val="00A5165F"/>
    <w:rsid w:val="00A516F2"/>
    <w:rsid w:val="00A52D5D"/>
    <w:rsid w:val="00A54A1F"/>
    <w:rsid w:val="00A54E39"/>
    <w:rsid w:val="00A55663"/>
    <w:rsid w:val="00A55B26"/>
    <w:rsid w:val="00A55CF8"/>
    <w:rsid w:val="00A56235"/>
    <w:rsid w:val="00A5740C"/>
    <w:rsid w:val="00A5759A"/>
    <w:rsid w:val="00A57885"/>
    <w:rsid w:val="00A6092E"/>
    <w:rsid w:val="00A60D74"/>
    <w:rsid w:val="00A61391"/>
    <w:rsid w:val="00A61AD2"/>
    <w:rsid w:val="00A62A73"/>
    <w:rsid w:val="00A62C37"/>
    <w:rsid w:val="00A62E30"/>
    <w:rsid w:val="00A63025"/>
    <w:rsid w:val="00A643B2"/>
    <w:rsid w:val="00A6446B"/>
    <w:rsid w:val="00A6460B"/>
    <w:rsid w:val="00A64D55"/>
    <w:rsid w:val="00A651E4"/>
    <w:rsid w:val="00A653C0"/>
    <w:rsid w:val="00A65890"/>
    <w:rsid w:val="00A65BD7"/>
    <w:rsid w:val="00A65DF3"/>
    <w:rsid w:val="00A667FC"/>
    <w:rsid w:val="00A676E8"/>
    <w:rsid w:val="00A67B22"/>
    <w:rsid w:val="00A7067C"/>
    <w:rsid w:val="00A70B0C"/>
    <w:rsid w:val="00A70E5F"/>
    <w:rsid w:val="00A7118E"/>
    <w:rsid w:val="00A71253"/>
    <w:rsid w:val="00A71579"/>
    <w:rsid w:val="00A71CC4"/>
    <w:rsid w:val="00A71E2B"/>
    <w:rsid w:val="00A72009"/>
    <w:rsid w:val="00A72B93"/>
    <w:rsid w:val="00A72F5D"/>
    <w:rsid w:val="00A72FDB"/>
    <w:rsid w:val="00A7373C"/>
    <w:rsid w:val="00A738F4"/>
    <w:rsid w:val="00A74519"/>
    <w:rsid w:val="00A7462C"/>
    <w:rsid w:val="00A74C0C"/>
    <w:rsid w:val="00A74CCB"/>
    <w:rsid w:val="00A7500C"/>
    <w:rsid w:val="00A75B19"/>
    <w:rsid w:val="00A75FE8"/>
    <w:rsid w:val="00A760D2"/>
    <w:rsid w:val="00A76432"/>
    <w:rsid w:val="00A7648E"/>
    <w:rsid w:val="00A76520"/>
    <w:rsid w:val="00A76BC1"/>
    <w:rsid w:val="00A777FA"/>
    <w:rsid w:val="00A77BB4"/>
    <w:rsid w:val="00A77D41"/>
    <w:rsid w:val="00A77DDB"/>
    <w:rsid w:val="00A80A1B"/>
    <w:rsid w:val="00A80D78"/>
    <w:rsid w:val="00A812A8"/>
    <w:rsid w:val="00A8169D"/>
    <w:rsid w:val="00A81724"/>
    <w:rsid w:val="00A81810"/>
    <w:rsid w:val="00A81D51"/>
    <w:rsid w:val="00A82028"/>
    <w:rsid w:val="00A82345"/>
    <w:rsid w:val="00A82DB6"/>
    <w:rsid w:val="00A833B6"/>
    <w:rsid w:val="00A856B0"/>
    <w:rsid w:val="00A86383"/>
    <w:rsid w:val="00A86750"/>
    <w:rsid w:val="00A875EF"/>
    <w:rsid w:val="00A87919"/>
    <w:rsid w:val="00A87B08"/>
    <w:rsid w:val="00A87CC1"/>
    <w:rsid w:val="00A87DED"/>
    <w:rsid w:val="00A87E30"/>
    <w:rsid w:val="00A9074D"/>
    <w:rsid w:val="00A9098D"/>
    <w:rsid w:val="00A909C1"/>
    <w:rsid w:val="00A91B86"/>
    <w:rsid w:val="00A91E03"/>
    <w:rsid w:val="00A92823"/>
    <w:rsid w:val="00A930BE"/>
    <w:rsid w:val="00A945EF"/>
    <w:rsid w:val="00A94849"/>
    <w:rsid w:val="00A94A9C"/>
    <w:rsid w:val="00A94FAF"/>
    <w:rsid w:val="00A95334"/>
    <w:rsid w:val="00A95447"/>
    <w:rsid w:val="00A954E6"/>
    <w:rsid w:val="00A957E0"/>
    <w:rsid w:val="00A95F74"/>
    <w:rsid w:val="00A96094"/>
    <w:rsid w:val="00A9625C"/>
    <w:rsid w:val="00A971AD"/>
    <w:rsid w:val="00A97376"/>
    <w:rsid w:val="00A9744B"/>
    <w:rsid w:val="00A97587"/>
    <w:rsid w:val="00AA0017"/>
    <w:rsid w:val="00AA01B4"/>
    <w:rsid w:val="00AA063B"/>
    <w:rsid w:val="00AA0644"/>
    <w:rsid w:val="00AA16C8"/>
    <w:rsid w:val="00AA1BB7"/>
    <w:rsid w:val="00AA1E33"/>
    <w:rsid w:val="00AA1F9B"/>
    <w:rsid w:val="00AA24B8"/>
    <w:rsid w:val="00AA43B0"/>
    <w:rsid w:val="00AA4643"/>
    <w:rsid w:val="00AA48E0"/>
    <w:rsid w:val="00AA4A13"/>
    <w:rsid w:val="00AA5419"/>
    <w:rsid w:val="00AA554D"/>
    <w:rsid w:val="00AA5D45"/>
    <w:rsid w:val="00AA65A7"/>
    <w:rsid w:val="00AA6BE3"/>
    <w:rsid w:val="00AA6CAF"/>
    <w:rsid w:val="00AA6CBB"/>
    <w:rsid w:val="00AA7F7D"/>
    <w:rsid w:val="00AB0127"/>
    <w:rsid w:val="00AB02A3"/>
    <w:rsid w:val="00AB100C"/>
    <w:rsid w:val="00AB1677"/>
    <w:rsid w:val="00AB1E5B"/>
    <w:rsid w:val="00AB2268"/>
    <w:rsid w:val="00AB22BF"/>
    <w:rsid w:val="00AB23E7"/>
    <w:rsid w:val="00AB2C23"/>
    <w:rsid w:val="00AB2D1B"/>
    <w:rsid w:val="00AB370E"/>
    <w:rsid w:val="00AB3F9E"/>
    <w:rsid w:val="00AB46FF"/>
    <w:rsid w:val="00AB5CFA"/>
    <w:rsid w:val="00AB6270"/>
    <w:rsid w:val="00AB6E60"/>
    <w:rsid w:val="00AB7ADB"/>
    <w:rsid w:val="00AB7B1C"/>
    <w:rsid w:val="00AB7BBA"/>
    <w:rsid w:val="00AC000B"/>
    <w:rsid w:val="00AC0608"/>
    <w:rsid w:val="00AC0C32"/>
    <w:rsid w:val="00AC11C9"/>
    <w:rsid w:val="00AC21F7"/>
    <w:rsid w:val="00AC2B4D"/>
    <w:rsid w:val="00AC34EF"/>
    <w:rsid w:val="00AC5EAC"/>
    <w:rsid w:val="00AC65DB"/>
    <w:rsid w:val="00AC6842"/>
    <w:rsid w:val="00AC69D3"/>
    <w:rsid w:val="00AC6B02"/>
    <w:rsid w:val="00AC6C0A"/>
    <w:rsid w:val="00AC718E"/>
    <w:rsid w:val="00AC74ED"/>
    <w:rsid w:val="00AC7D60"/>
    <w:rsid w:val="00AD0CF3"/>
    <w:rsid w:val="00AD15DC"/>
    <w:rsid w:val="00AD16C2"/>
    <w:rsid w:val="00AD180A"/>
    <w:rsid w:val="00AD205C"/>
    <w:rsid w:val="00AD2BEC"/>
    <w:rsid w:val="00AD3001"/>
    <w:rsid w:val="00AD3B8A"/>
    <w:rsid w:val="00AD4B15"/>
    <w:rsid w:val="00AD4B7E"/>
    <w:rsid w:val="00AD4C57"/>
    <w:rsid w:val="00AD529C"/>
    <w:rsid w:val="00AD5597"/>
    <w:rsid w:val="00AD5D6B"/>
    <w:rsid w:val="00AD5E93"/>
    <w:rsid w:val="00AD6272"/>
    <w:rsid w:val="00AD6332"/>
    <w:rsid w:val="00AD753D"/>
    <w:rsid w:val="00AD7BFF"/>
    <w:rsid w:val="00AE02A9"/>
    <w:rsid w:val="00AE102C"/>
    <w:rsid w:val="00AE10AE"/>
    <w:rsid w:val="00AE1B62"/>
    <w:rsid w:val="00AE1FBE"/>
    <w:rsid w:val="00AE251E"/>
    <w:rsid w:val="00AE2759"/>
    <w:rsid w:val="00AE2BFA"/>
    <w:rsid w:val="00AE2CF8"/>
    <w:rsid w:val="00AE2E8B"/>
    <w:rsid w:val="00AE3495"/>
    <w:rsid w:val="00AE3CB6"/>
    <w:rsid w:val="00AE3FC3"/>
    <w:rsid w:val="00AE411A"/>
    <w:rsid w:val="00AE414F"/>
    <w:rsid w:val="00AE4266"/>
    <w:rsid w:val="00AE4595"/>
    <w:rsid w:val="00AE4A22"/>
    <w:rsid w:val="00AE4EB0"/>
    <w:rsid w:val="00AE5932"/>
    <w:rsid w:val="00AE6EF6"/>
    <w:rsid w:val="00AE7379"/>
    <w:rsid w:val="00AE7459"/>
    <w:rsid w:val="00AE7A76"/>
    <w:rsid w:val="00AE7B62"/>
    <w:rsid w:val="00AF006B"/>
    <w:rsid w:val="00AF0CAF"/>
    <w:rsid w:val="00AF1497"/>
    <w:rsid w:val="00AF22E1"/>
    <w:rsid w:val="00AF2661"/>
    <w:rsid w:val="00AF3888"/>
    <w:rsid w:val="00AF43BF"/>
    <w:rsid w:val="00AF4522"/>
    <w:rsid w:val="00AF47E7"/>
    <w:rsid w:val="00AF49B2"/>
    <w:rsid w:val="00AF4B5E"/>
    <w:rsid w:val="00AF50E5"/>
    <w:rsid w:val="00AF51DB"/>
    <w:rsid w:val="00AF541D"/>
    <w:rsid w:val="00AF5563"/>
    <w:rsid w:val="00AF5BA8"/>
    <w:rsid w:val="00AF6083"/>
    <w:rsid w:val="00AF6611"/>
    <w:rsid w:val="00AF6839"/>
    <w:rsid w:val="00AF6AC9"/>
    <w:rsid w:val="00AF6CA4"/>
    <w:rsid w:val="00AF7769"/>
    <w:rsid w:val="00AF78EB"/>
    <w:rsid w:val="00B0004C"/>
    <w:rsid w:val="00B00390"/>
    <w:rsid w:val="00B0070E"/>
    <w:rsid w:val="00B01134"/>
    <w:rsid w:val="00B01222"/>
    <w:rsid w:val="00B0161D"/>
    <w:rsid w:val="00B01A6C"/>
    <w:rsid w:val="00B023B9"/>
    <w:rsid w:val="00B02409"/>
    <w:rsid w:val="00B03BDF"/>
    <w:rsid w:val="00B03EE0"/>
    <w:rsid w:val="00B043C5"/>
    <w:rsid w:val="00B0485F"/>
    <w:rsid w:val="00B04D92"/>
    <w:rsid w:val="00B04E85"/>
    <w:rsid w:val="00B05790"/>
    <w:rsid w:val="00B05C5D"/>
    <w:rsid w:val="00B0603D"/>
    <w:rsid w:val="00B067B5"/>
    <w:rsid w:val="00B068A9"/>
    <w:rsid w:val="00B06FEB"/>
    <w:rsid w:val="00B07910"/>
    <w:rsid w:val="00B104AB"/>
    <w:rsid w:val="00B10558"/>
    <w:rsid w:val="00B10662"/>
    <w:rsid w:val="00B106C9"/>
    <w:rsid w:val="00B1077E"/>
    <w:rsid w:val="00B10F19"/>
    <w:rsid w:val="00B113E7"/>
    <w:rsid w:val="00B11527"/>
    <w:rsid w:val="00B11EC9"/>
    <w:rsid w:val="00B12193"/>
    <w:rsid w:val="00B1240D"/>
    <w:rsid w:val="00B12FE1"/>
    <w:rsid w:val="00B13127"/>
    <w:rsid w:val="00B131BA"/>
    <w:rsid w:val="00B13743"/>
    <w:rsid w:val="00B13B52"/>
    <w:rsid w:val="00B13CF9"/>
    <w:rsid w:val="00B13D0D"/>
    <w:rsid w:val="00B149EC"/>
    <w:rsid w:val="00B1556A"/>
    <w:rsid w:val="00B158B1"/>
    <w:rsid w:val="00B158C7"/>
    <w:rsid w:val="00B15E81"/>
    <w:rsid w:val="00B163A0"/>
    <w:rsid w:val="00B17502"/>
    <w:rsid w:val="00B17A74"/>
    <w:rsid w:val="00B17AD8"/>
    <w:rsid w:val="00B17D13"/>
    <w:rsid w:val="00B2094F"/>
    <w:rsid w:val="00B20F48"/>
    <w:rsid w:val="00B21F60"/>
    <w:rsid w:val="00B2236D"/>
    <w:rsid w:val="00B22B54"/>
    <w:rsid w:val="00B22D10"/>
    <w:rsid w:val="00B2309F"/>
    <w:rsid w:val="00B2333B"/>
    <w:rsid w:val="00B236AD"/>
    <w:rsid w:val="00B23BFB"/>
    <w:rsid w:val="00B2443C"/>
    <w:rsid w:val="00B24673"/>
    <w:rsid w:val="00B25156"/>
    <w:rsid w:val="00B252AF"/>
    <w:rsid w:val="00B25CED"/>
    <w:rsid w:val="00B25D32"/>
    <w:rsid w:val="00B25EE5"/>
    <w:rsid w:val="00B266E3"/>
    <w:rsid w:val="00B2721D"/>
    <w:rsid w:val="00B2761E"/>
    <w:rsid w:val="00B2781C"/>
    <w:rsid w:val="00B27C54"/>
    <w:rsid w:val="00B27E04"/>
    <w:rsid w:val="00B3000C"/>
    <w:rsid w:val="00B306BA"/>
    <w:rsid w:val="00B30C24"/>
    <w:rsid w:val="00B31855"/>
    <w:rsid w:val="00B31B2F"/>
    <w:rsid w:val="00B31F70"/>
    <w:rsid w:val="00B32EDD"/>
    <w:rsid w:val="00B33032"/>
    <w:rsid w:val="00B343E5"/>
    <w:rsid w:val="00B344C9"/>
    <w:rsid w:val="00B351E2"/>
    <w:rsid w:val="00B354B3"/>
    <w:rsid w:val="00B36303"/>
    <w:rsid w:val="00B363C4"/>
    <w:rsid w:val="00B36553"/>
    <w:rsid w:val="00B37C14"/>
    <w:rsid w:val="00B40152"/>
    <w:rsid w:val="00B4057C"/>
    <w:rsid w:val="00B410AB"/>
    <w:rsid w:val="00B411AC"/>
    <w:rsid w:val="00B4134F"/>
    <w:rsid w:val="00B41B82"/>
    <w:rsid w:val="00B41C18"/>
    <w:rsid w:val="00B41E4F"/>
    <w:rsid w:val="00B42446"/>
    <w:rsid w:val="00B42762"/>
    <w:rsid w:val="00B4315F"/>
    <w:rsid w:val="00B4322E"/>
    <w:rsid w:val="00B43AB4"/>
    <w:rsid w:val="00B44791"/>
    <w:rsid w:val="00B449CA"/>
    <w:rsid w:val="00B4673C"/>
    <w:rsid w:val="00B467BC"/>
    <w:rsid w:val="00B475FB"/>
    <w:rsid w:val="00B47785"/>
    <w:rsid w:val="00B47B93"/>
    <w:rsid w:val="00B500F3"/>
    <w:rsid w:val="00B505E6"/>
    <w:rsid w:val="00B50748"/>
    <w:rsid w:val="00B53672"/>
    <w:rsid w:val="00B538B2"/>
    <w:rsid w:val="00B540AB"/>
    <w:rsid w:val="00B545E1"/>
    <w:rsid w:val="00B5513A"/>
    <w:rsid w:val="00B559E6"/>
    <w:rsid w:val="00B55B34"/>
    <w:rsid w:val="00B55F66"/>
    <w:rsid w:val="00B562A0"/>
    <w:rsid w:val="00B562E3"/>
    <w:rsid w:val="00B567E5"/>
    <w:rsid w:val="00B56DEB"/>
    <w:rsid w:val="00B5749C"/>
    <w:rsid w:val="00B5779B"/>
    <w:rsid w:val="00B579E2"/>
    <w:rsid w:val="00B57EE8"/>
    <w:rsid w:val="00B601EB"/>
    <w:rsid w:val="00B61DDA"/>
    <w:rsid w:val="00B6200E"/>
    <w:rsid w:val="00B6258A"/>
    <w:rsid w:val="00B62D60"/>
    <w:rsid w:val="00B62EB2"/>
    <w:rsid w:val="00B62F11"/>
    <w:rsid w:val="00B633E8"/>
    <w:rsid w:val="00B6355B"/>
    <w:rsid w:val="00B639E3"/>
    <w:rsid w:val="00B63D5D"/>
    <w:rsid w:val="00B63FA1"/>
    <w:rsid w:val="00B64009"/>
    <w:rsid w:val="00B644E1"/>
    <w:rsid w:val="00B646B8"/>
    <w:rsid w:val="00B64D52"/>
    <w:rsid w:val="00B6514A"/>
    <w:rsid w:val="00B6548F"/>
    <w:rsid w:val="00B66472"/>
    <w:rsid w:val="00B664A7"/>
    <w:rsid w:val="00B66BAB"/>
    <w:rsid w:val="00B727C3"/>
    <w:rsid w:val="00B72E5B"/>
    <w:rsid w:val="00B73CA7"/>
    <w:rsid w:val="00B73E12"/>
    <w:rsid w:val="00B73F97"/>
    <w:rsid w:val="00B749FF"/>
    <w:rsid w:val="00B74D63"/>
    <w:rsid w:val="00B753ED"/>
    <w:rsid w:val="00B76DA3"/>
    <w:rsid w:val="00B76F4C"/>
    <w:rsid w:val="00B771C5"/>
    <w:rsid w:val="00B77453"/>
    <w:rsid w:val="00B7754B"/>
    <w:rsid w:val="00B778E4"/>
    <w:rsid w:val="00B77B6F"/>
    <w:rsid w:val="00B77CF0"/>
    <w:rsid w:val="00B77D89"/>
    <w:rsid w:val="00B80031"/>
    <w:rsid w:val="00B8030E"/>
    <w:rsid w:val="00B80547"/>
    <w:rsid w:val="00B80FF4"/>
    <w:rsid w:val="00B810BE"/>
    <w:rsid w:val="00B82567"/>
    <w:rsid w:val="00B82CB0"/>
    <w:rsid w:val="00B82DA1"/>
    <w:rsid w:val="00B8349A"/>
    <w:rsid w:val="00B83A24"/>
    <w:rsid w:val="00B83EBC"/>
    <w:rsid w:val="00B84169"/>
    <w:rsid w:val="00B843BC"/>
    <w:rsid w:val="00B844A1"/>
    <w:rsid w:val="00B8683F"/>
    <w:rsid w:val="00B86C5A"/>
    <w:rsid w:val="00B87337"/>
    <w:rsid w:val="00B906C4"/>
    <w:rsid w:val="00B90990"/>
    <w:rsid w:val="00B90D2E"/>
    <w:rsid w:val="00B90F9D"/>
    <w:rsid w:val="00B91016"/>
    <w:rsid w:val="00B91098"/>
    <w:rsid w:val="00B91481"/>
    <w:rsid w:val="00B91881"/>
    <w:rsid w:val="00B931E8"/>
    <w:rsid w:val="00B93E5B"/>
    <w:rsid w:val="00B9473A"/>
    <w:rsid w:val="00B94DED"/>
    <w:rsid w:val="00B94EB1"/>
    <w:rsid w:val="00B9520E"/>
    <w:rsid w:val="00B95339"/>
    <w:rsid w:val="00B95950"/>
    <w:rsid w:val="00B95B5E"/>
    <w:rsid w:val="00B95DE7"/>
    <w:rsid w:val="00B963DF"/>
    <w:rsid w:val="00B97CCF"/>
    <w:rsid w:val="00BA0436"/>
    <w:rsid w:val="00BA065C"/>
    <w:rsid w:val="00BA0941"/>
    <w:rsid w:val="00BA0A8A"/>
    <w:rsid w:val="00BA236B"/>
    <w:rsid w:val="00BA23B8"/>
    <w:rsid w:val="00BA361D"/>
    <w:rsid w:val="00BA3BB2"/>
    <w:rsid w:val="00BA406E"/>
    <w:rsid w:val="00BA4B41"/>
    <w:rsid w:val="00BA4BDC"/>
    <w:rsid w:val="00BA672F"/>
    <w:rsid w:val="00BA69A4"/>
    <w:rsid w:val="00BA7227"/>
    <w:rsid w:val="00BA76F6"/>
    <w:rsid w:val="00BB0E17"/>
    <w:rsid w:val="00BB19AF"/>
    <w:rsid w:val="00BB1B8B"/>
    <w:rsid w:val="00BB2107"/>
    <w:rsid w:val="00BB2402"/>
    <w:rsid w:val="00BB2BAA"/>
    <w:rsid w:val="00BB3546"/>
    <w:rsid w:val="00BB3807"/>
    <w:rsid w:val="00BB3F92"/>
    <w:rsid w:val="00BB45C4"/>
    <w:rsid w:val="00BB47C0"/>
    <w:rsid w:val="00BB4E8D"/>
    <w:rsid w:val="00BB5823"/>
    <w:rsid w:val="00BB5F2D"/>
    <w:rsid w:val="00BB6166"/>
    <w:rsid w:val="00BB6245"/>
    <w:rsid w:val="00BB6BD4"/>
    <w:rsid w:val="00BB6F56"/>
    <w:rsid w:val="00BB705B"/>
    <w:rsid w:val="00BC1062"/>
    <w:rsid w:val="00BC118C"/>
    <w:rsid w:val="00BC170D"/>
    <w:rsid w:val="00BC1E49"/>
    <w:rsid w:val="00BC1F2A"/>
    <w:rsid w:val="00BC24DD"/>
    <w:rsid w:val="00BC2A90"/>
    <w:rsid w:val="00BC2A92"/>
    <w:rsid w:val="00BC300D"/>
    <w:rsid w:val="00BC3B10"/>
    <w:rsid w:val="00BC4282"/>
    <w:rsid w:val="00BC4FB7"/>
    <w:rsid w:val="00BC5003"/>
    <w:rsid w:val="00BC5345"/>
    <w:rsid w:val="00BC5BE1"/>
    <w:rsid w:val="00BC5E05"/>
    <w:rsid w:val="00BC5F4E"/>
    <w:rsid w:val="00BC60F0"/>
    <w:rsid w:val="00BC752B"/>
    <w:rsid w:val="00BC7654"/>
    <w:rsid w:val="00BC7AFC"/>
    <w:rsid w:val="00BD0A41"/>
    <w:rsid w:val="00BD14D3"/>
    <w:rsid w:val="00BD1C55"/>
    <w:rsid w:val="00BD231F"/>
    <w:rsid w:val="00BD32A1"/>
    <w:rsid w:val="00BD33DD"/>
    <w:rsid w:val="00BD3C9D"/>
    <w:rsid w:val="00BD477D"/>
    <w:rsid w:val="00BD4864"/>
    <w:rsid w:val="00BD4AFA"/>
    <w:rsid w:val="00BD4EB1"/>
    <w:rsid w:val="00BD5383"/>
    <w:rsid w:val="00BD57AA"/>
    <w:rsid w:val="00BD5EE3"/>
    <w:rsid w:val="00BD6269"/>
    <w:rsid w:val="00BD6661"/>
    <w:rsid w:val="00BD6683"/>
    <w:rsid w:val="00BD6B22"/>
    <w:rsid w:val="00BD72BC"/>
    <w:rsid w:val="00BD72FE"/>
    <w:rsid w:val="00BE0176"/>
    <w:rsid w:val="00BE083B"/>
    <w:rsid w:val="00BE0E35"/>
    <w:rsid w:val="00BE13AC"/>
    <w:rsid w:val="00BE189E"/>
    <w:rsid w:val="00BE2638"/>
    <w:rsid w:val="00BE356C"/>
    <w:rsid w:val="00BE3732"/>
    <w:rsid w:val="00BE3AF9"/>
    <w:rsid w:val="00BE3BD7"/>
    <w:rsid w:val="00BE483E"/>
    <w:rsid w:val="00BE5B12"/>
    <w:rsid w:val="00BE63A0"/>
    <w:rsid w:val="00BE6DA7"/>
    <w:rsid w:val="00BE7069"/>
    <w:rsid w:val="00BE71DD"/>
    <w:rsid w:val="00BF0186"/>
    <w:rsid w:val="00BF06F4"/>
    <w:rsid w:val="00BF0DA0"/>
    <w:rsid w:val="00BF15D0"/>
    <w:rsid w:val="00BF1F0B"/>
    <w:rsid w:val="00BF20ED"/>
    <w:rsid w:val="00BF2C9D"/>
    <w:rsid w:val="00BF386E"/>
    <w:rsid w:val="00BF3D4D"/>
    <w:rsid w:val="00BF3E80"/>
    <w:rsid w:val="00BF4637"/>
    <w:rsid w:val="00BF4A0D"/>
    <w:rsid w:val="00BF4EB4"/>
    <w:rsid w:val="00BF4ECB"/>
    <w:rsid w:val="00BF53FD"/>
    <w:rsid w:val="00BF600E"/>
    <w:rsid w:val="00BF620E"/>
    <w:rsid w:val="00BF71B0"/>
    <w:rsid w:val="00BF72DE"/>
    <w:rsid w:val="00BF743D"/>
    <w:rsid w:val="00C00DB3"/>
    <w:rsid w:val="00C00E0B"/>
    <w:rsid w:val="00C014B6"/>
    <w:rsid w:val="00C0213F"/>
    <w:rsid w:val="00C02639"/>
    <w:rsid w:val="00C02B8E"/>
    <w:rsid w:val="00C03720"/>
    <w:rsid w:val="00C03A73"/>
    <w:rsid w:val="00C03D6D"/>
    <w:rsid w:val="00C03EF9"/>
    <w:rsid w:val="00C04215"/>
    <w:rsid w:val="00C04565"/>
    <w:rsid w:val="00C04A6D"/>
    <w:rsid w:val="00C04C15"/>
    <w:rsid w:val="00C04DC5"/>
    <w:rsid w:val="00C054D0"/>
    <w:rsid w:val="00C05B9D"/>
    <w:rsid w:val="00C06257"/>
    <w:rsid w:val="00C11755"/>
    <w:rsid w:val="00C11E28"/>
    <w:rsid w:val="00C12AC7"/>
    <w:rsid w:val="00C12B0B"/>
    <w:rsid w:val="00C12CE9"/>
    <w:rsid w:val="00C13383"/>
    <w:rsid w:val="00C13C8B"/>
    <w:rsid w:val="00C1422E"/>
    <w:rsid w:val="00C149B6"/>
    <w:rsid w:val="00C14AB5"/>
    <w:rsid w:val="00C14BFE"/>
    <w:rsid w:val="00C14E0A"/>
    <w:rsid w:val="00C15594"/>
    <w:rsid w:val="00C1729A"/>
    <w:rsid w:val="00C175C3"/>
    <w:rsid w:val="00C17654"/>
    <w:rsid w:val="00C179B8"/>
    <w:rsid w:val="00C2162C"/>
    <w:rsid w:val="00C21863"/>
    <w:rsid w:val="00C21F5D"/>
    <w:rsid w:val="00C22094"/>
    <w:rsid w:val="00C22771"/>
    <w:rsid w:val="00C2289F"/>
    <w:rsid w:val="00C2339D"/>
    <w:rsid w:val="00C23641"/>
    <w:rsid w:val="00C23716"/>
    <w:rsid w:val="00C2383B"/>
    <w:rsid w:val="00C2489C"/>
    <w:rsid w:val="00C24E0F"/>
    <w:rsid w:val="00C25D84"/>
    <w:rsid w:val="00C26B85"/>
    <w:rsid w:val="00C27122"/>
    <w:rsid w:val="00C2758E"/>
    <w:rsid w:val="00C27B84"/>
    <w:rsid w:val="00C3096A"/>
    <w:rsid w:val="00C318D6"/>
    <w:rsid w:val="00C31C6D"/>
    <w:rsid w:val="00C31D4A"/>
    <w:rsid w:val="00C3254E"/>
    <w:rsid w:val="00C327D5"/>
    <w:rsid w:val="00C350A3"/>
    <w:rsid w:val="00C35568"/>
    <w:rsid w:val="00C35658"/>
    <w:rsid w:val="00C356CB"/>
    <w:rsid w:val="00C35CD5"/>
    <w:rsid w:val="00C368B5"/>
    <w:rsid w:val="00C36A9B"/>
    <w:rsid w:val="00C36F02"/>
    <w:rsid w:val="00C37029"/>
    <w:rsid w:val="00C37CB2"/>
    <w:rsid w:val="00C37FB0"/>
    <w:rsid w:val="00C40989"/>
    <w:rsid w:val="00C40E26"/>
    <w:rsid w:val="00C4129B"/>
    <w:rsid w:val="00C419F8"/>
    <w:rsid w:val="00C42A4C"/>
    <w:rsid w:val="00C42D1C"/>
    <w:rsid w:val="00C4363D"/>
    <w:rsid w:val="00C437C1"/>
    <w:rsid w:val="00C44A17"/>
    <w:rsid w:val="00C44A92"/>
    <w:rsid w:val="00C44FBD"/>
    <w:rsid w:val="00C450D2"/>
    <w:rsid w:val="00C45161"/>
    <w:rsid w:val="00C457EA"/>
    <w:rsid w:val="00C45E19"/>
    <w:rsid w:val="00C4729D"/>
    <w:rsid w:val="00C474DA"/>
    <w:rsid w:val="00C505FE"/>
    <w:rsid w:val="00C508E9"/>
    <w:rsid w:val="00C51656"/>
    <w:rsid w:val="00C52173"/>
    <w:rsid w:val="00C52187"/>
    <w:rsid w:val="00C52319"/>
    <w:rsid w:val="00C52784"/>
    <w:rsid w:val="00C53887"/>
    <w:rsid w:val="00C539CB"/>
    <w:rsid w:val="00C53D87"/>
    <w:rsid w:val="00C54894"/>
    <w:rsid w:val="00C558BC"/>
    <w:rsid w:val="00C55959"/>
    <w:rsid w:val="00C5607D"/>
    <w:rsid w:val="00C56088"/>
    <w:rsid w:val="00C56279"/>
    <w:rsid w:val="00C60489"/>
    <w:rsid w:val="00C60521"/>
    <w:rsid w:val="00C606FE"/>
    <w:rsid w:val="00C60B9D"/>
    <w:rsid w:val="00C61AAE"/>
    <w:rsid w:val="00C631AB"/>
    <w:rsid w:val="00C63562"/>
    <w:rsid w:val="00C63781"/>
    <w:rsid w:val="00C640BC"/>
    <w:rsid w:val="00C642F3"/>
    <w:rsid w:val="00C6478B"/>
    <w:rsid w:val="00C648BF"/>
    <w:rsid w:val="00C65A88"/>
    <w:rsid w:val="00C65B1C"/>
    <w:rsid w:val="00C65D54"/>
    <w:rsid w:val="00C65EC4"/>
    <w:rsid w:val="00C66629"/>
    <w:rsid w:val="00C66E85"/>
    <w:rsid w:val="00C6749C"/>
    <w:rsid w:val="00C7020E"/>
    <w:rsid w:val="00C7025D"/>
    <w:rsid w:val="00C70A0C"/>
    <w:rsid w:val="00C70A70"/>
    <w:rsid w:val="00C711EE"/>
    <w:rsid w:val="00C71842"/>
    <w:rsid w:val="00C71937"/>
    <w:rsid w:val="00C719F5"/>
    <w:rsid w:val="00C72448"/>
    <w:rsid w:val="00C7382C"/>
    <w:rsid w:val="00C739A7"/>
    <w:rsid w:val="00C73FDB"/>
    <w:rsid w:val="00C741F1"/>
    <w:rsid w:val="00C74469"/>
    <w:rsid w:val="00C748AC"/>
    <w:rsid w:val="00C74CD7"/>
    <w:rsid w:val="00C74E2A"/>
    <w:rsid w:val="00C75DCE"/>
    <w:rsid w:val="00C75E2F"/>
    <w:rsid w:val="00C76047"/>
    <w:rsid w:val="00C76392"/>
    <w:rsid w:val="00C76F0E"/>
    <w:rsid w:val="00C7736C"/>
    <w:rsid w:val="00C77771"/>
    <w:rsid w:val="00C77BD2"/>
    <w:rsid w:val="00C80A10"/>
    <w:rsid w:val="00C80AD4"/>
    <w:rsid w:val="00C80BFC"/>
    <w:rsid w:val="00C8100B"/>
    <w:rsid w:val="00C815CA"/>
    <w:rsid w:val="00C81630"/>
    <w:rsid w:val="00C8164F"/>
    <w:rsid w:val="00C817C9"/>
    <w:rsid w:val="00C82A52"/>
    <w:rsid w:val="00C83269"/>
    <w:rsid w:val="00C832B2"/>
    <w:rsid w:val="00C83343"/>
    <w:rsid w:val="00C83491"/>
    <w:rsid w:val="00C83777"/>
    <w:rsid w:val="00C83803"/>
    <w:rsid w:val="00C842AC"/>
    <w:rsid w:val="00C843CF"/>
    <w:rsid w:val="00C846F0"/>
    <w:rsid w:val="00C8521A"/>
    <w:rsid w:val="00C85E29"/>
    <w:rsid w:val="00C85FFF"/>
    <w:rsid w:val="00C86433"/>
    <w:rsid w:val="00C866C0"/>
    <w:rsid w:val="00C86BF4"/>
    <w:rsid w:val="00C87039"/>
    <w:rsid w:val="00C871E9"/>
    <w:rsid w:val="00C8731D"/>
    <w:rsid w:val="00C879C9"/>
    <w:rsid w:val="00C87DE7"/>
    <w:rsid w:val="00C902E3"/>
    <w:rsid w:val="00C9087C"/>
    <w:rsid w:val="00C91421"/>
    <w:rsid w:val="00C917E6"/>
    <w:rsid w:val="00C9227F"/>
    <w:rsid w:val="00C923C7"/>
    <w:rsid w:val="00C92428"/>
    <w:rsid w:val="00C924B5"/>
    <w:rsid w:val="00C92681"/>
    <w:rsid w:val="00C92941"/>
    <w:rsid w:val="00C93537"/>
    <w:rsid w:val="00C938E7"/>
    <w:rsid w:val="00C93D73"/>
    <w:rsid w:val="00C94761"/>
    <w:rsid w:val="00C94B34"/>
    <w:rsid w:val="00C95F8A"/>
    <w:rsid w:val="00C96CFC"/>
    <w:rsid w:val="00C97900"/>
    <w:rsid w:val="00C97C0D"/>
    <w:rsid w:val="00CA0268"/>
    <w:rsid w:val="00CA1345"/>
    <w:rsid w:val="00CA1893"/>
    <w:rsid w:val="00CA2198"/>
    <w:rsid w:val="00CA2576"/>
    <w:rsid w:val="00CA2956"/>
    <w:rsid w:val="00CA2BC5"/>
    <w:rsid w:val="00CA2E19"/>
    <w:rsid w:val="00CA2FD2"/>
    <w:rsid w:val="00CA351D"/>
    <w:rsid w:val="00CA3B7C"/>
    <w:rsid w:val="00CA3DE4"/>
    <w:rsid w:val="00CA3E02"/>
    <w:rsid w:val="00CA47CC"/>
    <w:rsid w:val="00CA4F44"/>
    <w:rsid w:val="00CA553E"/>
    <w:rsid w:val="00CA555D"/>
    <w:rsid w:val="00CA5694"/>
    <w:rsid w:val="00CA6080"/>
    <w:rsid w:val="00CA6673"/>
    <w:rsid w:val="00CA68D3"/>
    <w:rsid w:val="00CA698E"/>
    <w:rsid w:val="00CA6CCC"/>
    <w:rsid w:val="00CA768B"/>
    <w:rsid w:val="00CB0129"/>
    <w:rsid w:val="00CB038C"/>
    <w:rsid w:val="00CB19D7"/>
    <w:rsid w:val="00CB2165"/>
    <w:rsid w:val="00CB29BD"/>
    <w:rsid w:val="00CB2A3E"/>
    <w:rsid w:val="00CB2BA0"/>
    <w:rsid w:val="00CB2EA4"/>
    <w:rsid w:val="00CB2F41"/>
    <w:rsid w:val="00CB336B"/>
    <w:rsid w:val="00CB33C2"/>
    <w:rsid w:val="00CB3733"/>
    <w:rsid w:val="00CB44FC"/>
    <w:rsid w:val="00CB4945"/>
    <w:rsid w:val="00CB4C73"/>
    <w:rsid w:val="00CB61E7"/>
    <w:rsid w:val="00CB6866"/>
    <w:rsid w:val="00CB6CBA"/>
    <w:rsid w:val="00CB6D57"/>
    <w:rsid w:val="00CB6F00"/>
    <w:rsid w:val="00CB70F2"/>
    <w:rsid w:val="00CB79D4"/>
    <w:rsid w:val="00CB7EC2"/>
    <w:rsid w:val="00CC04AB"/>
    <w:rsid w:val="00CC0B5C"/>
    <w:rsid w:val="00CC0F20"/>
    <w:rsid w:val="00CC1B05"/>
    <w:rsid w:val="00CC34A5"/>
    <w:rsid w:val="00CC38F6"/>
    <w:rsid w:val="00CC3934"/>
    <w:rsid w:val="00CC3A60"/>
    <w:rsid w:val="00CC3AA7"/>
    <w:rsid w:val="00CC3E3A"/>
    <w:rsid w:val="00CC41E2"/>
    <w:rsid w:val="00CC4406"/>
    <w:rsid w:val="00CC511B"/>
    <w:rsid w:val="00CC5675"/>
    <w:rsid w:val="00CC66F3"/>
    <w:rsid w:val="00CC67C2"/>
    <w:rsid w:val="00CC6FDE"/>
    <w:rsid w:val="00CC7FDD"/>
    <w:rsid w:val="00CD0B87"/>
    <w:rsid w:val="00CD19C2"/>
    <w:rsid w:val="00CD1A1D"/>
    <w:rsid w:val="00CD1E30"/>
    <w:rsid w:val="00CD1E4A"/>
    <w:rsid w:val="00CD22A4"/>
    <w:rsid w:val="00CD22B8"/>
    <w:rsid w:val="00CD235C"/>
    <w:rsid w:val="00CD270C"/>
    <w:rsid w:val="00CD2E22"/>
    <w:rsid w:val="00CD2EEC"/>
    <w:rsid w:val="00CD2FC7"/>
    <w:rsid w:val="00CD3036"/>
    <w:rsid w:val="00CD3E51"/>
    <w:rsid w:val="00CD3FD9"/>
    <w:rsid w:val="00CD4A6F"/>
    <w:rsid w:val="00CD576F"/>
    <w:rsid w:val="00CD5961"/>
    <w:rsid w:val="00CD64C5"/>
    <w:rsid w:val="00CD7B87"/>
    <w:rsid w:val="00CE00EF"/>
    <w:rsid w:val="00CE04E9"/>
    <w:rsid w:val="00CE0CDB"/>
    <w:rsid w:val="00CE0EC8"/>
    <w:rsid w:val="00CE11C1"/>
    <w:rsid w:val="00CE1485"/>
    <w:rsid w:val="00CE156C"/>
    <w:rsid w:val="00CE1945"/>
    <w:rsid w:val="00CE1A24"/>
    <w:rsid w:val="00CE1F57"/>
    <w:rsid w:val="00CE2A8D"/>
    <w:rsid w:val="00CE37DB"/>
    <w:rsid w:val="00CE3A24"/>
    <w:rsid w:val="00CE483E"/>
    <w:rsid w:val="00CE4960"/>
    <w:rsid w:val="00CE5DF2"/>
    <w:rsid w:val="00CE619D"/>
    <w:rsid w:val="00CE6C2E"/>
    <w:rsid w:val="00CE70EC"/>
    <w:rsid w:val="00CE714D"/>
    <w:rsid w:val="00CE7448"/>
    <w:rsid w:val="00CE7704"/>
    <w:rsid w:val="00CE773D"/>
    <w:rsid w:val="00CE7A21"/>
    <w:rsid w:val="00CE7C04"/>
    <w:rsid w:val="00CE7C93"/>
    <w:rsid w:val="00CF044E"/>
    <w:rsid w:val="00CF0A48"/>
    <w:rsid w:val="00CF1823"/>
    <w:rsid w:val="00CF1E31"/>
    <w:rsid w:val="00CF227A"/>
    <w:rsid w:val="00CF2CC7"/>
    <w:rsid w:val="00CF3096"/>
    <w:rsid w:val="00CF4135"/>
    <w:rsid w:val="00CF535E"/>
    <w:rsid w:val="00CF5623"/>
    <w:rsid w:val="00CF6FFA"/>
    <w:rsid w:val="00CF79E4"/>
    <w:rsid w:val="00CF7BE0"/>
    <w:rsid w:val="00CF7EA8"/>
    <w:rsid w:val="00D0008A"/>
    <w:rsid w:val="00D00811"/>
    <w:rsid w:val="00D00EDF"/>
    <w:rsid w:val="00D012A0"/>
    <w:rsid w:val="00D01424"/>
    <w:rsid w:val="00D01B47"/>
    <w:rsid w:val="00D02239"/>
    <w:rsid w:val="00D03753"/>
    <w:rsid w:val="00D03C38"/>
    <w:rsid w:val="00D03C3D"/>
    <w:rsid w:val="00D03CDA"/>
    <w:rsid w:val="00D03FE4"/>
    <w:rsid w:val="00D041EC"/>
    <w:rsid w:val="00D047C2"/>
    <w:rsid w:val="00D04D64"/>
    <w:rsid w:val="00D050A9"/>
    <w:rsid w:val="00D05E53"/>
    <w:rsid w:val="00D0665B"/>
    <w:rsid w:val="00D0705F"/>
    <w:rsid w:val="00D074AD"/>
    <w:rsid w:val="00D104A5"/>
    <w:rsid w:val="00D10693"/>
    <w:rsid w:val="00D10B90"/>
    <w:rsid w:val="00D115C0"/>
    <w:rsid w:val="00D11D1D"/>
    <w:rsid w:val="00D11E1C"/>
    <w:rsid w:val="00D123C9"/>
    <w:rsid w:val="00D12BAD"/>
    <w:rsid w:val="00D1326E"/>
    <w:rsid w:val="00D1350B"/>
    <w:rsid w:val="00D146B2"/>
    <w:rsid w:val="00D154D9"/>
    <w:rsid w:val="00D17662"/>
    <w:rsid w:val="00D177C1"/>
    <w:rsid w:val="00D17C6A"/>
    <w:rsid w:val="00D1EFFC"/>
    <w:rsid w:val="00D2016C"/>
    <w:rsid w:val="00D2090D"/>
    <w:rsid w:val="00D20DF7"/>
    <w:rsid w:val="00D20E69"/>
    <w:rsid w:val="00D211F4"/>
    <w:rsid w:val="00D21ECF"/>
    <w:rsid w:val="00D2228D"/>
    <w:rsid w:val="00D22610"/>
    <w:rsid w:val="00D22A0D"/>
    <w:rsid w:val="00D22E37"/>
    <w:rsid w:val="00D232AE"/>
    <w:rsid w:val="00D2343F"/>
    <w:rsid w:val="00D235EC"/>
    <w:rsid w:val="00D2488C"/>
    <w:rsid w:val="00D249FA"/>
    <w:rsid w:val="00D254CC"/>
    <w:rsid w:val="00D25707"/>
    <w:rsid w:val="00D25B70"/>
    <w:rsid w:val="00D2663C"/>
    <w:rsid w:val="00D26B24"/>
    <w:rsid w:val="00D26FAD"/>
    <w:rsid w:val="00D27E5A"/>
    <w:rsid w:val="00D30EDB"/>
    <w:rsid w:val="00D30EF8"/>
    <w:rsid w:val="00D31B50"/>
    <w:rsid w:val="00D31E2D"/>
    <w:rsid w:val="00D326E6"/>
    <w:rsid w:val="00D32932"/>
    <w:rsid w:val="00D35485"/>
    <w:rsid w:val="00D35D99"/>
    <w:rsid w:val="00D36257"/>
    <w:rsid w:val="00D36C18"/>
    <w:rsid w:val="00D36D34"/>
    <w:rsid w:val="00D36D7E"/>
    <w:rsid w:val="00D36EB6"/>
    <w:rsid w:val="00D37606"/>
    <w:rsid w:val="00D4036F"/>
    <w:rsid w:val="00D41212"/>
    <w:rsid w:val="00D41C32"/>
    <w:rsid w:val="00D41F75"/>
    <w:rsid w:val="00D4264A"/>
    <w:rsid w:val="00D4271F"/>
    <w:rsid w:val="00D4375E"/>
    <w:rsid w:val="00D43BAF"/>
    <w:rsid w:val="00D43DED"/>
    <w:rsid w:val="00D445C0"/>
    <w:rsid w:val="00D44C45"/>
    <w:rsid w:val="00D452C0"/>
    <w:rsid w:val="00D457EA"/>
    <w:rsid w:val="00D459D3"/>
    <w:rsid w:val="00D45BE4"/>
    <w:rsid w:val="00D45E45"/>
    <w:rsid w:val="00D45F30"/>
    <w:rsid w:val="00D46355"/>
    <w:rsid w:val="00D463C4"/>
    <w:rsid w:val="00D466A4"/>
    <w:rsid w:val="00D46A62"/>
    <w:rsid w:val="00D46DDB"/>
    <w:rsid w:val="00D473F1"/>
    <w:rsid w:val="00D476EF"/>
    <w:rsid w:val="00D479A9"/>
    <w:rsid w:val="00D5117C"/>
    <w:rsid w:val="00D52260"/>
    <w:rsid w:val="00D522C4"/>
    <w:rsid w:val="00D52406"/>
    <w:rsid w:val="00D52EDD"/>
    <w:rsid w:val="00D53796"/>
    <w:rsid w:val="00D53D8A"/>
    <w:rsid w:val="00D545B0"/>
    <w:rsid w:val="00D54BF6"/>
    <w:rsid w:val="00D54DC8"/>
    <w:rsid w:val="00D55A46"/>
    <w:rsid w:val="00D55C50"/>
    <w:rsid w:val="00D56558"/>
    <w:rsid w:val="00D5672F"/>
    <w:rsid w:val="00D56EFE"/>
    <w:rsid w:val="00D56F12"/>
    <w:rsid w:val="00D57256"/>
    <w:rsid w:val="00D57B25"/>
    <w:rsid w:val="00D60BF2"/>
    <w:rsid w:val="00D610B0"/>
    <w:rsid w:val="00D610DE"/>
    <w:rsid w:val="00D6113B"/>
    <w:rsid w:val="00D613D5"/>
    <w:rsid w:val="00D615D3"/>
    <w:rsid w:val="00D61745"/>
    <w:rsid w:val="00D61770"/>
    <w:rsid w:val="00D6179F"/>
    <w:rsid w:val="00D617D8"/>
    <w:rsid w:val="00D6198F"/>
    <w:rsid w:val="00D6219A"/>
    <w:rsid w:val="00D6239F"/>
    <w:rsid w:val="00D626E5"/>
    <w:rsid w:val="00D62CD5"/>
    <w:rsid w:val="00D62EA8"/>
    <w:rsid w:val="00D631A1"/>
    <w:rsid w:val="00D6348B"/>
    <w:rsid w:val="00D63BEE"/>
    <w:rsid w:val="00D63D43"/>
    <w:rsid w:val="00D63FD3"/>
    <w:rsid w:val="00D647FF"/>
    <w:rsid w:val="00D64858"/>
    <w:rsid w:val="00D6527C"/>
    <w:rsid w:val="00D65D0A"/>
    <w:rsid w:val="00D65F49"/>
    <w:rsid w:val="00D66241"/>
    <w:rsid w:val="00D66B8F"/>
    <w:rsid w:val="00D66BF4"/>
    <w:rsid w:val="00D671CC"/>
    <w:rsid w:val="00D675B9"/>
    <w:rsid w:val="00D70351"/>
    <w:rsid w:val="00D71022"/>
    <w:rsid w:val="00D71128"/>
    <w:rsid w:val="00D714ED"/>
    <w:rsid w:val="00D71CB0"/>
    <w:rsid w:val="00D72E01"/>
    <w:rsid w:val="00D73ACE"/>
    <w:rsid w:val="00D73B73"/>
    <w:rsid w:val="00D74B36"/>
    <w:rsid w:val="00D75339"/>
    <w:rsid w:val="00D7549B"/>
    <w:rsid w:val="00D75BFF"/>
    <w:rsid w:val="00D75C85"/>
    <w:rsid w:val="00D75DC4"/>
    <w:rsid w:val="00D76101"/>
    <w:rsid w:val="00D773E4"/>
    <w:rsid w:val="00D7766B"/>
    <w:rsid w:val="00D776F0"/>
    <w:rsid w:val="00D804A2"/>
    <w:rsid w:val="00D806AD"/>
    <w:rsid w:val="00D80CC6"/>
    <w:rsid w:val="00D81025"/>
    <w:rsid w:val="00D813EB"/>
    <w:rsid w:val="00D819D8"/>
    <w:rsid w:val="00D82CE2"/>
    <w:rsid w:val="00D8418F"/>
    <w:rsid w:val="00D8450C"/>
    <w:rsid w:val="00D84873"/>
    <w:rsid w:val="00D84B7F"/>
    <w:rsid w:val="00D85594"/>
    <w:rsid w:val="00D859DA"/>
    <w:rsid w:val="00D85C60"/>
    <w:rsid w:val="00D85C84"/>
    <w:rsid w:val="00D85DDD"/>
    <w:rsid w:val="00D862BC"/>
    <w:rsid w:val="00D86497"/>
    <w:rsid w:val="00D864A1"/>
    <w:rsid w:val="00D86A73"/>
    <w:rsid w:val="00D86C19"/>
    <w:rsid w:val="00D8725B"/>
    <w:rsid w:val="00D901A9"/>
    <w:rsid w:val="00D908E4"/>
    <w:rsid w:val="00D9186A"/>
    <w:rsid w:val="00D9194F"/>
    <w:rsid w:val="00D91B2A"/>
    <w:rsid w:val="00D91DFC"/>
    <w:rsid w:val="00D92CDF"/>
    <w:rsid w:val="00D92DE4"/>
    <w:rsid w:val="00D932A2"/>
    <w:rsid w:val="00D93655"/>
    <w:rsid w:val="00D93F61"/>
    <w:rsid w:val="00D94D1B"/>
    <w:rsid w:val="00D95B12"/>
    <w:rsid w:val="00D95CF3"/>
    <w:rsid w:val="00D95F4A"/>
    <w:rsid w:val="00D96600"/>
    <w:rsid w:val="00D97F66"/>
    <w:rsid w:val="00DA02A0"/>
    <w:rsid w:val="00DA06F5"/>
    <w:rsid w:val="00DA106F"/>
    <w:rsid w:val="00DA197D"/>
    <w:rsid w:val="00DA1A75"/>
    <w:rsid w:val="00DA1F1D"/>
    <w:rsid w:val="00DA2039"/>
    <w:rsid w:val="00DA3E81"/>
    <w:rsid w:val="00DA4DED"/>
    <w:rsid w:val="00DA54D3"/>
    <w:rsid w:val="00DA65F4"/>
    <w:rsid w:val="00DA6698"/>
    <w:rsid w:val="00DA698A"/>
    <w:rsid w:val="00DA74E4"/>
    <w:rsid w:val="00DA78F5"/>
    <w:rsid w:val="00DA7FCF"/>
    <w:rsid w:val="00DB02D6"/>
    <w:rsid w:val="00DB0558"/>
    <w:rsid w:val="00DB06CC"/>
    <w:rsid w:val="00DB0B8D"/>
    <w:rsid w:val="00DB1594"/>
    <w:rsid w:val="00DB233C"/>
    <w:rsid w:val="00DB26F1"/>
    <w:rsid w:val="00DB2861"/>
    <w:rsid w:val="00DB2C84"/>
    <w:rsid w:val="00DB3749"/>
    <w:rsid w:val="00DB3875"/>
    <w:rsid w:val="00DB3D44"/>
    <w:rsid w:val="00DB42C9"/>
    <w:rsid w:val="00DB4CDA"/>
    <w:rsid w:val="00DB5A32"/>
    <w:rsid w:val="00DB6337"/>
    <w:rsid w:val="00DB6ABF"/>
    <w:rsid w:val="00DB6AED"/>
    <w:rsid w:val="00DB7C1F"/>
    <w:rsid w:val="00DB7D66"/>
    <w:rsid w:val="00DC0198"/>
    <w:rsid w:val="00DC033C"/>
    <w:rsid w:val="00DC0343"/>
    <w:rsid w:val="00DC0B35"/>
    <w:rsid w:val="00DC1088"/>
    <w:rsid w:val="00DC12AC"/>
    <w:rsid w:val="00DC28D7"/>
    <w:rsid w:val="00DC2F8F"/>
    <w:rsid w:val="00DC3330"/>
    <w:rsid w:val="00DC353A"/>
    <w:rsid w:val="00DC37BF"/>
    <w:rsid w:val="00DC3E45"/>
    <w:rsid w:val="00DC415E"/>
    <w:rsid w:val="00DC4380"/>
    <w:rsid w:val="00DC49CC"/>
    <w:rsid w:val="00DC526E"/>
    <w:rsid w:val="00DC5545"/>
    <w:rsid w:val="00DC5DEB"/>
    <w:rsid w:val="00DC6CD7"/>
    <w:rsid w:val="00DC6DBA"/>
    <w:rsid w:val="00DC722B"/>
    <w:rsid w:val="00DC72FC"/>
    <w:rsid w:val="00DC761F"/>
    <w:rsid w:val="00DC7C75"/>
    <w:rsid w:val="00DD0469"/>
    <w:rsid w:val="00DD1A4F"/>
    <w:rsid w:val="00DD1EA4"/>
    <w:rsid w:val="00DD2243"/>
    <w:rsid w:val="00DD2A8B"/>
    <w:rsid w:val="00DD33C7"/>
    <w:rsid w:val="00DD351D"/>
    <w:rsid w:val="00DD3B74"/>
    <w:rsid w:val="00DD46AB"/>
    <w:rsid w:val="00DD5811"/>
    <w:rsid w:val="00DD5D44"/>
    <w:rsid w:val="00DD5F39"/>
    <w:rsid w:val="00DD63CB"/>
    <w:rsid w:val="00DD6A74"/>
    <w:rsid w:val="00DD71CF"/>
    <w:rsid w:val="00DD7D5D"/>
    <w:rsid w:val="00DE0267"/>
    <w:rsid w:val="00DE0943"/>
    <w:rsid w:val="00DE0A18"/>
    <w:rsid w:val="00DE0AC8"/>
    <w:rsid w:val="00DE0C7C"/>
    <w:rsid w:val="00DE10B7"/>
    <w:rsid w:val="00DE15A9"/>
    <w:rsid w:val="00DE1DA9"/>
    <w:rsid w:val="00DE2409"/>
    <w:rsid w:val="00DE2428"/>
    <w:rsid w:val="00DE29A4"/>
    <w:rsid w:val="00DE2CE2"/>
    <w:rsid w:val="00DE31E7"/>
    <w:rsid w:val="00DE37F8"/>
    <w:rsid w:val="00DE4769"/>
    <w:rsid w:val="00DE4B26"/>
    <w:rsid w:val="00DE57B1"/>
    <w:rsid w:val="00DE57FC"/>
    <w:rsid w:val="00DE5839"/>
    <w:rsid w:val="00DE7137"/>
    <w:rsid w:val="00DE7FD9"/>
    <w:rsid w:val="00DF00AB"/>
    <w:rsid w:val="00DF0444"/>
    <w:rsid w:val="00DF04D6"/>
    <w:rsid w:val="00DF0DE0"/>
    <w:rsid w:val="00DF17CF"/>
    <w:rsid w:val="00DF1E0E"/>
    <w:rsid w:val="00DF252E"/>
    <w:rsid w:val="00DF2589"/>
    <w:rsid w:val="00DF30C3"/>
    <w:rsid w:val="00DF3F26"/>
    <w:rsid w:val="00DF4BE9"/>
    <w:rsid w:val="00DF555F"/>
    <w:rsid w:val="00DF5626"/>
    <w:rsid w:val="00DF5D2A"/>
    <w:rsid w:val="00DF5D83"/>
    <w:rsid w:val="00DF5E29"/>
    <w:rsid w:val="00DF71C6"/>
    <w:rsid w:val="00DF7377"/>
    <w:rsid w:val="00DF7461"/>
    <w:rsid w:val="00DF7781"/>
    <w:rsid w:val="00DF7D4D"/>
    <w:rsid w:val="00E0014A"/>
    <w:rsid w:val="00E002D0"/>
    <w:rsid w:val="00E01087"/>
    <w:rsid w:val="00E02035"/>
    <w:rsid w:val="00E023F3"/>
    <w:rsid w:val="00E02472"/>
    <w:rsid w:val="00E02549"/>
    <w:rsid w:val="00E027CF"/>
    <w:rsid w:val="00E02890"/>
    <w:rsid w:val="00E0301C"/>
    <w:rsid w:val="00E038CC"/>
    <w:rsid w:val="00E045F4"/>
    <w:rsid w:val="00E0486B"/>
    <w:rsid w:val="00E04A45"/>
    <w:rsid w:val="00E05694"/>
    <w:rsid w:val="00E05F2F"/>
    <w:rsid w:val="00E063A8"/>
    <w:rsid w:val="00E0668E"/>
    <w:rsid w:val="00E06BD9"/>
    <w:rsid w:val="00E073AB"/>
    <w:rsid w:val="00E10748"/>
    <w:rsid w:val="00E11611"/>
    <w:rsid w:val="00E12264"/>
    <w:rsid w:val="00E12578"/>
    <w:rsid w:val="00E128CD"/>
    <w:rsid w:val="00E12DE1"/>
    <w:rsid w:val="00E13BC7"/>
    <w:rsid w:val="00E13FA7"/>
    <w:rsid w:val="00E14D63"/>
    <w:rsid w:val="00E15DDA"/>
    <w:rsid w:val="00E15DFB"/>
    <w:rsid w:val="00E15F20"/>
    <w:rsid w:val="00E16083"/>
    <w:rsid w:val="00E16351"/>
    <w:rsid w:val="00E171F8"/>
    <w:rsid w:val="00E17214"/>
    <w:rsid w:val="00E1789C"/>
    <w:rsid w:val="00E17A60"/>
    <w:rsid w:val="00E17AF1"/>
    <w:rsid w:val="00E20068"/>
    <w:rsid w:val="00E2095F"/>
    <w:rsid w:val="00E20C40"/>
    <w:rsid w:val="00E20DC2"/>
    <w:rsid w:val="00E21447"/>
    <w:rsid w:val="00E2222C"/>
    <w:rsid w:val="00E222E2"/>
    <w:rsid w:val="00E224E1"/>
    <w:rsid w:val="00E2279F"/>
    <w:rsid w:val="00E22ABE"/>
    <w:rsid w:val="00E232B4"/>
    <w:rsid w:val="00E23713"/>
    <w:rsid w:val="00E23A22"/>
    <w:rsid w:val="00E241FF"/>
    <w:rsid w:val="00E2503A"/>
    <w:rsid w:val="00E25600"/>
    <w:rsid w:val="00E25814"/>
    <w:rsid w:val="00E2587F"/>
    <w:rsid w:val="00E25AC4"/>
    <w:rsid w:val="00E25FA2"/>
    <w:rsid w:val="00E261BE"/>
    <w:rsid w:val="00E26353"/>
    <w:rsid w:val="00E27C12"/>
    <w:rsid w:val="00E27F20"/>
    <w:rsid w:val="00E30079"/>
    <w:rsid w:val="00E300C1"/>
    <w:rsid w:val="00E31029"/>
    <w:rsid w:val="00E3128F"/>
    <w:rsid w:val="00E31BED"/>
    <w:rsid w:val="00E32C08"/>
    <w:rsid w:val="00E32C3D"/>
    <w:rsid w:val="00E32E9F"/>
    <w:rsid w:val="00E3390E"/>
    <w:rsid w:val="00E33B72"/>
    <w:rsid w:val="00E33D02"/>
    <w:rsid w:val="00E33FAC"/>
    <w:rsid w:val="00E3403B"/>
    <w:rsid w:val="00E37E06"/>
    <w:rsid w:val="00E40A05"/>
    <w:rsid w:val="00E40AA6"/>
    <w:rsid w:val="00E4115E"/>
    <w:rsid w:val="00E41BB3"/>
    <w:rsid w:val="00E41D0B"/>
    <w:rsid w:val="00E4208C"/>
    <w:rsid w:val="00E42326"/>
    <w:rsid w:val="00E4237D"/>
    <w:rsid w:val="00E426DF"/>
    <w:rsid w:val="00E43EFC"/>
    <w:rsid w:val="00E4424A"/>
    <w:rsid w:val="00E44563"/>
    <w:rsid w:val="00E457EA"/>
    <w:rsid w:val="00E4610E"/>
    <w:rsid w:val="00E46572"/>
    <w:rsid w:val="00E469BE"/>
    <w:rsid w:val="00E46B49"/>
    <w:rsid w:val="00E46D38"/>
    <w:rsid w:val="00E47DF8"/>
    <w:rsid w:val="00E5037E"/>
    <w:rsid w:val="00E51A48"/>
    <w:rsid w:val="00E5228C"/>
    <w:rsid w:val="00E52635"/>
    <w:rsid w:val="00E52C23"/>
    <w:rsid w:val="00E52E54"/>
    <w:rsid w:val="00E5382D"/>
    <w:rsid w:val="00E53E13"/>
    <w:rsid w:val="00E542E9"/>
    <w:rsid w:val="00E54904"/>
    <w:rsid w:val="00E55A41"/>
    <w:rsid w:val="00E565A1"/>
    <w:rsid w:val="00E5676E"/>
    <w:rsid w:val="00E56CBA"/>
    <w:rsid w:val="00E61551"/>
    <w:rsid w:val="00E62147"/>
    <w:rsid w:val="00E621A1"/>
    <w:rsid w:val="00E62467"/>
    <w:rsid w:val="00E62645"/>
    <w:rsid w:val="00E6279C"/>
    <w:rsid w:val="00E629AF"/>
    <w:rsid w:val="00E65093"/>
    <w:rsid w:val="00E6510E"/>
    <w:rsid w:val="00E654E9"/>
    <w:rsid w:val="00E65B8C"/>
    <w:rsid w:val="00E65EE4"/>
    <w:rsid w:val="00E65F42"/>
    <w:rsid w:val="00E664CF"/>
    <w:rsid w:val="00E66631"/>
    <w:rsid w:val="00E66B1A"/>
    <w:rsid w:val="00E67227"/>
    <w:rsid w:val="00E676A1"/>
    <w:rsid w:val="00E676F7"/>
    <w:rsid w:val="00E6780B"/>
    <w:rsid w:val="00E67923"/>
    <w:rsid w:val="00E67FB3"/>
    <w:rsid w:val="00E70233"/>
    <w:rsid w:val="00E71004"/>
    <w:rsid w:val="00E712C6"/>
    <w:rsid w:val="00E714A8"/>
    <w:rsid w:val="00E729FC"/>
    <w:rsid w:val="00E72A6F"/>
    <w:rsid w:val="00E73848"/>
    <w:rsid w:val="00E73C30"/>
    <w:rsid w:val="00E73E78"/>
    <w:rsid w:val="00E74A0D"/>
    <w:rsid w:val="00E75935"/>
    <w:rsid w:val="00E764A3"/>
    <w:rsid w:val="00E76ACE"/>
    <w:rsid w:val="00E76E48"/>
    <w:rsid w:val="00E76E63"/>
    <w:rsid w:val="00E76F97"/>
    <w:rsid w:val="00E778F8"/>
    <w:rsid w:val="00E77E11"/>
    <w:rsid w:val="00E80B78"/>
    <w:rsid w:val="00E8227D"/>
    <w:rsid w:val="00E828A4"/>
    <w:rsid w:val="00E831D1"/>
    <w:rsid w:val="00E834A6"/>
    <w:rsid w:val="00E835B3"/>
    <w:rsid w:val="00E83BEB"/>
    <w:rsid w:val="00E83D2A"/>
    <w:rsid w:val="00E84442"/>
    <w:rsid w:val="00E84D83"/>
    <w:rsid w:val="00E84F5F"/>
    <w:rsid w:val="00E86223"/>
    <w:rsid w:val="00E86B43"/>
    <w:rsid w:val="00E86C7E"/>
    <w:rsid w:val="00E870A5"/>
    <w:rsid w:val="00E904A1"/>
    <w:rsid w:val="00E90A32"/>
    <w:rsid w:val="00E90EB4"/>
    <w:rsid w:val="00E9111B"/>
    <w:rsid w:val="00E91299"/>
    <w:rsid w:val="00E92E71"/>
    <w:rsid w:val="00E92F9F"/>
    <w:rsid w:val="00E9333D"/>
    <w:rsid w:val="00E93AFD"/>
    <w:rsid w:val="00E94736"/>
    <w:rsid w:val="00E95064"/>
    <w:rsid w:val="00E95656"/>
    <w:rsid w:val="00E956B3"/>
    <w:rsid w:val="00E95BEC"/>
    <w:rsid w:val="00E95EA0"/>
    <w:rsid w:val="00E967CB"/>
    <w:rsid w:val="00E96BDF"/>
    <w:rsid w:val="00E9706C"/>
    <w:rsid w:val="00E97447"/>
    <w:rsid w:val="00E97680"/>
    <w:rsid w:val="00E97785"/>
    <w:rsid w:val="00E97882"/>
    <w:rsid w:val="00E97C35"/>
    <w:rsid w:val="00E97F30"/>
    <w:rsid w:val="00EA0351"/>
    <w:rsid w:val="00EA0507"/>
    <w:rsid w:val="00EA1624"/>
    <w:rsid w:val="00EA1699"/>
    <w:rsid w:val="00EA176D"/>
    <w:rsid w:val="00EA1AB3"/>
    <w:rsid w:val="00EA266A"/>
    <w:rsid w:val="00EA2B74"/>
    <w:rsid w:val="00EA44A6"/>
    <w:rsid w:val="00EA49EC"/>
    <w:rsid w:val="00EA5515"/>
    <w:rsid w:val="00EA57C5"/>
    <w:rsid w:val="00EA5C7B"/>
    <w:rsid w:val="00EA63FB"/>
    <w:rsid w:val="00EA658C"/>
    <w:rsid w:val="00EA77EA"/>
    <w:rsid w:val="00EA7BE8"/>
    <w:rsid w:val="00EA7E2B"/>
    <w:rsid w:val="00EB02BE"/>
    <w:rsid w:val="00EB0A6C"/>
    <w:rsid w:val="00EB0BFB"/>
    <w:rsid w:val="00EB13AE"/>
    <w:rsid w:val="00EB14B4"/>
    <w:rsid w:val="00EB1AB5"/>
    <w:rsid w:val="00EB1C4E"/>
    <w:rsid w:val="00EB1FF5"/>
    <w:rsid w:val="00EB20D3"/>
    <w:rsid w:val="00EB27E0"/>
    <w:rsid w:val="00EB2957"/>
    <w:rsid w:val="00EB2F7F"/>
    <w:rsid w:val="00EB32EB"/>
    <w:rsid w:val="00EB3A26"/>
    <w:rsid w:val="00EB3A8E"/>
    <w:rsid w:val="00EB4146"/>
    <w:rsid w:val="00EB4DE8"/>
    <w:rsid w:val="00EB5187"/>
    <w:rsid w:val="00EB531A"/>
    <w:rsid w:val="00EB55AE"/>
    <w:rsid w:val="00EB5A52"/>
    <w:rsid w:val="00EB5D30"/>
    <w:rsid w:val="00EB5DD7"/>
    <w:rsid w:val="00EB5EFF"/>
    <w:rsid w:val="00EB6127"/>
    <w:rsid w:val="00EB6E30"/>
    <w:rsid w:val="00EB723B"/>
    <w:rsid w:val="00EB73CB"/>
    <w:rsid w:val="00EB7495"/>
    <w:rsid w:val="00EC03AF"/>
    <w:rsid w:val="00EC04D7"/>
    <w:rsid w:val="00EC077D"/>
    <w:rsid w:val="00EC0873"/>
    <w:rsid w:val="00EC0DB5"/>
    <w:rsid w:val="00EC2852"/>
    <w:rsid w:val="00EC30E8"/>
    <w:rsid w:val="00EC3224"/>
    <w:rsid w:val="00EC3EBD"/>
    <w:rsid w:val="00EC4B50"/>
    <w:rsid w:val="00EC4D76"/>
    <w:rsid w:val="00EC5DCB"/>
    <w:rsid w:val="00EC6298"/>
    <w:rsid w:val="00EC6583"/>
    <w:rsid w:val="00EC65B5"/>
    <w:rsid w:val="00EC68FA"/>
    <w:rsid w:val="00EC70EA"/>
    <w:rsid w:val="00EC7787"/>
    <w:rsid w:val="00EC7AEC"/>
    <w:rsid w:val="00ED067F"/>
    <w:rsid w:val="00ED0DC5"/>
    <w:rsid w:val="00ED155B"/>
    <w:rsid w:val="00ED15F8"/>
    <w:rsid w:val="00ED1A7E"/>
    <w:rsid w:val="00ED216E"/>
    <w:rsid w:val="00ED2ABB"/>
    <w:rsid w:val="00ED375D"/>
    <w:rsid w:val="00ED3861"/>
    <w:rsid w:val="00ED38C8"/>
    <w:rsid w:val="00ED3C7F"/>
    <w:rsid w:val="00ED3CFF"/>
    <w:rsid w:val="00ED4235"/>
    <w:rsid w:val="00ED4353"/>
    <w:rsid w:val="00ED45AA"/>
    <w:rsid w:val="00ED462E"/>
    <w:rsid w:val="00ED52FB"/>
    <w:rsid w:val="00ED54CF"/>
    <w:rsid w:val="00ED5B40"/>
    <w:rsid w:val="00ED67C6"/>
    <w:rsid w:val="00ED6C1F"/>
    <w:rsid w:val="00ED7616"/>
    <w:rsid w:val="00ED76F7"/>
    <w:rsid w:val="00ED7AC5"/>
    <w:rsid w:val="00ED7F47"/>
    <w:rsid w:val="00EE03B4"/>
    <w:rsid w:val="00EE078B"/>
    <w:rsid w:val="00EE0D25"/>
    <w:rsid w:val="00EE0FA0"/>
    <w:rsid w:val="00EE1174"/>
    <w:rsid w:val="00EE1971"/>
    <w:rsid w:val="00EE28BC"/>
    <w:rsid w:val="00EE2A5F"/>
    <w:rsid w:val="00EE2EAA"/>
    <w:rsid w:val="00EE3B0A"/>
    <w:rsid w:val="00EE3E31"/>
    <w:rsid w:val="00EE4578"/>
    <w:rsid w:val="00EE4623"/>
    <w:rsid w:val="00EE4678"/>
    <w:rsid w:val="00EE47EE"/>
    <w:rsid w:val="00EE5242"/>
    <w:rsid w:val="00EE56DA"/>
    <w:rsid w:val="00EE57F2"/>
    <w:rsid w:val="00EE5955"/>
    <w:rsid w:val="00EE60AA"/>
    <w:rsid w:val="00EE6752"/>
    <w:rsid w:val="00EE69F4"/>
    <w:rsid w:val="00EE76FD"/>
    <w:rsid w:val="00EE7E6A"/>
    <w:rsid w:val="00EF0590"/>
    <w:rsid w:val="00EF1585"/>
    <w:rsid w:val="00EF1639"/>
    <w:rsid w:val="00EF1C3A"/>
    <w:rsid w:val="00EF2ECA"/>
    <w:rsid w:val="00EF321B"/>
    <w:rsid w:val="00EF341F"/>
    <w:rsid w:val="00EF3935"/>
    <w:rsid w:val="00EF3A09"/>
    <w:rsid w:val="00EF3E53"/>
    <w:rsid w:val="00EF510A"/>
    <w:rsid w:val="00EF5164"/>
    <w:rsid w:val="00EF5954"/>
    <w:rsid w:val="00EF5A60"/>
    <w:rsid w:val="00EF5E59"/>
    <w:rsid w:val="00EF5EBD"/>
    <w:rsid w:val="00EF6143"/>
    <w:rsid w:val="00EF6163"/>
    <w:rsid w:val="00EF655A"/>
    <w:rsid w:val="00EF65F1"/>
    <w:rsid w:val="00EF693E"/>
    <w:rsid w:val="00EF7F55"/>
    <w:rsid w:val="00F00745"/>
    <w:rsid w:val="00F007A0"/>
    <w:rsid w:val="00F00A9C"/>
    <w:rsid w:val="00F00F89"/>
    <w:rsid w:val="00F0122F"/>
    <w:rsid w:val="00F0124F"/>
    <w:rsid w:val="00F017FC"/>
    <w:rsid w:val="00F01A7B"/>
    <w:rsid w:val="00F02864"/>
    <w:rsid w:val="00F03053"/>
    <w:rsid w:val="00F031C7"/>
    <w:rsid w:val="00F03291"/>
    <w:rsid w:val="00F0344E"/>
    <w:rsid w:val="00F0421C"/>
    <w:rsid w:val="00F0442C"/>
    <w:rsid w:val="00F05D08"/>
    <w:rsid w:val="00F06103"/>
    <w:rsid w:val="00F061AC"/>
    <w:rsid w:val="00F07247"/>
    <w:rsid w:val="00F07307"/>
    <w:rsid w:val="00F07ABF"/>
    <w:rsid w:val="00F1054E"/>
    <w:rsid w:val="00F1101C"/>
    <w:rsid w:val="00F11445"/>
    <w:rsid w:val="00F119B0"/>
    <w:rsid w:val="00F11E29"/>
    <w:rsid w:val="00F12074"/>
    <w:rsid w:val="00F12993"/>
    <w:rsid w:val="00F12A27"/>
    <w:rsid w:val="00F12DBC"/>
    <w:rsid w:val="00F12EB3"/>
    <w:rsid w:val="00F13B07"/>
    <w:rsid w:val="00F14189"/>
    <w:rsid w:val="00F14849"/>
    <w:rsid w:val="00F151B7"/>
    <w:rsid w:val="00F152E1"/>
    <w:rsid w:val="00F15B2C"/>
    <w:rsid w:val="00F16E1B"/>
    <w:rsid w:val="00F16F4A"/>
    <w:rsid w:val="00F17010"/>
    <w:rsid w:val="00F203B5"/>
    <w:rsid w:val="00F2046B"/>
    <w:rsid w:val="00F209F6"/>
    <w:rsid w:val="00F211D7"/>
    <w:rsid w:val="00F219F9"/>
    <w:rsid w:val="00F227FB"/>
    <w:rsid w:val="00F22CCA"/>
    <w:rsid w:val="00F22D83"/>
    <w:rsid w:val="00F22FFC"/>
    <w:rsid w:val="00F2379A"/>
    <w:rsid w:val="00F2389C"/>
    <w:rsid w:val="00F23EDE"/>
    <w:rsid w:val="00F24024"/>
    <w:rsid w:val="00F24B45"/>
    <w:rsid w:val="00F24E8F"/>
    <w:rsid w:val="00F24EA6"/>
    <w:rsid w:val="00F253F9"/>
    <w:rsid w:val="00F2562A"/>
    <w:rsid w:val="00F25822"/>
    <w:rsid w:val="00F25ED7"/>
    <w:rsid w:val="00F262D9"/>
    <w:rsid w:val="00F263F1"/>
    <w:rsid w:val="00F26E17"/>
    <w:rsid w:val="00F26FA7"/>
    <w:rsid w:val="00F2710D"/>
    <w:rsid w:val="00F274CD"/>
    <w:rsid w:val="00F27C1F"/>
    <w:rsid w:val="00F27C8D"/>
    <w:rsid w:val="00F27DDD"/>
    <w:rsid w:val="00F30156"/>
    <w:rsid w:val="00F30C41"/>
    <w:rsid w:val="00F30C89"/>
    <w:rsid w:val="00F31132"/>
    <w:rsid w:val="00F3134C"/>
    <w:rsid w:val="00F3135A"/>
    <w:rsid w:val="00F319DE"/>
    <w:rsid w:val="00F32B3A"/>
    <w:rsid w:val="00F32BFB"/>
    <w:rsid w:val="00F32CCE"/>
    <w:rsid w:val="00F333C1"/>
    <w:rsid w:val="00F33EEF"/>
    <w:rsid w:val="00F34042"/>
    <w:rsid w:val="00F345C2"/>
    <w:rsid w:val="00F34C13"/>
    <w:rsid w:val="00F35028"/>
    <w:rsid w:val="00F358BC"/>
    <w:rsid w:val="00F369B8"/>
    <w:rsid w:val="00F36F93"/>
    <w:rsid w:val="00F376E8"/>
    <w:rsid w:val="00F3795E"/>
    <w:rsid w:val="00F400E3"/>
    <w:rsid w:val="00F40779"/>
    <w:rsid w:val="00F409F8"/>
    <w:rsid w:val="00F40AD0"/>
    <w:rsid w:val="00F411AC"/>
    <w:rsid w:val="00F417F9"/>
    <w:rsid w:val="00F41F72"/>
    <w:rsid w:val="00F429AA"/>
    <w:rsid w:val="00F42C5C"/>
    <w:rsid w:val="00F42E99"/>
    <w:rsid w:val="00F42F81"/>
    <w:rsid w:val="00F43041"/>
    <w:rsid w:val="00F439E6"/>
    <w:rsid w:val="00F43D80"/>
    <w:rsid w:val="00F44A71"/>
    <w:rsid w:val="00F44ED0"/>
    <w:rsid w:val="00F451B4"/>
    <w:rsid w:val="00F45216"/>
    <w:rsid w:val="00F4528E"/>
    <w:rsid w:val="00F45B94"/>
    <w:rsid w:val="00F46019"/>
    <w:rsid w:val="00F46EF1"/>
    <w:rsid w:val="00F46F15"/>
    <w:rsid w:val="00F47DC4"/>
    <w:rsid w:val="00F506E1"/>
    <w:rsid w:val="00F50979"/>
    <w:rsid w:val="00F50B60"/>
    <w:rsid w:val="00F51268"/>
    <w:rsid w:val="00F5148A"/>
    <w:rsid w:val="00F52C11"/>
    <w:rsid w:val="00F52D34"/>
    <w:rsid w:val="00F52E04"/>
    <w:rsid w:val="00F5308D"/>
    <w:rsid w:val="00F533A7"/>
    <w:rsid w:val="00F539B5"/>
    <w:rsid w:val="00F539E8"/>
    <w:rsid w:val="00F53CEE"/>
    <w:rsid w:val="00F545F9"/>
    <w:rsid w:val="00F556A5"/>
    <w:rsid w:val="00F556F8"/>
    <w:rsid w:val="00F5594A"/>
    <w:rsid w:val="00F559BA"/>
    <w:rsid w:val="00F55CB0"/>
    <w:rsid w:val="00F56369"/>
    <w:rsid w:val="00F564B3"/>
    <w:rsid w:val="00F5684A"/>
    <w:rsid w:val="00F56A4B"/>
    <w:rsid w:val="00F56F70"/>
    <w:rsid w:val="00F60B27"/>
    <w:rsid w:val="00F61065"/>
    <w:rsid w:val="00F612E1"/>
    <w:rsid w:val="00F616B7"/>
    <w:rsid w:val="00F6272D"/>
    <w:rsid w:val="00F63381"/>
    <w:rsid w:val="00F63621"/>
    <w:rsid w:val="00F63CB5"/>
    <w:rsid w:val="00F641E9"/>
    <w:rsid w:val="00F6451F"/>
    <w:rsid w:val="00F6469A"/>
    <w:rsid w:val="00F64933"/>
    <w:rsid w:val="00F6513A"/>
    <w:rsid w:val="00F65C83"/>
    <w:rsid w:val="00F6605C"/>
    <w:rsid w:val="00F7060A"/>
    <w:rsid w:val="00F70A66"/>
    <w:rsid w:val="00F716F7"/>
    <w:rsid w:val="00F72098"/>
    <w:rsid w:val="00F72339"/>
    <w:rsid w:val="00F72C8C"/>
    <w:rsid w:val="00F72D83"/>
    <w:rsid w:val="00F72DD1"/>
    <w:rsid w:val="00F73207"/>
    <w:rsid w:val="00F732E5"/>
    <w:rsid w:val="00F735FA"/>
    <w:rsid w:val="00F7400F"/>
    <w:rsid w:val="00F74104"/>
    <w:rsid w:val="00F74930"/>
    <w:rsid w:val="00F74D5C"/>
    <w:rsid w:val="00F74F5F"/>
    <w:rsid w:val="00F7580D"/>
    <w:rsid w:val="00F75C67"/>
    <w:rsid w:val="00F75E8A"/>
    <w:rsid w:val="00F7603A"/>
    <w:rsid w:val="00F760A7"/>
    <w:rsid w:val="00F7610E"/>
    <w:rsid w:val="00F76A2B"/>
    <w:rsid w:val="00F76AF6"/>
    <w:rsid w:val="00F76D7E"/>
    <w:rsid w:val="00F76E22"/>
    <w:rsid w:val="00F77582"/>
    <w:rsid w:val="00F776D0"/>
    <w:rsid w:val="00F777DA"/>
    <w:rsid w:val="00F77975"/>
    <w:rsid w:val="00F77EE4"/>
    <w:rsid w:val="00F77F73"/>
    <w:rsid w:val="00F8024D"/>
    <w:rsid w:val="00F8163D"/>
    <w:rsid w:val="00F8261F"/>
    <w:rsid w:val="00F832A1"/>
    <w:rsid w:val="00F838BF"/>
    <w:rsid w:val="00F83EBF"/>
    <w:rsid w:val="00F84A79"/>
    <w:rsid w:val="00F850BE"/>
    <w:rsid w:val="00F855D1"/>
    <w:rsid w:val="00F85BB4"/>
    <w:rsid w:val="00F85D65"/>
    <w:rsid w:val="00F85E28"/>
    <w:rsid w:val="00F86D89"/>
    <w:rsid w:val="00F87757"/>
    <w:rsid w:val="00F8793F"/>
    <w:rsid w:val="00F900AE"/>
    <w:rsid w:val="00F901B4"/>
    <w:rsid w:val="00F908B8"/>
    <w:rsid w:val="00F91B65"/>
    <w:rsid w:val="00F92241"/>
    <w:rsid w:val="00F92484"/>
    <w:rsid w:val="00F94394"/>
    <w:rsid w:val="00F9634F"/>
    <w:rsid w:val="00F967DC"/>
    <w:rsid w:val="00F96B1C"/>
    <w:rsid w:val="00F9738D"/>
    <w:rsid w:val="00F9764C"/>
    <w:rsid w:val="00F97882"/>
    <w:rsid w:val="00FA0419"/>
    <w:rsid w:val="00FA1AB6"/>
    <w:rsid w:val="00FA1F25"/>
    <w:rsid w:val="00FA201A"/>
    <w:rsid w:val="00FA2DAF"/>
    <w:rsid w:val="00FA37E9"/>
    <w:rsid w:val="00FA4349"/>
    <w:rsid w:val="00FA4438"/>
    <w:rsid w:val="00FA4563"/>
    <w:rsid w:val="00FA4A49"/>
    <w:rsid w:val="00FA4D4D"/>
    <w:rsid w:val="00FA4D8C"/>
    <w:rsid w:val="00FA529E"/>
    <w:rsid w:val="00FA5352"/>
    <w:rsid w:val="00FA5410"/>
    <w:rsid w:val="00FA5903"/>
    <w:rsid w:val="00FA5D33"/>
    <w:rsid w:val="00FA634A"/>
    <w:rsid w:val="00FA63E6"/>
    <w:rsid w:val="00FA64FD"/>
    <w:rsid w:val="00FA718E"/>
    <w:rsid w:val="00FA757F"/>
    <w:rsid w:val="00FA7C6E"/>
    <w:rsid w:val="00FB026E"/>
    <w:rsid w:val="00FB0706"/>
    <w:rsid w:val="00FB1ACD"/>
    <w:rsid w:val="00FB1D77"/>
    <w:rsid w:val="00FB2FD3"/>
    <w:rsid w:val="00FB4CBA"/>
    <w:rsid w:val="00FB4D4F"/>
    <w:rsid w:val="00FB4EAC"/>
    <w:rsid w:val="00FB532F"/>
    <w:rsid w:val="00FB54B1"/>
    <w:rsid w:val="00FB5DEA"/>
    <w:rsid w:val="00FB5E93"/>
    <w:rsid w:val="00FB686C"/>
    <w:rsid w:val="00FB724E"/>
    <w:rsid w:val="00FB7790"/>
    <w:rsid w:val="00FB7C61"/>
    <w:rsid w:val="00FB7DE5"/>
    <w:rsid w:val="00FC042B"/>
    <w:rsid w:val="00FC0BF0"/>
    <w:rsid w:val="00FC1538"/>
    <w:rsid w:val="00FC177F"/>
    <w:rsid w:val="00FC2312"/>
    <w:rsid w:val="00FC299C"/>
    <w:rsid w:val="00FC3232"/>
    <w:rsid w:val="00FC3450"/>
    <w:rsid w:val="00FC352A"/>
    <w:rsid w:val="00FC37CD"/>
    <w:rsid w:val="00FC3DF1"/>
    <w:rsid w:val="00FC45CF"/>
    <w:rsid w:val="00FC4F84"/>
    <w:rsid w:val="00FC53DE"/>
    <w:rsid w:val="00FD1E88"/>
    <w:rsid w:val="00FD2420"/>
    <w:rsid w:val="00FD2E30"/>
    <w:rsid w:val="00FD3404"/>
    <w:rsid w:val="00FD36A8"/>
    <w:rsid w:val="00FD37F4"/>
    <w:rsid w:val="00FD3B38"/>
    <w:rsid w:val="00FD3F6B"/>
    <w:rsid w:val="00FD4268"/>
    <w:rsid w:val="00FD4778"/>
    <w:rsid w:val="00FD49C4"/>
    <w:rsid w:val="00FD4A29"/>
    <w:rsid w:val="00FD5F4E"/>
    <w:rsid w:val="00FD64E9"/>
    <w:rsid w:val="00FD6761"/>
    <w:rsid w:val="00FD6E85"/>
    <w:rsid w:val="00FD6F55"/>
    <w:rsid w:val="00FD7214"/>
    <w:rsid w:val="00FD726B"/>
    <w:rsid w:val="00FD74FD"/>
    <w:rsid w:val="00FD750D"/>
    <w:rsid w:val="00FD793B"/>
    <w:rsid w:val="00FD7C78"/>
    <w:rsid w:val="00FE0DD6"/>
    <w:rsid w:val="00FE185C"/>
    <w:rsid w:val="00FE2045"/>
    <w:rsid w:val="00FE2636"/>
    <w:rsid w:val="00FE27B0"/>
    <w:rsid w:val="00FE30CC"/>
    <w:rsid w:val="00FE35C5"/>
    <w:rsid w:val="00FE42E1"/>
    <w:rsid w:val="00FE45B9"/>
    <w:rsid w:val="00FE4DB4"/>
    <w:rsid w:val="00FE4E76"/>
    <w:rsid w:val="00FE4FCB"/>
    <w:rsid w:val="00FE50EA"/>
    <w:rsid w:val="00FE59DC"/>
    <w:rsid w:val="00FE5C40"/>
    <w:rsid w:val="00FE5E05"/>
    <w:rsid w:val="00FE667D"/>
    <w:rsid w:val="00FE7F22"/>
    <w:rsid w:val="00FF0682"/>
    <w:rsid w:val="00FF0DDE"/>
    <w:rsid w:val="00FF1AD5"/>
    <w:rsid w:val="00FF1EB9"/>
    <w:rsid w:val="00FF1F6B"/>
    <w:rsid w:val="00FF28F9"/>
    <w:rsid w:val="00FF2BCF"/>
    <w:rsid w:val="00FF44C6"/>
    <w:rsid w:val="00FF5C4C"/>
    <w:rsid w:val="00FF622B"/>
    <w:rsid w:val="00FF65AA"/>
    <w:rsid w:val="00FF6BB5"/>
    <w:rsid w:val="00FF702E"/>
    <w:rsid w:val="00FF7471"/>
    <w:rsid w:val="00FF7CF3"/>
    <w:rsid w:val="00FF7E1E"/>
    <w:rsid w:val="0124B470"/>
    <w:rsid w:val="013D0B25"/>
    <w:rsid w:val="01AA3A77"/>
    <w:rsid w:val="0207911C"/>
    <w:rsid w:val="02802EB3"/>
    <w:rsid w:val="031A872E"/>
    <w:rsid w:val="034872DD"/>
    <w:rsid w:val="03B25D99"/>
    <w:rsid w:val="03B3B865"/>
    <w:rsid w:val="043E127D"/>
    <w:rsid w:val="049CCE1F"/>
    <w:rsid w:val="04DFAFB5"/>
    <w:rsid w:val="04E970CC"/>
    <w:rsid w:val="053ECA4F"/>
    <w:rsid w:val="05AA62D2"/>
    <w:rsid w:val="06045F8F"/>
    <w:rsid w:val="06732EC7"/>
    <w:rsid w:val="06BD9DB4"/>
    <w:rsid w:val="070A6867"/>
    <w:rsid w:val="072289CD"/>
    <w:rsid w:val="07C3D0DA"/>
    <w:rsid w:val="07F1267D"/>
    <w:rsid w:val="084467D5"/>
    <w:rsid w:val="09638222"/>
    <w:rsid w:val="09CFA202"/>
    <w:rsid w:val="0A93998B"/>
    <w:rsid w:val="0B94A5E9"/>
    <w:rsid w:val="0C0C85A1"/>
    <w:rsid w:val="0C177D1C"/>
    <w:rsid w:val="0C30A6E2"/>
    <w:rsid w:val="0D64D1E3"/>
    <w:rsid w:val="0DC72D4E"/>
    <w:rsid w:val="0DDF8FBD"/>
    <w:rsid w:val="0E259E1E"/>
    <w:rsid w:val="0E69F555"/>
    <w:rsid w:val="0E6E7E5B"/>
    <w:rsid w:val="0E80C372"/>
    <w:rsid w:val="0EB68E72"/>
    <w:rsid w:val="0EE60E51"/>
    <w:rsid w:val="0EEEDD2D"/>
    <w:rsid w:val="0FB154FC"/>
    <w:rsid w:val="0FF218D6"/>
    <w:rsid w:val="1044B994"/>
    <w:rsid w:val="1069C64D"/>
    <w:rsid w:val="106E6FEB"/>
    <w:rsid w:val="10E3A764"/>
    <w:rsid w:val="112E94CC"/>
    <w:rsid w:val="114450F7"/>
    <w:rsid w:val="1200ADC1"/>
    <w:rsid w:val="1251480C"/>
    <w:rsid w:val="133E4463"/>
    <w:rsid w:val="13A14B04"/>
    <w:rsid w:val="13C74C23"/>
    <w:rsid w:val="13F34407"/>
    <w:rsid w:val="141AA71C"/>
    <w:rsid w:val="14CFDA53"/>
    <w:rsid w:val="14FC6709"/>
    <w:rsid w:val="15084096"/>
    <w:rsid w:val="152C3A02"/>
    <w:rsid w:val="15B3BAC5"/>
    <w:rsid w:val="15EC519E"/>
    <w:rsid w:val="1617D7A5"/>
    <w:rsid w:val="16212DF3"/>
    <w:rsid w:val="16C917CA"/>
    <w:rsid w:val="16FAF9BD"/>
    <w:rsid w:val="17ACAB83"/>
    <w:rsid w:val="17CCC0C1"/>
    <w:rsid w:val="17F7E523"/>
    <w:rsid w:val="18137BB5"/>
    <w:rsid w:val="184D0141"/>
    <w:rsid w:val="186D6B92"/>
    <w:rsid w:val="18ADFE5F"/>
    <w:rsid w:val="18C4E18A"/>
    <w:rsid w:val="18E228E9"/>
    <w:rsid w:val="190CC2F4"/>
    <w:rsid w:val="194703EB"/>
    <w:rsid w:val="198B7FD4"/>
    <w:rsid w:val="19DDB15E"/>
    <w:rsid w:val="1A123D7F"/>
    <w:rsid w:val="1A4A45B4"/>
    <w:rsid w:val="1A57F795"/>
    <w:rsid w:val="1A6226AD"/>
    <w:rsid w:val="1A7CC940"/>
    <w:rsid w:val="1A85FC2E"/>
    <w:rsid w:val="1B00293B"/>
    <w:rsid w:val="1B7B2AE9"/>
    <w:rsid w:val="1B96510B"/>
    <w:rsid w:val="1B9AF676"/>
    <w:rsid w:val="1C00C4AD"/>
    <w:rsid w:val="1C7F3C8F"/>
    <w:rsid w:val="1CF5DD00"/>
    <w:rsid w:val="1D855C16"/>
    <w:rsid w:val="1DB845A7"/>
    <w:rsid w:val="1DE636F8"/>
    <w:rsid w:val="1E0237C5"/>
    <w:rsid w:val="1E2AFAD3"/>
    <w:rsid w:val="1EAC6069"/>
    <w:rsid w:val="1EE17373"/>
    <w:rsid w:val="1EE70247"/>
    <w:rsid w:val="1F0A3611"/>
    <w:rsid w:val="1F2F026D"/>
    <w:rsid w:val="1F8495A0"/>
    <w:rsid w:val="1FF166A9"/>
    <w:rsid w:val="201771CD"/>
    <w:rsid w:val="2025A6B8"/>
    <w:rsid w:val="204225A6"/>
    <w:rsid w:val="2070998D"/>
    <w:rsid w:val="210A7ADE"/>
    <w:rsid w:val="22F3A911"/>
    <w:rsid w:val="23347216"/>
    <w:rsid w:val="23AF9DF2"/>
    <w:rsid w:val="24979899"/>
    <w:rsid w:val="24A04481"/>
    <w:rsid w:val="24D36DFD"/>
    <w:rsid w:val="250826E2"/>
    <w:rsid w:val="257CD600"/>
    <w:rsid w:val="25A57CA6"/>
    <w:rsid w:val="25FF2C0A"/>
    <w:rsid w:val="264CA57A"/>
    <w:rsid w:val="26774F80"/>
    <w:rsid w:val="26DA30D0"/>
    <w:rsid w:val="27B304AF"/>
    <w:rsid w:val="28F8DEED"/>
    <w:rsid w:val="2902366B"/>
    <w:rsid w:val="29C669C4"/>
    <w:rsid w:val="29FC1BAA"/>
    <w:rsid w:val="2A16803B"/>
    <w:rsid w:val="2A3E4B3C"/>
    <w:rsid w:val="2A5D88CF"/>
    <w:rsid w:val="2AE45158"/>
    <w:rsid w:val="2B1A4FE8"/>
    <w:rsid w:val="2B236A04"/>
    <w:rsid w:val="2BE1E3A3"/>
    <w:rsid w:val="2C1FE68F"/>
    <w:rsid w:val="2C35ADEA"/>
    <w:rsid w:val="2C705DB6"/>
    <w:rsid w:val="2D5B73AE"/>
    <w:rsid w:val="2D928DFD"/>
    <w:rsid w:val="2D93AAB8"/>
    <w:rsid w:val="2E07B11A"/>
    <w:rsid w:val="2EC416BC"/>
    <w:rsid w:val="2EDE4102"/>
    <w:rsid w:val="2F448D58"/>
    <w:rsid w:val="2F4B9CA4"/>
    <w:rsid w:val="2FC88272"/>
    <w:rsid w:val="3025F065"/>
    <w:rsid w:val="30B5B00C"/>
    <w:rsid w:val="30D5A957"/>
    <w:rsid w:val="310D11D1"/>
    <w:rsid w:val="317AFED2"/>
    <w:rsid w:val="3265E310"/>
    <w:rsid w:val="33564F42"/>
    <w:rsid w:val="33B4DF1B"/>
    <w:rsid w:val="33F54152"/>
    <w:rsid w:val="33FD5664"/>
    <w:rsid w:val="34323B5F"/>
    <w:rsid w:val="343F3035"/>
    <w:rsid w:val="346559E3"/>
    <w:rsid w:val="346A1732"/>
    <w:rsid w:val="351684C3"/>
    <w:rsid w:val="351DB5C2"/>
    <w:rsid w:val="354A7415"/>
    <w:rsid w:val="35779B23"/>
    <w:rsid w:val="357BAA64"/>
    <w:rsid w:val="3669F52D"/>
    <w:rsid w:val="369AA1AF"/>
    <w:rsid w:val="37021236"/>
    <w:rsid w:val="37175E34"/>
    <w:rsid w:val="377A22C6"/>
    <w:rsid w:val="38616979"/>
    <w:rsid w:val="386D9162"/>
    <w:rsid w:val="3885516A"/>
    <w:rsid w:val="38AFCB9C"/>
    <w:rsid w:val="38C8C709"/>
    <w:rsid w:val="390B272F"/>
    <w:rsid w:val="397AFB6D"/>
    <w:rsid w:val="398F43E7"/>
    <w:rsid w:val="3A1F036B"/>
    <w:rsid w:val="3A49D079"/>
    <w:rsid w:val="3A589AC5"/>
    <w:rsid w:val="3A6F0DF1"/>
    <w:rsid w:val="3A828941"/>
    <w:rsid w:val="3A8E6C01"/>
    <w:rsid w:val="3AADAF0F"/>
    <w:rsid w:val="3ACF0112"/>
    <w:rsid w:val="3AFFE53B"/>
    <w:rsid w:val="3B119588"/>
    <w:rsid w:val="3B140EB9"/>
    <w:rsid w:val="3B1EA6B1"/>
    <w:rsid w:val="3B2FF37C"/>
    <w:rsid w:val="3B8C9FF9"/>
    <w:rsid w:val="3CC05288"/>
    <w:rsid w:val="3CCAFC16"/>
    <w:rsid w:val="3D82DBEF"/>
    <w:rsid w:val="3DBFB8E2"/>
    <w:rsid w:val="3E03A0C0"/>
    <w:rsid w:val="3E503B65"/>
    <w:rsid w:val="3E6D0A72"/>
    <w:rsid w:val="3E7B1AB8"/>
    <w:rsid w:val="3F876734"/>
    <w:rsid w:val="3FB7E9B4"/>
    <w:rsid w:val="4016FA2E"/>
    <w:rsid w:val="402AA40F"/>
    <w:rsid w:val="41483822"/>
    <w:rsid w:val="41558DB8"/>
    <w:rsid w:val="4296AF96"/>
    <w:rsid w:val="43A4FBD7"/>
    <w:rsid w:val="43D1066F"/>
    <w:rsid w:val="43FA8F97"/>
    <w:rsid w:val="440B2211"/>
    <w:rsid w:val="44C90D9C"/>
    <w:rsid w:val="44E75984"/>
    <w:rsid w:val="45247B82"/>
    <w:rsid w:val="4551B87D"/>
    <w:rsid w:val="456AED30"/>
    <w:rsid w:val="457E22B3"/>
    <w:rsid w:val="45DD4879"/>
    <w:rsid w:val="46123E6D"/>
    <w:rsid w:val="46532948"/>
    <w:rsid w:val="4660667F"/>
    <w:rsid w:val="468D5979"/>
    <w:rsid w:val="468F051F"/>
    <w:rsid w:val="46987854"/>
    <w:rsid w:val="46A7D2A7"/>
    <w:rsid w:val="46BAE0FB"/>
    <w:rsid w:val="472A76D9"/>
    <w:rsid w:val="4779357E"/>
    <w:rsid w:val="47B00094"/>
    <w:rsid w:val="4801A1F7"/>
    <w:rsid w:val="48972E25"/>
    <w:rsid w:val="489CA616"/>
    <w:rsid w:val="48BCCD2C"/>
    <w:rsid w:val="48E8DB47"/>
    <w:rsid w:val="4928DDCB"/>
    <w:rsid w:val="49A0BF17"/>
    <w:rsid w:val="49B6700A"/>
    <w:rsid w:val="4A538709"/>
    <w:rsid w:val="4A8C7B45"/>
    <w:rsid w:val="4AC209F4"/>
    <w:rsid w:val="4AC5DF3F"/>
    <w:rsid w:val="4AFF175C"/>
    <w:rsid w:val="4B236FB5"/>
    <w:rsid w:val="4B2EA050"/>
    <w:rsid w:val="4B6C9668"/>
    <w:rsid w:val="4B752095"/>
    <w:rsid w:val="4BAE79EA"/>
    <w:rsid w:val="4BB000E7"/>
    <w:rsid w:val="4BDC4110"/>
    <w:rsid w:val="4CA0E732"/>
    <w:rsid w:val="4CA19D5B"/>
    <w:rsid w:val="4CCF719C"/>
    <w:rsid w:val="4D0D0BB0"/>
    <w:rsid w:val="4D450C64"/>
    <w:rsid w:val="4D4A96C4"/>
    <w:rsid w:val="4DE69E03"/>
    <w:rsid w:val="4E7EB1F6"/>
    <w:rsid w:val="4F68F784"/>
    <w:rsid w:val="5010E447"/>
    <w:rsid w:val="504B117E"/>
    <w:rsid w:val="5073C035"/>
    <w:rsid w:val="50945070"/>
    <w:rsid w:val="50A6B407"/>
    <w:rsid w:val="50EB7C6D"/>
    <w:rsid w:val="5101465B"/>
    <w:rsid w:val="51769B4F"/>
    <w:rsid w:val="51907930"/>
    <w:rsid w:val="51A35DEE"/>
    <w:rsid w:val="522C2531"/>
    <w:rsid w:val="523A2A4A"/>
    <w:rsid w:val="5242ABFC"/>
    <w:rsid w:val="52ACFB59"/>
    <w:rsid w:val="52BBD8CC"/>
    <w:rsid w:val="52DFD3D4"/>
    <w:rsid w:val="5322D296"/>
    <w:rsid w:val="5357FB4A"/>
    <w:rsid w:val="535B812D"/>
    <w:rsid w:val="5392F7B7"/>
    <w:rsid w:val="540FDE6A"/>
    <w:rsid w:val="541F86E0"/>
    <w:rsid w:val="54261566"/>
    <w:rsid w:val="54891B5D"/>
    <w:rsid w:val="5489F1FB"/>
    <w:rsid w:val="5513EB2D"/>
    <w:rsid w:val="5545A3DA"/>
    <w:rsid w:val="558CD5A5"/>
    <w:rsid w:val="55AB06F4"/>
    <w:rsid w:val="56A4C2C1"/>
    <w:rsid w:val="56E9E478"/>
    <w:rsid w:val="56EC074F"/>
    <w:rsid w:val="570E5D0B"/>
    <w:rsid w:val="57663228"/>
    <w:rsid w:val="578AC3B8"/>
    <w:rsid w:val="589DCC9C"/>
    <w:rsid w:val="5991A15B"/>
    <w:rsid w:val="5A4A697C"/>
    <w:rsid w:val="5AD7754C"/>
    <w:rsid w:val="5AEDE803"/>
    <w:rsid w:val="5B2905C6"/>
    <w:rsid w:val="5B9A6990"/>
    <w:rsid w:val="5BD76C07"/>
    <w:rsid w:val="5BFD1553"/>
    <w:rsid w:val="5C6E3212"/>
    <w:rsid w:val="5D11A5B8"/>
    <w:rsid w:val="5ECD4B35"/>
    <w:rsid w:val="5EF8F4AF"/>
    <w:rsid w:val="5F2E7604"/>
    <w:rsid w:val="5F3D2059"/>
    <w:rsid w:val="5F9AAB63"/>
    <w:rsid w:val="5FD4D0DD"/>
    <w:rsid w:val="5FE2FB54"/>
    <w:rsid w:val="5FFC2371"/>
    <w:rsid w:val="60CE2935"/>
    <w:rsid w:val="60D917B7"/>
    <w:rsid w:val="6149DD7C"/>
    <w:rsid w:val="6159648B"/>
    <w:rsid w:val="61719C62"/>
    <w:rsid w:val="61919E08"/>
    <w:rsid w:val="61E247C7"/>
    <w:rsid w:val="61F47C2E"/>
    <w:rsid w:val="620E1FF8"/>
    <w:rsid w:val="627139C4"/>
    <w:rsid w:val="62AFAF71"/>
    <w:rsid w:val="62BF2F2C"/>
    <w:rsid w:val="62DB0280"/>
    <w:rsid w:val="62DCE480"/>
    <w:rsid w:val="6338EFB4"/>
    <w:rsid w:val="635A3FD8"/>
    <w:rsid w:val="63F204D0"/>
    <w:rsid w:val="641AAB5E"/>
    <w:rsid w:val="64B04DCD"/>
    <w:rsid w:val="657EC86A"/>
    <w:rsid w:val="65B75F95"/>
    <w:rsid w:val="65EB5F03"/>
    <w:rsid w:val="65F509E2"/>
    <w:rsid w:val="667F1908"/>
    <w:rsid w:val="66E99EF5"/>
    <w:rsid w:val="672811B5"/>
    <w:rsid w:val="673A5B34"/>
    <w:rsid w:val="6743984F"/>
    <w:rsid w:val="67871BC6"/>
    <w:rsid w:val="67FA86E0"/>
    <w:rsid w:val="68452E01"/>
    <w:rsid w:val="69095E11"/>
    <w:rsid w:val="691ABD86"/>
    <w:rsid w:val="691C9BF9"/>
    <w:rsid w:val="692B8086"/>
    <w:rsid w:val="695D47BF"/>
    <w:rsid w:val="6966E586"/>
    <w:rsid w:val="696F912D"/>
    <w:rsid w:val="699D13E8"/>
    <w:rsid w:val="69BAFE46"/>
    <w:rsid w:val="6AE3E69E"/>
    <w:rsid w:val="6BD0B6C6"/>
    <w:rsid w:val="6C075ED2"/>
    <w:rsid w:val="6C5B5E88"/>
    <w:rsid w:val="6CDD25FF"/>
    <w:rsid w:val="6D293262"/>
    <w:rsid w:val="6D9247D6"/>
    <w:rsid w:val="6D937CE7"/>
    <w:rsid w:val="6DA9B8B0"/>
    <w:rsid w:val="6E8CE057"/>
    <w:rsid w:val="6EC6BD6B"/>
    <w:rsid w:val="6F584817"/>
    <w:rsid w:val="6F68D260"/>
    <w:rsid w:val="707E0950"/>
    <w:rsid w:val="70E0B30B"/>
    <w:rsid w:val="71011C4E"/>
    <w:rsid w:val="711287BF"/>
    <w:rsid w:val="71254CC9"/>
    <w:rsid w:val="712C82C0"/>
    <w:rsid w:val="71BF90E8"/>
    <w:rsid w:val="7206196F"/>
    <w:rsid w:val="7231C898"/>
    <w:rsid w:val="736F2008"/>
    <w:rsid w:val="7485C6F0"/>
    <w:rsid w:val="748CF042"/>
    <w:rsid w:val="74C7634D"/>
    <w:rsid w:val="74D85141"/>
    <w:rsid w:val="75ACB3C7"/>
    <w:rsid w:val="75B38302"/>
    <w:rsid w:val="75E00731"/>
    <w:rsid w:val="760C7E63"/>
    <w:rsid w:val="768DC2EE"/>
    <w:rsid w:val="7690D0E9"/>
    <w:rsid w:val="76DE6B23"/>
    <w:rsid w:val="7783ACA1"/>
    <w:rsid w:val="7784A385"/>
    <w:rsid w:val="7787E09E"/>
    <w:rsid w:val="77F4DADE"/>
    <w:rsid w:val="7845F25A"/>
    <w:rsid w:val="785D9526"/>
    <w:rsid w:val="785E4A5A"/>
    <w:rsid w:val="7864B60D"/>
    <w:rsid w:val="78A67A5E"/>
    <w:rsid w:val="78AC2638"/>
    <w:rsid w:val="78C5E6A8"/>
    <w:rsid w:val="78DD67F3"/>
    <w:rsid w:val="79402A28"/>
    <w:rsid w:val="794A7368"/>
    <w:rsid w:val="79776024"/>
    <w:rsid w:val="7978A2E8"/>
    <w:rsid w:val="79913BE2"/>
    <w:rsid w:val="7A73DDB2"/>
    <w:rsid w:val="7BA2BBCB"/>
    <w:rsid w:val="7BA4E587"/>
    <w:rsid w:val="7BE93F25"/>
    <w:rsid w:val="7C5DDDFB"/>
    <w:rsid w:val="7CE598CC"/>
    <w:rsid w:val="7D3F0441"/>
    <w:rsid w:val="7D86636C"/>
    <w:rsid w:val="7E39FE6C"/>
    <w:rsid w:val="7E5E0348"/>
    <w:rsid w:val="7E745FE4"/>
    <w:rsid w:val="7EFD67BE"/>
    <w:rsid w:val="7F1C427B"/>
    <w:rsid w:val="7F85398F"/>
    <w:rsid w:val="7FB9F23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DCF1A"/>
  <w15:chartTrackingRefBased/>
  <w15:docId w15:val="{77258E60-C79C-42AD-9C92-7CD5F99D4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Black"/>
    <w:qFormat/>
    <w:rsid w:val="007F09DF"/>
    <w:pPr>
      <w:snapToGrid w:val="0"/>
      <w:spacing w:before="120" w:after="120" w:line="288" w:lineRule="auto"/>
      <w:jc w:val="both"/>
    </w:pPr>
    <w:rPr>
      <w:sz w:val="21"/>
      <w:szCs w:val="21"/>
    </w:rPr>
  </w:style>
  <w:style w:type="paragraph" w:styleId="Heading1">
    <w:name w:val="heading 1"/>
    <w:basedOn w:val="Normal"/>
    <w:next w:val="Normal"/>
    <w:link w:val="Heading1Char"/>
    <w:uiPriority w:val="9"/>
    <w:qFormat/>
    <w:rsid w:val="00175EC4"/>
    <w:pPr>
      <w:keepNext/>
      <w:keepLines/>
      <w:pageBreakBefore/>
      <w:numPr>
        <w:numId w:val="26"/>
      </w:numPr>
      <w:pBdr>
        <w:bottom w:val="single" w:sz="12" w:space="1" w:color="FADE00" w:themeColor="accent2"/>
      </w:pBdr>
      <w:spacing w:before="360"/>
      <w:ind w:left="431" w:hanging="431"/>
      <w:outlineLvl w:val="0"/>
    </w:pPr>
    <w:rPr>
      <w:rFonts w:asciiTheme="majorHAnsi" w:eastAsiaTheme="majorEastAsia" w:hAnsiTheme="majorHAnsi" w:cstheme="majorBidi"/>
      <w:color w:val="3E3E3E" w:themeColor="accent1" w:themeShade="BF"/>
      <w:sz w:val="40"/>
      <w:szCs w:val="40"/>
    </w:rPr>
  </w:style>
  <w:style w:type="paragraph" w:styleId="Heading2">
    <w:name w:val="heading 2"/>
    <w:basedOn w:val="Normal"/>
    <w:next w:val="Normal"/>
    <w:link w:val="Heading2Char"/>
    <w:uiPriority w:val="9"/>
    <w:unhideWhenUsed/>
    <w:qFormat/>
    <w:rsid w:val="00175EC4"/>
    <w:pPr>
      <w:keepNext/>
      <w:keepLines/>
      <w:numPr>
        <w:ilvl w:val="1"/>
        <w:numId w:val="26"/>
      </w:numPr>
      <w:pBdr>
        <w:bottom w:val="single" w:sz="2" w:space="1" w:color="BBBBBB" w:themeColor="text2" w:themeTint="66"/>
      </w:pBdr>
      <w:spacing w:before="240"/>
      <w:ind w:left="1296"/>
      <w:outlineLvl w:val="1"/>
    </w:pPr>
    <w:rPr>
      <w:rFonts w:asciiTheme="majorHAnsi" w:eastAsiaTheme="majorEastAsia" w:hAnsiTheme="majorHAnsi" w:cstheme="majorBidi"/>
      <w:color w:val="3E3E3E" w:themeColor="accent1" w:themeShade="BF"/>
      <w:sz w:val="32"/>
      <w:szCs w:val="32"/>
    </w:rPr>
  </w:style>
  <w:style w:type="paragraph" w:styleId="Heading3">
    <w:name w:val="heading 3"/>
    <w:basedOn w:val="Normal"/>
    <w:next w:val="Normal"/>
    <w:link w:val="Heading3Char"/>
    <w:uiPriority w:val="9"/>
    <w:unhideWhenUsed/>
    <w:qFormat/>
    <w:rsid w:val="00175EC4"/>
    <w:pPr>
      <w:keepNext/>
      <w:keepLines/>
      <w:numPr>
        <w:ilvl w:val="2"/>
        <w:numId w:val="26"/>
      </w:numPr>
      <w:spacing w:before="240"/>
      <w:outlineLvl w:val="2"/>
    </w:pPr>
    <w:rPr>
      <w:rFonts w:eastAsiaTheme="majorEastAsia" w:cstheme="majorBidi"/>
      <w:color w:val="555555" w:themeColor="text2"/>
      <w:sz w:val="24"/>
      <w:szCs w:val="28"/>
    </w:rPr>
  </w:style>
  <w:style w:type="paragraph" w:styleId="Heading4">
    <w:name w:val="heading 4"/>
    <w:basedOn w:val="Normal"/>
    <w:next w:val="Normal"/>
    <w:link w:val="Heading4Char"/>
    <w:uiPriority w:val="9"/>
    <w:unhideWhenUsed/>
    <w:qFormat/>
    <w:rsid w:val="00BD231F"/>
    <w:pPr>
      <w:keepNext/>
      <w:keepLines/>
      <w:numPr>
        <w:ilvl w:val="3"/>
        <w:numId w:val="26"/>
      </w:numPr>
      <w:spacing w:before="80" w:after="40"/>
      <w:outlineLvl w:val="3"/>
    </w:pPr>
    <w:rPr>
      <w:rFonts w:eastAsiaTheme="majorEastAsia" w:cstheme="majorBidi"/>
      <w:i/>
      <w:iCs/>
      <w:color w:val="3E3E3E" w:themeColor="accent1" w:themeShade="BF"/>
    </w:rPr>
  </w:style>
  <w:style w:type="paragraph" w:styleId="Heading5">
    <w:name w:val="heading 5"/>
    <w:basedOn w:val="Normal"/>
    <w:next w:val="Normal"/>
    <w:link w:val="Heading5Char"/>
    <w:uiPriority w:val="9"/>
    <w:semiHidden/>
    <w:unhideWhenUsed/>
    <w:qFormat/>
    <w:rsid w:val="00BD231F"/>
    <w:pPr>
      <w:keepNext/>
      <w:keepLines/>
      <w:numPr>
        <w:ilvl w:val="4"/>
        <w:numId w:val="26"/>
      </w:numPr>
      <w:spacing w:before="80" w:after="40"/>
      <w:outlineLvl w:val="4"/>
    </w:pPr>
    <w:rPr>
      <w:rFonts w:eastAsiaTheme="majorEastAsia" w:cstheme="majorBidi"/>
      <w:color w:val="3E3E3E" w:themeColor="accent1" w:themeShade="BF"/>
    </w:rPr>
  </w:style>
  <w:style w:type="paragraph" w:styleId="Heading6">
    <w:name w:val="heading 6"/>
    <w:basedOn w:val="Normal"/>
    <w:next w:val="Normal"/>
    <w:link w:val="Heading6Char"/>
    <w:uiPriority w:val="9"/>
    <w:semiHidden/>
    <w:unhideWhenUsed/>
    <w:qFormat/>
    <w:rsid w:val="00BD231F"/>
    <w:pPr>
      <w:keepNext/>
      <w:keepLines/>
      <w:numPr>
        <w:ilvl w:val="5"/>
        <w:numId w:val="26"/>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231F"/>
    <w:pPr>
      <w:keepNext/>
      <w:keepLines/>
      <w:numPr>
        <w:ilvl w:val="6"/>
        <w:numId w:val="26"/>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231F"/>
    <w:pPr>
      <w:keepNext/>
      <w:keepLines/>
      <w:numPr>
        <w:ilvl w:val="7"/>
        <w:numId w:val="26"/>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231F"/>
    <w:pPr>
      <w:keepNext/>
      <w:keepLines/>
      <w:numPr>
        <w:ilvl w:val="8"/>
        <w:numId w:val="26"/>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EC4"/>
    <w:rPr>
      <w:rFonts w:asciiTheme="majorHAnsi" w:eastAsiaTheme="majorEastAsia" w:hAnsiTheme="majorHAnsi" w:cstheme="majorBidi"/>
      <w:color w:val="3E3E3E" w:themeColor="accent1" w:themeShade="BF"/>
      <w:sz w:val="40"/>
      <w:szCs w:val="40"/>
    </w:rPr>
  </w:style>
  <w:style w:type="character" w:customStyle="1" w:styleId="Heading2Char">
    <w:name w:val="Heading 2 Char"/>
    <w:basedOn w:val="DefaultParagraphFont"/>
    <w:link w:val="Heading2"/>
    <w:uiPriority w:val="9"/>
    <w:rsid w:val="00175EC4"/>
    <w:rPr>
      <w:rFonts w:asciiTheme="majorHAnsi" w:eastAsiaTheme="majorEastAsia" w:hAnsiTheme="majorHAnsi" w:cstheme="majorBidi"/>
      <w:color w:val="3E3E3E" w:themeColor="accent1" w:themeShade="BF"/>
      <w:sz w:val="32"/>
      <w:szCs w:val="32"/>
    </w:rPr>
  </w:style>
  <w:style w:type="character" w:customStyle="1" w:styleId="Heading3Char">
    <w:name w:val="Heading 3 Char"/>
    <w:basedOn w:val="DefaultParagraphFont"/>
    <w:link w:val="Heading3"/>
    <w:uiPriority w:val="9"/>
    <w:rsid w:val="00175EC4"/>
    <w:rPr>
      <w:rFonts w:eastAsiaTheme="majorEastAsia" w:cstheme="majorBidi"/>
      <w:color w:val="555555" w:themeColor="text2"/>
      <w:szCs w:val="28"/>
    </w:rPr>
  </w:style>
  <w:style w:type="character" w:customStyle="1" w:styleId="Heading4Char">
    <w:name w:val="Heading 4 Char"/>
    <w:basedOn w:val="DefaultParagraphFont"/>
    <w:link w:val="Heading4"/>
    <w:uiPriority w:val="9"/>
    <w:rsid w:val="00BD231F"/>
    <w:rPr>
      <w:rFonts w:eastAsiaTheme="majorEastAsia" w:cstheme="majorBidi"/>
      <w:i/>
      <w:iCs/>
      <w:color w:val="3E3E3E" w:themeColor="accent1" w:themeShade="BF"/>
      <w:sz w:val="21"/>
      <w:szCs w:val="21"/>
    </w:rPr>
  </w:style>
  <w:style w:type="character" w:customStyle="1" w:styleId="Heading5Char">
    <w:name w:val="Heading 5 Char"/>
    <w:basedOn w:val="DefaultParagraphFont"/>
    <w:link w:val="Heading5"/>
    <w:uiPriority w:val="9"/>
    <w:semiHidden/>
    <w:rsid w:val="00BD231F"/>
    <w:rPr>
      <w:rFonts w:eastAsiaTheme="majorEastAsia" w:cstheme="majorBidi"/>
      <w:color w:val="3E3E3E" w:themeColor="accent1" w:themeShade="BF"/>
      <w:sz w:val="21"/>
      <w:szCs w:val="21"/>
    </w:rPr>
  </w:style>
  <w:style w:type="character" w:customStyle="1" w:styleId="Heading6Char">
    <w:name w:val="Heading 6 Char"/>
    <w:basedOn w:val="DefaultParagraphFont"/>
    <w:link w:val="Heading6"/>
    <w:uiPriority w:val="9"/>
    <w:semiHidden/>
    <w:rsid w:val="00BD231F"/>
    <w:rPr>
      <w:rFonts w:eastAsiaTheme="majorEastAsia" w:cstheme="majorBidi"/>
      <w:i/>
      <w:iCs/>
      <w:color w:val="595959" w:themeColor="text1" w:themeTint="A6"/>
      <w:sz w:val="21"/>
      <w:szCs w:val="21"/>
    </w:rPr>
  </w:style>
  <w:style w:type="character" w:customStyle="1" w:styleId="Heading7Char">
    <w:name w:val="Heading 7 Char"/>
    <w:basedOn w:val="DefaultParagraphFont"/>
    <w:link w:val="Heading7"/>
    <w:uiPriority w:val="9"/>
    <w:semiHidden/>
    <w:rsid w:val="00BD231F"/>
    <w:rPr>
      <w:rFonts w:eastAsiaTheme="majorEastAsia" w:cstheme="majorBidi"/>
      <w:color w:val="595959" w:themeColor="text1" w:themeTint="A6"/>
      <w:sz w:val="21"/>
      <w:szCs w:val="21"/>
    </w:rPr>
  </w:style>
  <w:style w:type="character" w:customStyle="1" w:styleId="Heading8Char">
    <w:name w:val="Heading 8 Char"/>
    <w:basedOn w:val="DefaultParagraphFont"/>
    <w:link w:val="Heading8"/>
    <w:uiPriority w:val="9"/>
    <w:semiHidden/>
    <w:rsid w:val="00BD231F"/>
    <w:rPr>
      <w:rFonts w:eastAsiaTheme="majorEastAsia" w:cstheme="majorBidi"/>
      <w:i/>
      <w:iCs/>
      <w:color w:val="272727" w:themeColor="text1" w:themeTint="D8"/>
      <w:sz w:val="21"/>
      <w:szCs w:val="21"/>
    </w:rPr>
  </w:style>
  <w:style w:type="character" w:customStyle="1" w:styleId="Heading9Char">
    <w:name w:val="Heading 9 Char"/>
    <w:basedOn w:val="DefaultParagraphFont"/>
    <w:link w:val="Heading9"/>
    <w:uiPriority w:val="9"/>
    <w:semiHidden/>
    <w:rsid w:val="00BD231F"/>
    <w:rPr>
      <w:rFonts w:eastAsiaTheme="majorEastAsia" w:cstheme="majorBidi"/>
      <w:color w:val="272727" w:themeColor="text1" w:themeTint="D8"/>
      <w:sz w:val="21"/>
      <w:szCs w:val="21"/>
    </w:rPr>
  </w:style>
  <w:style w:type="paragraph" w:styleId="Title">
    <w:name w:val="Title"/>
    <w:basedOn w:val="Normal"/>
    <w:next w:val="Normal"/>
    <w:link w:val="TitleChar"/>
    <w:uiPriority w:val="10"/>
    <w:qFormat/>
    <w:rsid w:val="009D2F62"/>
    <w:pPr>
      <w:spacing w:after="80"/>
      <w:contextualSpacing/>
    </w:pPr>
    <w:rPr>
      <w:rFonts w:asciiTheme="majorHAnsi" w:eastAsiaTheme="majorEastAsia" w:hAnsiTheme="majorHAnsi" w:cstheme="majorBidi"/>
      <w:color w:val="555555" w:themeColor="text2"/>
      <w:spacing w:val="-10"/>
      <w:kern w:val="28"/>
      <w:sz w:val="72"/>
      <w:szCs w:val="72"/>
    </w:rPr>
  </w:style>
  <w:style w:type="character" w:customStyle="1" w:styleId="TitleChar">
    <w:name w:val="Title Char"/>
    <w:basedOn w:val="DefaultParagraphFont"/>
    <w:link w:val="Title"/>
    <w:uiPriority w:val="10"/>
    <w:rsid w:val="009D2F62"/>
    <w:rPr>
      <w:rFonts w:asciiTheme="majorHAnsi" w:eastAsiaTheme="majorEastAsia" w:hAnsiTheme="majorHAnsi" w:cstheme="majorBidi"/>
      <w:color w:val="555555" w:themeColor="text2"/>
      <w:spacing w:val="-10"/>
      <w:kern w:val="28"/>
      <w:sz w:val="72"/>
      <w:szCs w:val="72"/>
    </w:rPr>
  </w:style>
  <w:style w:type="paragraph" w:styleId="Subtitle">
    <w:name w:val="Subtitle"/>
    <w:basedOn w:val="Normal"/>
    <w:next w:val="Normal"/>
    <w:link w:val="SubtitleChar"/>
    <w:uiPriority w:val="11"/>
    <w:qFormat/>
    <w:rsid w:val="009D2F62"/>
    <w:pPr>
      <w:numPr>
        <w:ilvl w:val="1"/>
      </w:numPr>
      <w:spacing w:after="160"/>
    </w:pPr>
    <w:rPr>
      <w:rFonts w:eastAsiaTheme="majorEastAsia" w:cstheme="majorBidi"/>
      <w:color w:val="595959" w:themeColor="text1" w:themeTint="A6"/>
      <w:spacing w:val="15"/>
      <w:sz w:val="32"/>
      <w:szCs w:val="32"/>
    </w:rPr>
  </w:style>
  <w:style w:type="character" w:customStyle="1" w:styleId="SubtitleChar">
    <w:name w:val="Subtitle Char"/>
    <w:basedOn w:val="DefaultParagraphFont"/>
    <w:link w:val="Subtitle"/>
    <w:uiPriority w:val="11"/>
    <w:rsid w:val="009D2F62"/>
    <w:rPr>
      <w:rFonts w:eastAsiaTheme="majorEastAsia" w:cstheme="majorBidi"/>
      <w:color w:val="595959" w:themeColor="text1" w:themeTint="A6"/>
      <w:spacing w:val="15"/>
      <w:sz w:val="32"/>
      <w:szCs w:val="32"/>
    </w:rPr>
  </w:style>
  <w:style w:type="paragraph" w:styleId="Quote">
    <w:name w:val="Quote"/>
    <w:basedOn w:val="Normal"/>
    <w:next w:val="Normal"/>
    <w:link w:val="QuoteChar"/>
    <w:uiPriority w:val="29"/>
    <w:qFormat/>
    <w:rsid w:val="00BD231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D231F"/>
    <w:rPr>
      <w:i/>
      <w:iCs/>
      <w:color w:val="404040" w:themeColor="text1" w:themeTint="BF"/>
    </w:rPr>
  </w:style>
  <w:style w:type="paragraph" w:styleId="ListParagraph">
    <w:name w:val="List Paragraph"/>
    <w:basedOn w:val="Normal"/>
    <w:uiPriority w:val="34"/>
    <w:qFormat/>
    <w:rsid w:val="00BD231F"/>
    <w:pPr>
      <w:ind w:left="720"/>
      <w:contextualSpacing/>
    </w:pPr>
  </w:style>
  <w:style w:type="character" w:styleId="IntenseEmphasis">
    <w:name w:val="Intense Emphasis"/>
    <w:basedOn w:val="DefaultParagraphFont"/>
    <w:uiPriority w:val="21"/>
    <w:qFormat/>
    <w:rsid w:val="00BD231F"/>
    <w:rPr>
      <w:i/>
      <w:iCs/>
      <w:color w:val="3E3E3E" w:themeColor="accent1" w:themeShade="BF"/>
    </w:rPr>
  </w:style>
  <w:style w:type="paragraph" w:styleId="IntenseQuote">
    <w:name w:val="Intense Quote"/>
    <w:basedOn w:val="Normal"/>
    <w:next w:val="Normal"/>
    <w:link w:val="IntenseQuoteChar"/>
    <w:uiPriority w:val="30"/>
    <w:qFormat/>
    <w:rsid w:val="00BD231F"/>
    <w:pPr>
      <w:pBdr>
        <w:top w:val="single" w:sz="4" w:space="10" w:color="3E3E3E" w:themeColor="accent1" w:themeShade="BF"/>
        <w:bottom w:val="single" w:sz="4" w:space="10" w:color="3E3E3E" w:themeColor="accent1" w:themeShade="BF"/>
      </w:pBdr>
      <w:spacing w:before="360" w:after="360"/>
      <w:ind w:left="864" w:right="864"/>
      <w:jc w:val="center"/>
    </w:pPr>
    <w:rPr>
      <w:i/>
      <w:iCs/>
      <w:color w:val="3E3E3E" w:themeColor="accent1" w:themeShade="BF"/>
    </w:rPr>
  </w:style>
  <w:style w:type="character" w:customStyle="1" w:styleId="IntenseQuoteChar">
    <w:name w:val="Intense Quote Char"/>
    <w:basedOn w:val="DefaultParagraphFont"/>
    <w:link w:val="IntenseQuote"/>
    <w:uiPriority w:val="30"/>
    <w:rsid w:val="00BD231F"/>
    <w:rPr>
      <w:i/>
      <w:iCs/>
      <w:color w:val="3E3E3E" w:themeColor="accent1" w:themeShade="BF"/>
    </w:rPr>
  </w:style>
  <w:style w:type="character" w:styleId="IntenseReference">
    <w:name w:val="Intense Reference"/>
    <w:basedOn w:val="DefaultParagraphFont"/>
    <w:uiPriority w:val="32"/>
    <w:qFormat/>
    <w:rsid w:val="00BD231F"/>
    <w:rPr>
      <w:b/>
      <w:bCs/>
      <w:smallCaps/>
      <w:color w:val="3E3E3E" w:themeColor="accent1" w:themeShade="BF"/>
      <w:spacing w:val="5"/>
    </w:rPr>
  </w:style>
  <w:style w:type="paragraph" w:styleId="Header">
    <w:name w:val="header"/>
    <w:basedOn w:val="Normal"/>
    <w:link w:val="HeaderChar"/>
    <w:uiPriority w:val="99"/>
    <w:unhideWhenUsed/>
    <w:rsid w:val="00924A6A"/>
    <w:pPr>
      <w:tabs>
        <w:tab w:val="center" w:pos="4513"/>
        <w:tab w:val="right" w:pos="9026"/>
      </w:tabs>
    </w:pPr>
  </w:style>
  <w:style w:type="character" w:customStyle="1" w:styleId="HeaderChar">
    <w:name w:val="Header Char"/>
    <w:basedOn w:val="DefaultParagraphFont"/>
    <w:link w:val="Header"/>
    <w:uiPriority w:val="99"/>
    <w:rsid w:val="00924A6A"/>
  </w:style>
  <w:style w:type="paragraph" w:styleId="Footer">
    <w:name w:val="footer"/>
    <w:basedOn w:val="FootnoteText"/>
    <w:link w:val="FooterChar"/>
    <w:uiPriority w:val="99"/>
    <w:unhideWhenUsed/>
    <w:rsid w:val="002E1D9B"/>
    <w:rPr>
      <w:szCs w:val="16"/>
    </w:rPr>
  </w:style>
  <w:style w:type="character" w:customStyle="1" w:styleId="FooterChar">
    <w:name w:val="Footer Char"/>
    <w:basedOn w:val="DefaultParagraphFont"/>
    <w:link w:val="Footer"/>
    <w:uiPriority w:val="99"/>
    <w:rsid w:val="002E1D9B"/>
    <w:rPr>
      <w:sz w:val="16"/>
      <w:szCs w:val="16"/>
    </w:rPr>
  </w:style>
  <w:style w:type="character" w:styleId="PageNumber">
    <w:name w:val="page number"/>
    <w:basedOn w:val="DefaultParagraphFont"/>
    <w:uiPriority w:val="99"/>
    <w:semiHidden/>
    <w:unhideWhenUsed/>
    <w:rsid w:val="00924A6A"/>
  </w:style>
  <w:style w:type="paragraph" w:customStyle="1" w:styleId="NormalGrey">
    <w:name w:val="Normal Grey"/>
    <w:basedOn w:val="Normal"/>
    <w:qFormat/>
    <w:rsid w:val="009D2F62"/>
    <w:rPr>
      <w:color w:val="555555" w:themeColor="text2"/>
    </w:rPr>
  </w:style>
  <w:style w:type="paragraph" w:customStyle="1" w:styleId="BulletPoints">
    <w:name w:val="Bullet Points"/>
    <w:basedOn w:val="Normal"/>
    <w:qFormat/>
    <w:rsid w:val="00D37606"/>
    <w:pPr>
      <w:numPr>
        <w:numId w:val="3"/>
      </w:numPr>
      <w:spacing w:line="240" w:lineRule="auto"/>
    </w:pPr>
  </w:style>
  <w:style w:type="numbering" w:customStyle="1" w:styleId="CurrentList1">
    <w:name w:val="Current List1"/>
    <w:uiPriority w:val="99"/>
    <w:rsid w:val="00D37606"/>
    <w:pPr>
      <w:numPr>
        <w:numId w:val="5"/>
      </w:numPr>
    </w:pPr>
  </w:style>
  <w:style w:type="paragraph" w:customStyle="1" w:styleId="NumberedList">
    <w:name w:val="Numbered List"/>
    <w:basedOn w:val="BulletPoints"/>
    <w:qFormat/>
    <w:rsid w:val="00D37606"/>
    <w:pPr>
      <w:numPr>
        <w:numId w:val="7"/>
      </w:numPr>
    </w:pPr>
  </w:style>
  <w:style w:type="numbering" w:customStyle="1" w:styleId="CurrentList2">
    <w:name w:val="Current List2"/>
    <w:uiPriority w:val="99"/>
    <w:rsid w:val="00D37606"/>
    <w:pPr>
      <w:numPr>
        <w:numId w:val="6"/>
      </w:numPr>
    </w:pPr>
  </w:style>
  <w:style w:type="paragraph" w:styleId="TOCHeading">
    <w:name w:val="TOC Heading"/>
    <w:basedOn w:val="Heading1"/>
    <w:next w:val="Normal"/>
    <w:uiPriority w:val="39"/>
    <w:unhideWhenUsed/>
    <w:qFormat/>
    <w:rsid w:val="003E1A31"/>
    <w:pPr>
      <w:snapToGrid/>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3E1A31"/>
    <w:pPr>
      <w:spacing w:before="240"/>
    </w:pPr>
    <w:rPr>
      <w:rFonts w:cstheme="minorHAnsi"/>
      <w:b/>
      <w:bCs/>
      <w:szCs w:val="20"/>
    </w:rPr>
  </w:style>
  <w:style w:type="paragraph" w:styleId="TOC2">
    <w:name w:val="toc 2"/>
    <w:basedOn w:val="Normal"/>
    <w:next w:val="Normal"/>
    <w:autoRedefine/>
    <w:uiPriority w:val="39"/>
    <w:unhideWhenUsed/>
    <w:rsid w:val="003E1A31"/>
    <w:pPr>
      <w:spacing w:after="0"/>
      <w:ind w:left="200"/>
    </w:pPr>
    <w:rPr>
      <w:rFonts w:cstheme="minorHAnsi"/>
      <w:i/>
      <w:iCs/>
      <w:szCs w:val="20"/>
    </w:rPr>
  </w:style>
  <w:style w:type="paragraph" w:styleId="TOC3">
    <w:name w:val="toc 3"/>
    <w:basedOn w:val="Normal"/>
    <w:next w:val="Normal"/>
    <w:autoRedefine/>
    <w:uiPriority w:val="39"/>
    <w:unhideWhenUsed/>
    <w:rsid w:val="003E1A31"/>
    <w:pPr>
      <w:spacing w:before="0" w:after="0"/>
      <w:ind w:left="400"/>
    </w:pPr>
    <w:rPr>
      <w:rFonts w:cstheme="minorHAnsi"/>
      <w:szCs w:val="20"/>
    </w:rPr>
  </w:style>
  <w:style w:type="character" w:styleId="Hyperlink">
    <w:name w:val="Hyperlink"/>
    <w:basedOn w:val="DefaultParagraphFont"/>
    <w:uiPriority w:val="99"/>
    <w:unhideWhenUsed/>
    <w:rsid w:val="003E1A31"/>
    <w:rPr>
      <w:color w:val="545454" w:themeColor="hyperlink"/>
      <w:u w:val="single"/>
    </w:rPr>
  </w:style>
  <w:style w:type="paragraph" w:styleId="TOC4">
    <w:name w:val="toc 4"/>
    <w:basedOn w:val="Normal"/>
    <w:next w:val="Normal"/>
    <w:autoRedefine/>
    <w:uiPriority w:val="39"/>
    <w:semiHidden/>
    <w:unhideWhenUsed/>
    <w:rsid w:val="003E1A31"/>
    <w:pPr>
      <w:spacing w:before="0" w:after="0"/>
      <w:ind w:left="600"/>
    </w:pPr>
    <w:rPr>
      <w:rFonts w:cstheme="minorHAnsi"/>
      <w:szCs w:val="20"/>
    </w:rPr>
  </w:style>
  <w:style w:type="paragraph" w:styleId="TOC5">
    <w:name w:val="toc 5"/>
    <w:basedOn w:val="Normal"/>
    <w:next w:val="Normal"/>
    <w:autoRedefine/>
    <w:uiPriority w:val="39"/>
    <w:semiHidden/>
    <w:unhideWhenUsed/>
    <w:rsid w:val="003E1A31"/>
    <w:pPr>
      <w:spacing w:before="0" w:after="0"/>
      <w:ind w:left="800"/>
    </w:pPr>
    <w:rPr>
      <w:rFonts w:cstheme="minorHAnsi"/>
      <w:szCs w:val="20"/>
    </w:rPr>
  </w:style>
  <w:style w:type="paragraph" w:styleId="TOC6">
    <w:name w:val="toc 6"/>
    <w:basedOn w:val="Normal"/>
    <w:next w:val="Normal"/>
    <w:autoRedefine/>
    <w:uiPriority w:val="39"/>
    <w:semiHidden/>
    <w:unhideWhenUsed/>
    <w:rsid w:val="003E1A31"/>
    <w:pPr>
      <w:spacing w:before="0" w:after="0"/>
      <w:ind w:left="1000"/>
    </w:pPr>
    <w:rPr>
      <w:rFonts w:cstheme="minorHAnsi"/>
      <w:szCs w:val="20"/>
    </w:rPr>
  </w:style>
  <w:style w:type="paragraph" w:styleId="TOC7">
    <w:name w:val="toc 7"/>
    <w:basedOn w:val="Normal"/>
    <w:next w:val="Normal"/>
    <w:autoRedefine/>
    <w:uiPriority w:val="39"/>
    <w:semiHidden/>
    <w:unhideWhenUsed/>
    <w:rsid w:val="003E1A31"/>
    <w:pPr>
      <w:spacing w:before="0" w:after="0"/>
      <w:ind w:left="1200"/>
    </w:pPr>
    <w:rPr>
      <w:rFonts w:cstheme="minorHAnsi"/>
      <w:szCs w:val="20"/>
    </w:rPr>
  </w:style>
  <w:style w:type="paragraph" w:styleId="TOC8">
    <w:name w:val="toc 8"/>
    <w:basedOn w:val="Normal"/>
    <w:next w:val="Normal"/>
    <w:autoRedefine/>
    <w:uiPriority w:val="39"/>
    <w:semiHidden/>
    <w:unhideWhenUsed/>
    <w:rsid w:val="003E1A31"/>
    <w:pPr>
      <w:spacing w:before="0" w:after="0"/>
      <w:ind w:left="1400"/>
    </w:pPr>
    <w:rPr>
      <w:rFonts w:cstheme="minorHAnsi"/>
      <w:szCs w:val="20"/>
    </w:rPr>
  </w:style>
  <w:style w:type="paragraph" w:styleId="TOC9">
    <w:name w:val="toc 9"/>
    <w:basedOn w:val="Normal"/>
    <w:next w:val="Normal"/>
    <w:autoRedefine/>
    <w:uiPriority w:val="39"/>
    <w:semiHidden/>
    <w:unhideWhenUsed/>
    <w:rsid w:val="003E1A31"/>
    <w:pPr>
      <w:spacing w:before="0" w:after="0"/>
      <w:ind w:left="1600"/>
    </w:pPr>
    <w:rPr>
      <w:rFonts w:cstheme="minorHAnsi"/>
      <w:szCs w:val="20"/>
    </w:rPr>
  </w:style>
  <w:style w:type="paragraph" w:customStyle="1" w:styleId="OrganisationSectionBranch">
    <w:name w:val="Organisation/Section/Branch"/>
    <w:basedOn w:val="Subtitle"/>
    <w:link w:val="OrganisationSectionBranchChar"/>
    <w:qFormat/>
    <w:rsid w:val="00F7610E"/>
    <w:pPr>
      <w:spacing w:after="0"/>
    </w:pPr>
    <w:rPr>
      <w:rFonts w:asciiTheme="majorHAnsi" w:hAnsiTheme="majorHAnsi" w:cstheme="majorHAnsi"/>
      <w:sz w:val="28"/>
      <w:szCs w:val="28"/>
    </w:rPr>
  </w:style>
  <w:style w:type="character" w:customStyle="1" w:styleId="OrganisationSectionBranchChar">
    <w:name w:val="Organisation/Section/Branch Char"/>
    <w:basedOn w:val="SubtitleChar"/>
    <w:link w:val="OrganisationSectionBranch"/>
    <w:rsid w:val="00F7610E"/>
    <w:rPr>
      <w:rFonts w:asciiTheme="majorHAnsi" w:eastAsiaTheme="majorEastAsia" w:hAnsiTheme="majorHAnsi" w:cstheme="majorHAnsi"/>
      <w:color w:val="595959" w:themeColor="text1" w:themeTint="A6"/>
      <w:spacing w:val="15"/>
      <w:sz w:val="28"/>
      <w:szCs w:val="28"/>
    </w:rPr>
  </w:style>
  <w:style w:type="paragraph" w:customStyle="1" w:styleId="DocumentTitle">
    <w:name w:val="Document Title"/>
    <w:basedOn w:val="Title"/>
    <w:link w:val="DocumentTitleChar"/>
    <w:qFormat/>
    <w:rsid w:val="00F7610E"/>
    <w:pPr>
      <w:spacing w:before="0"/>
    </w:pPr>
    <w:rPr>
      <w:sz w:val="96"/>
      <w:szCs w:val="96"/>
    </w:rPr>
  </w:style>
  <w:style w:type="character" w:customStyle="1" w:styleId="DocumentTitleChar">
    <w:name w:val="Document Title Char"/>
    <w:basedOn w:val="TitleChar"/>
    <w:link w:val="DocumentTitle"/>
    <w:rsid w:val="00F7610E"/>
    <w:rPr>
      <w:rFonts w:asciiTheme="majorHAnsi" w:eastAsiaTheme="majorEastAsia" w:hAnsiTheme="majorHAnsi" w:cstheme="majorBidi"/>
      <w:color w:val="555555" w:themeColor="text2"/>
      <w:spacing w:val="-10"/>
      <w:kern w:val="28"/>
      <w:sz w:val="96"/>
      <w:szCs w:val="96"/>
    </w:rPr>
  </w:style>
  <w:style w:type="paragraph" w:styleId="NoSpacing">
    <w:name w:val="No Spacing"/>
    <w:link w:val="NoSpacingChar"/>
    <w:uiPriority w:val="1"/>
    <w:qFormat/>
    <w:rsid w:val="00801C9E"/>
    <w:pPr>
      <w:snapToGrid w:val="0"/>
    </w:pPr>
    <w:rPr>
      <w:sz w:val="20"/>
    </w:rPr>
  </w:style>
  <w:style w:type="paragraph" w:styleId="Revision">
    <w:name w:val="Revision"/>
    <w:hidden/>
    <w:uiPriority w:val="99"/>
    <w:semiHidden/>
    <w:rsid w:val="0022539F"/>
    <w:rPr>
      <w:sz w:val="20"/>
    </w:rPr>
  </w:style>
  <w:style w:type="character" w:styleId="CommentReference">
    <w:name w:val="annotation reference"/>
    <w:basedOn w:val="DefaultParagraphFont"/>
    <w:uiPriority w:val="99"/>
    <w:unhideWhenUsed/>
    <w:rsid w:val="00DB3749"/>
    <w:rPr>
      <w:sz w:val="16"/>
      <w:szCs w:val="16"/>
    </w:rPr>
  </w:style>
  <w:style w:type="paragraph" w:styleId="CommentText">
    <w:name w:val="annotation text"/>
    <w:basedOn w:val="Normal"/>
    <w:link w:val="CommentTextChar"/>
    <w:uiPriority w:val="99"/>
    <w:unhideWhenUsed/>
    <w:rsid w:val="00DB3749"/>
    <w:pPr>
      <w:spacing w:line="240" w:lineRule="auto"/>
    </w:pPr>
    <w:rPr>
      <w:szCs w:val="20"/>
    </w:rPr>
  </w:style>
  <w:style w:type="character" w:customStyle="1" w:styleId="CommentTextChar">
    <w:name w:val="Comment Text Char"/>
    <w:basedOn w:val="DefaultParagraphFont"/>
    <w:link w:val="CommentText"/>
    <w:uiPriority w:val="99"/>
    <w:rsid w:val="00DB3749"/>
    <w:rPr>
      <w:sz w:val="20"/>
      <w:szCs w:val="20"/>
    </w:rPr>
  </w:style>
  <w:style w:type="paragraph" w:styleId="CommentSubject">
    <w:name w:val="annotation subject"/>
    <w:basedOn w:val="CommentText"/>
    <w:next w:val="CommentText"/>
    <w:link w:val="CommentSubjectChar"/>
    <w:uiPriority w:val="99"/>
    <w:semiHidden/>
    <w:unhideWhenUsed/>
    <w:rsid w:val="00DB3749"/>
    <w:rPr>
      <w:b/>
      <w:bCs/>
    </w:rPr>
  </w:style>
  <w:style w:type="character" w:customStyle="1" w:styleId="CommentSubjectChar">
    <w:name w:val="Comment Subject Char"/>
    <w:basedOn w:val="CommentTextChar"/>
    <w:link w:val="CommentSubject"/>
    <w:uiPriority w:val="99"/>
    <w:semiHidden/>
    <w:rsid w:val="00DB3749"/>
    <w:rPr>
      <w:b/>
      <w:bCs/>
      <w:sz w:val="20"/>
      <w:szCs w:val="20"/>
    </w:rPr>
  </w:style>
  <w:style w:type="character" w:styleId="UnresolvedMention">
    <w:name w:val="Unresolved Mention"/>
    <w:basedOn w:val="DefaultParagraphFont"/>
    <w:uiPriority w:val="99"/>
    <w:semiHidden/>
    <w:unhideWhenUsed/>
    <w:rsid w:val="00655B19"/>
    <w:rPr>
      <w:color w:val="605E5C"/>
      <w:shd w:val="clear" w:color="auto" w:fill="E1DFDD"/>
    </w:rPr>
  </w:style>
  <w:style w:type="table" w:styleId="TableGrid">
    <w:name w:val="Table Grid"/>
    <w:basedOn w:val="TableNormal"/>
    <w:uiPriority w:val="39"/>
    <w:rsid w:val="003E5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1736AC"/>
    <w:pPr>
      <w:spacing w:before="0" w:after="0" w:line="240" w:lineRule="auto"/>
    </w:pPr>
    <w:rPr>
      <w:sz w:val="16"/>
      <w:szCs w:val="20"/>
    </w:rPr>
  </w:style>
  <w:style w:type="character" w:customStyle="1" w:styleId="FootnoteTextChar">
    <w:name w:val="Footnote Text Char"/>
    <w:basedOn w:val="DefaultParagraphFont"/>
    <w:link w:val="FootnoteText"/>
    <w:rsid w:val="001736AC"/>
    <w:rPr>
      <w:sz w:val="16"/>
      <w:szCs w:val="20"/>
    </w:rPr>
  </w:style>
  <w:style w:type="character" w:styleId="FootnoteReference">
    <w:name w:val="footnote reference"/>
    <w:basedOn w:val="DefaultParagraphFont"/>
    <w:semiHidden/>
    <w:unhideWhenUsed/>
    <w:rsid w:val="00101970"/>
    <w:rPr>
      <w:vertAlign w:val="superscript"/>
    </w:rPr>
  </w:style>
  <w:style w:type="table" w:styleId="ListTable2-Accent2">
    <w:name w:val="List Table 2 Accent 2"/>
    <w:basedOn w:val="TableNormal"/>
    <w:uiPriority w:val="47"/>
    <w:rsid w:val="00740C44"/>
    <w:tblPr>
      <w:tblStyleRowBandSize w:val="1"/>
      <w:tblStyleColBandSize w:val="1"/>
      <w:tblBorders>
        <w:top w:val="single" w:sz="4" w:space="0" w:color="FFED63" w:themeColor="accent2" w:themeTint="99"/>
        <w:bottom w:val="single" w:sz="4" w:space="0" w:color="FFED63" w:themeColor="accent2" w:themeTint="99"/>
        <w:insideH w:val="single" w:sz="4" w:space="0" w:color="FFED6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9CB" w:themeFill="accent2" w:themeFillTint="33"/>
      </w:tcPr>
    </w:tblStylePr>
    <w:tblStylePr w:type="band1Horz">
      <w:tblPr/>
      <w:tcPr>
        <w:shd w:val="clear" w:color="auto" w:fill="FFF9CB" w:themeFill="accent2" w:themeFillTint="33"/>
      </w:tcPr>
    </w:tblStylePr>
  </w:style>
  <w:style w:type="character" w:styleId="Mention">
    <w:name w:val="Mention"/>
    <w:basedOn w:val="DefaultParagraphFont"/>
    <w:uiPriority w:val="99"/>
    <w:unhideWhenUsed/>
    <w:rsid w:val="00A33CAB"/>
    <w:rPr>
      <w:color w:val="2B579A"/>
      <w:shd w:val="clear" w:color="auto" w:fill="E1DFDD"/>
    </w:rPr>
  </w:style>
  <w:style w:type="character" w:styleId="FollowedHyperlink">
    <w:name w:val="FollowedHyperlink"/>
    <w:basedOn w:val="DefaultParagraphFont"/>
    <w:uiPriority w:val="99"/>
    <w:semiHidden/>
    <w:unhideWhenUsed/>
    <w:rsid w:val="00AA48E0"/>
    <w:rPr>
      <w:color w:val="5399B2" w:themeColor="followedHyperlink"/>
      <w:u w:val="single"/>
    </w:rPr>
  </w:style>
  <w:style w:type="table" w:styleId="GridTable4-Accent3">
    <w:name w:val="Grid Table 4 Accent 3"/>
    <w:basedOn w:val="TableNormal"/>
    <w:uiPriority w:val="49"/>
    <w:rsid w:val="00AA48E0"/>
    <w:tblPr>
      <w:tblStyleRowBandSize w:val="1"/>
      <w:tblStyleColBandSize w:val="1"/>
      <w:tblBorders>
        <w:top w:val="single" w:sz="4" w:space="0" w:color="97C1D0" w:themeColor="accent3" w:themeTint="99"/>
        <w:left w:val="single" w:sz="4" w:space="0" w:color="97C1D0" w:themeColor="accent3" w:themeTint="99"/>
        <w:bottom w:val="single" w:sz="4" w:space="0" w:color="97C1D0" w:themeColor="accent3" w:themeTint="99"/>
        <w:right w:val="single" w:sz="4" w:space="0" w:color="97C1D0" w:themeColor="accent3" w:themeTint="99"/>
        <w:insideH w:val="single" w:sz="4" w:space="0" w:color="97C1D0" w:themeColor="accent3" w:themeTint="99"/>
        <w:insideV w:val="single" w:sz="4" w:space="0" w:color="97C1D0" w:themeColor="accent3" w:themeTint="99"/>
      </w:tblBorders>
    </w:tblPr>
    <w:tblStylePr w:type="firstRow">
      <w:rPr>
        <w:b/>
        <w:bCs/>
        <w:color w:val="FFFFFF" w:themeColor="background1"/>
      </w:rPr>
      <w:tblPr/>
      <w:tcPr>
        <w:tcBorders>
          <w:top w:val="single" w:sz="4" w:space="0" w:color="5399B2" w:themeColor="accent3"/>
          <w:left w:val="single" w:sz="4" w:space="0" w:color="5399B2" w:themeColor="accent3"/>
          <w:bottom w:val="single" w:sz="4" w:space="0" w:color="5399B2" w:themeColor="accent3"/>
          <w:right w:val="single" w:sz="4" w:space="0" w:color="5399B2" w:themeColor="accent3"/>
          <w:insideH w:val="nil"/>
          <w:insideV w:val="nil"/>
        </w:tcBorders>
        <w:shd w:val="clear" w:color="auto" w:fill="5399B2" w:themeFill="accent3"/>
      </w:tcPr>
    </w:tblStylePr>
    <w:tblStylePr w:type="lastRow">
      <w:rPr>
        <w:b/>
        <w:bCs/>
      </w:rPr>
      <w:tblPr/>
      <w:tcPr>
        <w:tcBorders>
          <w:top w:val="double" w:sz="4" w:space="0" w:color="5399B2" w:themeColor="accent3"/>
        </w:tcBorders>
      </w:tcPr>
    </w:tblStylePr>
    <w:tblStylePr w:type="firstCol">
      <w:rPr>
        <w:b/>
        <w:bCs/>
      </w:rPr>
    </w:tblStylePr>
    <w:tblStylePr w:type="lastCol">
      <w:rPr>
        <w:b/>
        <w:bCs/>
      </w:rPr>
    </w:tblStylePr>
    <w:tblStylePr w:type="band1Vert">
      <w:tblPr/>
      <w:tcPr>
        <w:shd w:val="clear" w:color="auto" w:fill="DCEAEF" w:themeFill="accent3" w:themeFillTint="33"/>
      </w:tcPr>
    </w:tblStylePr>
    <w:tblStylePr w:type="band1Horz">
      <w:tblPr/>
      <w:tcPr>
        <w:shd w:val="clear" w:color="auto" w:fill="DCEAEF" w:themeFill="accent3" w:themeFillTint="33"/>
      </w:tcPr>
    </w:tblStylePr>
  </w:style>
  <w:style w:type="table" w:styleId="GridTable5Dark-Accent6">
    <w:name w:val="Grid Table 5 Dark Accent 6"/>
    <w:basedOn w:val="TableNormal"/>
    <w:uiPriority w:val="50"/>
    <w:rsid w:val="00AA48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4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788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788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788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788A" w:themeFill="accent6"/>
      </w:tcPr>
    </w:tblStylePr>
    <w:tblStylePr w:type="band1Vert">
      <w:tblPr/>
      <w:tcPr>
        <w:shd w:val="clear" w:color="auto" w:fill="B4CAD4" w:themeFill="accent6" w:themeFillTint="66"/>
      </w:tcPr>
    </w:tblStylePr>
    <w:tblStylePr w:type="band1Horz">
      <w:tblPr/>
      <w:tcPr>
        <w:shd w:val="clear" w:color="auto" w:fill="B4CAD4" w:themeFill="accent6" w:themeFillTint="66"/>
      </w:tcPr>
    </w:tblStylePr>
  </w:style>
  <w:style w:type="paragraph" w:styleId="Caption">
    <w:name w:val="caption"/>
    <w:basedOn w:val="Normal"/>
    <w:next w:val="Normal"/>
    <w:uiPriority w:val="35"/>
    <w:unhideWhenUsed/>
    <w:qFormat/>
    <w:rsid w:val="007F6EB0"/>
    <w:pPr>
      <w:spacing w:before="0" w:after="200" w:line="240" w:lineRule="auto"/>
    </w:pPr>
    <w:rPr>
      <w:i/>
      <w:iCs/>
      <w:color w:val="555555" w:themeColor="text2"/>
      <w:sz w:val="18"/>
      <w:szCs w:val="18"/>
    </w:rPr>
  </w:style>
  <w:style w:type="character" w:customStyle="1" w:styleId="NoSpacingChar">
    <w:name w:val="No Spacing Char"/>
    <w:basedOn w:val="DefaultParagraphFont"/>
    <w:link w:val="NoSpacing"/>
    <w:uiPriority w:val="1"/>
    <w:rsid w:val="00D31E2D"/>
    <w:rPr>
      <w:sz w:val="20"/>
    </w:rPr>
  </w:style>
  <w:style w:type="paragraph" w:customStyle="1" w:styleId="Title2">
    <w:name w:val="Title 2"/>
    <w:basedOn w:val="Title"/>
    <w:uiPriority w:val="17"/>
    <w:qFormat/>
    <w:rsid w:val="00D31E2D"/>
    <w:pPr>
      <w:framePr w:w="6917" w:h="7655" w:hRule="exact" w:wrap="around" w:vAnchor="page" w:hAnchor="page" w:x="1033" w:y="6465"/>
      <w:snapToGrid/>
      <w:spacing w:before="0" w:after="425" w:line="240" w:lineRule="auto"/>
      <w:contextualSpacing w:val="0"/>
      <w:jc w:val="left"/>
    </w:pPr>
    <w:rPr>
      <w:rFonts w:asciiTheme="minorHAnsi" w:eastAsiaTheme="minorHAnsi" w:hAnsiTheme="minorHAnsi" w:cs="Times New Roman"/>
      <w:color w:val="000000" w:themeColor="text1"/>
      <w:spacing w:val="0"/>
      <w:kern w:val="0"/>
      <w:szCs w:val="82"/>
      <w14:ligatures w14:val="none"/>
    </w:rPr>
  </w:style>
  <w:style w:type="paragraph" w:customStyle="1" w:styleId="Subtitle2">
    <w:name w:val="Subtitle 2"/>
    <w:basedOn w:val="Subtitle"/>
    <w:uiPriority w:val="18"/>
    <w:qFormat/>
    <w:rsid w:val="00D31E2D"/>
    <w:pPr>
      <w:framePr w:w="6917" w:h="7655" w:hRule="exact" w:wrap="around" w:vAnchor="page" w:hAnchor="page" w:x="1033" w:y="6465"/>
      <w:numPr>
        <w:ilvl w:val="0"/>
      </w:numPr>
      <w:snapToGrid/>
      <w:spacing w:before="0" w:after="0" w:line="240" w:lineRule="auto"/>
      <w:jc w:val="left"/>
    </w:pPr>
    <w:rPr>
      <w:rFonts w:eastAsiaTheme="minorHAnsi" w:cs="Times New Roman"/>
      <w:color w:val="000000" w:themeColor="text1"/>
      <w:spacing w:val="0"/>
      <w:kern w:val="0"/>
      <w:szCs w:val="24"/>
      <w14:ligatures w14:val="none"/>
    </w:rPr>
  </w:style>
  <w:style w:type="paragraph" w:styleId="Date">
    <w:name w:val="Date"/>
    <w:basedOn w:val="Normal"/>
    <w:next w:val="Normal"/>
    <w:link w:val="DateChar"/>
    <w:uiPriority w:val="99"/>
    <w:rsid w:val="00D31E2D"/>
    <w:pPr>
      <w:framePr w:w="9866" w:h="1191" w:hRule="exact" w:wrap="around" w:vAnchor="page" w:hAnchor="page" w:x="1022" w:yAlign="bottom"/>
      <w:tabs>
        <w:tab w:val="right" w:pos="9866"/>
      </w:tabs>
      <w:snapToGrid/>
      <w:spacing w:before="0" w:after="0" w:line="240" w:lineRule="auto"/>
      <w:jc w:val="left"/>
    </w:pPr>
    <w:rPr>
      <w:rFonts w:cs="Times New Roman"/>
      <w:b/>
      <w:color w:val="000000" w:themeColor="text1"/>
      <w:kern w:val="0"/>
      <w:sz w:val="22"/>
      <w:szCs w:val="22"/>
      <w14:ligatures w14:val="none"/>
    </w:rPr>
  </w:style>
  <w:style w:type="character" w:customStyle="1" w:styleId="DateChar">
    <w:name w:val="Date Char"/>
    <w:basedOn w:val="DefaultParagraphFont"/>
    <w:link w:val="Date"/>
    <w:uiPriority w:val="99"/>
    <w:rsid w:val="00D31E2D"/>
    <w:rPr>
      <w:rFonts w:cs="Times New Roman"/>
      <w:b/>
      <w:color w:val="000000" w:themeColor="text1"/>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283645">
      <w:bodyDiv w:val="1"/>
      <w:marLeft w:val="0"/>
      <w:marRight w:val="0"/>
      <w:marTop w:val="0"/>
      <w:marBottom w:val="0"/>
      <w:divBdr>
        <w:top w:val="none" w:sz="0" w:space="0" w:color="auto"/>
        <w:left w:val="none" w:sz="0" w:space="0" w:color="auto"/>
        <w:bottom w:val="none" w:sz="0" w:space="0" w:color="auto"/>
        <w:right w:val="none" w:sz="0" w:space="0" w:color="auto"/>
      </w:divBdr>
    </w:div>
    <w:div w:id="233702352">
      <w:bodyDiv w:val="1"/>
      <w:marLeft w:val="0"/>
      <w:marRight w:val="0"/>
      <w:marTop w:val="0"/>
      <w:marBottom w:val="0"/>
      <w:divBdr>
        <w:top w:val="none" w:sz="0" w:space="0" w:color="auto"/>
        <w:left w:val="none" w:sz="0" w:space="0" w:color="auto"/>
        <w:bottom w:val="none" w:sz="0" w:space="0" w:color="auto"/>
        <w:right w:val="none" w:sz="0" w:space="0" w:color="auto"/>
      </w:divBdr>
    </w:div>
    <w:div w:id="295989157">
      <w:bodyDiv w:val="1"/>
      <w:marLeft w:val="0"/>
      <w:marRight w:val="0"/>
      <w:marTop w:val="0"/>
      <w:marBottom w:val="0"/>
      <w:divBdr>
        <w:top w:val="none" w:sz="0" w:space="0" w:color="auto"/>
        <w:left w:val="none" w:sz="0" w:space="0" w:color="auto"/>
        <w:bottom w:val="none" w:sz="0" w:space="0" w:color="auto"/>
        <w:right w:val="none" w:sz="0" w:space="0" w:color="auto"/>
      </w:divBdr>
    </w:div>
    <w:div w:id="482046752">
      <w:bodyDiv w:val="1"/>
      <w:marLeft w:val="0"/>
      <w:marRight w:val="0"/>
      <w:marTop w:val="0"/>
      <w:marBottom w:val="0"/>
      <w:divBdr>
        <w:top w:val="none" w:sz="0" w:space="0" w:color="auto"/>
        <w:left w:val="none" w:sz="0" w:space="0" w:color="auto"/>
        <w:bottom w:val="none" w:sz="0" w:space="0" w:color="auto"/>
        <w:right w:val="none" w:sz="0" w:space="0" w:color="auto"/>
      </w:divBdr>
    </w:div>
    <w:div w:id="808353513">
      <w:bodyDiv w:val="1"/>
      <w:marLeft w:val="0"/>
      <w:marRight w:val="0"/>
      <w:marTop w:val="0"/>
      <w:marBottom w:val="0"/>
      <w:divBdr>
        <w:top w:val="none" w:sz="0" w:space="0" w:color="auto"/>
        <w:left w:val="none" w:sz="0" w:space="0" w:color="auto"/>
        <w:bottom w:val="none" w:sz="0" w:space="0" w:color="auto"/>
        <w:right w:val="none" w:sz="0" w:space="0" w:color="auto"/>
      </w:divBdr>
      <w:divsChild>
        <w:div w:id="992179160">
          <w:marLeft w:val="0"/>
          <w:marRight w:val="0"/>
          <w:marTop w:val="0"/>
          <w:marBottom w:val="0"/>
          <w:divBdr>
            <w:top w:val="none" w:sz="0" w:space="0" w:color="auto"/>
            <w:left w:val="none" w:sz="0" w:space="0" w:color="auto"/>
            <w:bottom w:val="none" w:sz="0" w:space="0" w:color="auto"/>
            <w:right w:val="none" w:sz="0" w:space="0" w:color="auto"/>
          </w:divBdr>
        </w:div>
        <w:div w:id="1541893514">
          <w:marLeft w:val="0"/>
          <w:marRight w:val="0"/>
          <w:marTop w:val="0"/>
          <w:marBottom w:val="0"/>
          <w:divBdr>
            <w:top w:val="none" w:sz="0" w:space="0" w:color="auto"/>
            <w:left w:val="none" w:sz="0" w:space="0" w:color="auto"/>
            <w:bottom w:val="none" w:sz="0" w:space="0" w:color="auto"/>
            <w:right w:val="none" w:sz="0" w:space="0" w:color="auto"/>
          </w:divBdr>
        </w:div>
        <w:div w:id="2094888653">
          <w:marLeft w:val="600"/>
          <w:marRight w:val="0"/>
          <w:marTop w:val="0"/>
          <w:marBottom w:val="0"/>
          <w:divBdr>
            <w:top w:val="none" w:sz="0" w:space="0" w:color="auto"/>
            <w:left w:val="none" w:sz="0" w:space="0" w:color="auto"/>
            <w:bottom w:val="none" w:sz="0" w:space="0" w:color="auto"/>
            <w:right w:val="none" w:sz="0" w:space="0" w:color="auto"/>
          </w:divBdr>
        </w:div>
      </w:divsChild>
    </w:div>
    <w:div w:id="823012535">
      <w:bodyDiv w:val="1"/>
      <w:marLeft w:val="0"/>
      <w:marRight w:val="0"/>
      <w:marTop w:val="0"/>
      <w:marBottom w:val="0"/>
      <w:divBdr>
        <w:top w:val="none" w:sz="0" w:space="0" w:color="auto"/>
        <w:left w:val="none" w:sz="0" w:space="0" w:color="auto"/>
        <w:bottom w:val="none" w:sz="0" w:space="0" w:color="auto"/>
        <w:right w:val="none" w:sz="0" w:space="0" w:color="auto"/>
      </w:divBdr>
    </w:div>
    <w:div w:id="985203842">
      <w:bodyDiv w:val="1"/>
      <w:marLeft w:val="0"/>
      <w:marRight w:val="0"/>
      <w:marTop w:val="0"/>
      <w:marBottom w:val="0"/>
      <w:divBdr>
        <w:top w:val="none" w:sz="0" w:space="0" w:color="auto"/>
        <w:left w:val="none" w:sz="0" w:space="0" w:color="auto"/>
        <w:bottom w:val="none" w:sz="0" w:space="0" w:color="auto"/>
        <w:right w:val="none" w:sz="0" w:space="0" w:color="auto"/>
      </w:divBdr>
      <w:divsChild>
        <w:div w:id="1336960789">
          <w:marLeft w:val="0"/>
          <w:marRight w:val="0"/>
          <w:marTop w:val="0"/>
          <w:marBottom w:val="0"/>
          <w:divBdr>
            <w:top w:val="none" w:sz="0" w:space="0" w:color="auto"/>
            <w:left w:val="none" w:sz="0" w:space="0" w:color="auto"/>
            <w:bottom w:val="none" w:sz="0" w:space="0" w:color="auto"/>
            <w:right w:val="none" w:sz="0" w:space="0" w:color="auto"/>
          </w:divBdr>
        </w:div>
      </w:divsChild>
    </w:div>
    <w:div w:id="997080424">
      <w:bodyDiv w:val="1"/>
      <w:marLeft w:val="0"/>
      <w:marRight w:val="0"/>
      <w:marTop w:val="0"/>
      <w:marBottom w:val="0"/>
      <w:divBdr>
        <w:top w:val="none" w:sz="0" w:space="0" w:color="auto"/>
        <w:left w:val="none" w:sz="0" w:space="0" w:color="auto"/>
        <w:bottom w:val="none" w:sz="0" w:space="0" w:color="auto"/>
        <w:right w:val="none" w:sz="0" w:space="0" w:color="auto"/>
      </w:divBdr>
    </w:div>
    <w:div w:id="1187714002">
      <w:bodyDiv w:val="1"/>
      <w:marLeft w:val="0"/>
      <w:marRight w:val="0"/>
      <w:marTop w:val="0"/>
      <w:marBottom w:val="0"/>
      <w:divBdr>
        <w:top w:val="none" w:sz="0" w:space="0" w:color="auto"/>
        <w:left w:val="none" w:sz="0" w:space="0" w:color="auto"/>
        <w:bottom w:val="none" w:sz="0" w:space="0" w:color="auto"/>
        <w:right w:val="none" w:sz="0" w:space="0" w:color="auto"/>
      </w:divBdr>
    </w:div>
    <w:div w:id="1207835056">
      <w:bodyDiv w:val="1"/>
      <w:marLeft w:val="0"/>
      <w:marRight w:val="0"/>
      <w:marTop w:val="0"/>
      <w:marBottom w:val="0"/>
      <w:divBdr>
        <w:top w:val="none" w:sz="0" w:space="0" w:color="auto"/>
        <w:left w:val="none" w:sz="0" w:space="0" w:color="auto"/>
        <w:bottom w:val="none" w:sz="0" w:space="0" w:color="auto"/>
        <w:right w:val="none" w:sz="0" w:space="0" w:color="auto"/>
      </w:divBdr>
    </w:div>
    <w:div w:id="1250961611">
      <w:bodyDiv w:val="1"/>
      <w:marLeft w:val="0"/>
      <w:marRight w:val="0"/>
      <w:marTop w:val="0"/>
      <w:marBottom w:val="0"/>
      <w:divBdr>
        <w:top w:val="none" w:sz="0" w:space="0" w:color="auto"/>
        <w:left w:val="none" w:sz="0" w:space="0" w:color="auto"/>
        <w:bottom w:val="none" w:sz="0" w:space="0" w:color="auto"/>
        <w:right w:val="none" w:sz="0" w:space="0" w:color="auto"/>
      </w:divBdr>
      <w:divsChild>
        <w:div w:id="610472773">
          <w:marLeft w:val="0"/>
          <w:marRight w:val="0"/>
          <w:marTop w:val="0"/>
          <w:marBottom w:val="0"/>
          <w:divBdr>
            <w:top w:val="none" w:sz="0" w:space="0" w:color="auto"/>
            <w:left w:val="none" w:sz="0" w:space="0" w:color="auto"/>
            <w:bottom w:val="none" w:sz="0" w:space="0" w:color="auto"/>
            <w:right w:val="none" w:sz="0" w:space="0" w:color="auto"/>
          </w:divBdr>
        </w:div>
      </w:divsChild>
    </w:div>
    <w:div w:id="1434521619">
      <w:bodyDiv w:val="1"/>
      <w:marLeft w:val="0"/>
      <w:marRight w:val="0"/>
      <w:marTop w:val="0"/>
      <w:marBottom w:val="0"/>
      <w:divBdr>
        <w:top w:val="none" w:sz="0" w:space="0" w:color="auto"/>
        <w:left w:val="none" w:sz="0" w:space="0" w:color="auto"/>
        <w:bottom w:val="none" w:sz="0" w:space="0" w:color="auto"/>
        <w:right w:val="none" w:sz="0" w:space="0" w:color="auto"/>
      </w:divBdr>
    </w:div>
    <w:div w:id="1443264323">
      <w:bodyDiv w:val="1"/>
      <w:marLeft w:val="0"/>
      <w:marRight w:val="0"/>
      <w:marTop w:val="0"/>
      <w:marBottom w:val="0"/>
      <w:divBdr>
        <w:top w:val="none" w:sz="0" w:space="0" w:color="auto"/>
        <w:left w:val="none" w:sz="0" w:space="0" w:color="auto"/>
        <w:bottom w:val="none" w:sz="0" w:space="0" w:color="auto"/>
        <w:right w:val="none" w:sz="0" w:space="0" w:color="auto"/>
      </w:divBdr>
    </w:div>
    <w:div w:id="1699503935">
      <w:bodyDiv w:val="1"/>
      <w:marLeft w:val="0"/>
      <w:marRight w:val="0"/>
      <w:marTop w:val="0"/>
      <w:marBottom w:val="0"/>
      <w:divBdr>
        <w:top w:val="none" w:sz="0" w:space="0" w:color="auto"/>
        <w:left w:val="none" w:sz="0" w:space="0" w:color="auto"/>
        <w:bottom w:val="none" w:sz="0" w:space="0" w:color="auto"/>
        <w:right w:val="none" w:sz="0" w:space="0" w:color="auto"/>
      </w:divBdr>
    </w:div>
    <w:div w:id="1748383035">
      <w:bodyDiv w:val="1"/>
      <w:marLeft w:val="0"/>
      <w:marRight w:val="0"/>
      <w:marTop w:val="0"/>
      <w:marBottom w:val="0"/>
      <w:divBdr>
        <w:top w:val="none" w:sz="0" w:space="0" w:color="auto"/>
        <w:left w:val="none" w:sz="0" w:space="0" w:color="auto"/>
        <w:bottom w:val="none" w:sz="0" w:space="0" w:color="auto"/>
        <w:right w:val="none" w:sz="0" w:space="0" w:color="auto"/>
      </w:divBdr>
    </w:div>
    <w:div w:id="1884169653">
      <w:bodyDiv w:val="1"/>
      <w:marLeft w:val="0"/>
      <w:marRight w:val="0"/>
      <w:marTop w:val="0"/>
      <w:marBottom w:val="0"/>
      <w:divBdr>
        <w:top w:val="none" w:sz="0" w:space="0" w:color="auto"/>
        <w:left w:val="none" w:sz="0" w:space="0" w:color="auto"/>
        <w:bottom w:val="none" w:sz="0" w:space="0" w:color="auto"/>
        <w:right w:val="none" w:sz="0" w:space="0" w:color="auto"/>
      </w:divBdr>
    </w:div>
    <w:div w:id="2071881373">
      <w:bodyDiv w:val="1"/>
      <w:marLeft w:val="0"/>
      <w:marRight w:val="0"/>
      <w:marTop w:val="0"/>
      <w:marBottom w:val="0"/>
      <w:divBdr>
        <w:top w:val="none" w:sz="0" w:space="0" w:color="auto"/>
        <w:left w:val="none" w:sz="0" w:space="0" w:color="auto"/>
        <w:bottom w:val="none" w:sz="0" w:space="0" w:color="auto"/>
        <w:right w:val="none" w:sz="0" w:space="0" w:color="auto"/>
      </w:divBdr>
      <w:divsChild>
        <w:div w:id="62677149">
          <w:marLeft w:val="274"/>
          <w:marRight w:val="0"/>
          <w:marTop w:val="0"/>
          <w:marBottom w:val="0"/>
          <w:divBdr>
            <w:top w:val="none" w:sz="0" w:space="0" w:color="auto"/>
            <w:left w:val="none" w:sz="0" w:space="0" w:color="auto"/>
            <w:bottom w:val="none" w:sz="0" w:space="0" w:color="auto"/>
            <w:right w:val="none" w:sz="0" w:space="0" w:color="auto"/>
          </w:divBdr>
        </w:div>
        <w:div w:id="71052533">
          <w:marLeft w:val="274"/>
          <w:marRight w:val="0"/>
          <w:marTop w:val="0"/>
          <w:marBottom w:val="0"/>
          <w:divBdr>
            <w:top w:val="none" w:sz="0" w:space="0" w:color="auto"/>
            <w:left w:val="none" w:sz="0" w:space="0" w:color="auto"/>
            <w:bottom w:val="none" w:sz="0" w:space="0" w:color="auto"/>
            <w:right w:val="none" w:sz="0" w:space="0" w:color="auto"/>
          </w:divBdr>
        </w:div>
        <w:div w:id="106510634">
          <w:marLeft w:val="274"/>
          <w:marRight w:val="0"/>
          <w:marTop w:val="0"/>
          <w:marBottom w:val="0"/>
          <w:divBdr>
            <w:top w:val="none" w:sz="0" w:space="0" w:color="auto"/>
            <w:left w:val="none" w:sz="0" w:space="0" w:color="auto"/>
            <w:bottom w:val="none" w:sz="0" w:space="0" w:color="auto"/>
            <w:right w:val="none" w:sz="0" w:space="0" w:color="auto"/>
          </w:divBdr>
        </w:div>
        <w:div w:id="115880427">
          <w:marLeft w:val="274"/>
          <w:marRight w:val="0"/>
          <w:marTop w:val="0"/>
          <w:marBottom w:val="0"/>
          <w:divBdr>
            <w:top w:val="none" w:sz="0" w:space="0" w:color="auto"/>
            <w:left w:val="none" w:sz="0" w:space="0" w:color="auto"/>
            <w:bottom w:val="none" w:sz="0" w:space="0" w:color="auto"/>
            <w:right w:val="none" w:sz="0" w:space="0" w:color="auto"/>
          </w:divBdr>
        </w:div>
        <w:div w:id="206989028">
          <w:marLeft w:val="274"/>
          <w:marRight w:val="0"/>
          <w:marTop w:val="0"/>
          <w:marBottom w:val="0"/>
          <w:divBdr>
            <w:top w:val="none" w:sz="0" w:space="0" w:color="auto"/>
            <w:left w:val="none" w:sz="0" w:space="0" w:color="auto"/>
            <w:bottom w:val="none" w:sz="0" w:space="0" w:color="auto"/>
            <w:right w:val="none" w:sz="0" w:space="0" w:color="auto"/>
          </w:divBdr>
        </w:div>
        <w:div w:id="262303604">
          <w:marLeft w:val="274"/>
          <w:marRight w:val="0"/>
          <w:marTop w:val="0"/>
          <w:marBottom w:val="0"/>
          <w:divBdr>
            <w:top w:val="none" w:sz="0" w:space="0" w:color="auto"/>
            <w:left w:val="none" w:sz="0" w:space="0" w:color="auto"/>
            <w:bottom w:val="none" w:sz="0" w:space="0" w:color="auto"/>
            <w:right w:val="none" w:sz="0" w:space="0" w:color="auto"/>
          </w:divBdr>
        </w:div>
        <w:div w:id="267979029">
          <w:marLeft w:val="274"/>
          <w:marRight w:val="0"/>
          <w:marTop w:val="0"/>
          <w:marBottom w:val="0"/>
          <w:divBdr>
            <w:top w:val="none" w:sz="0" w:space="0" w:color="auto"/>
            <w:left w:val="none" w:sz="0" w:space="0" w:color="auto"/>
            <w:bottom w:val="none" w:sz="0" w:space="0" w:color="auto"/>
            <w:right w:val="none" w:sz="0" w:space="0" w:color="auto"/>
          </w:divBdr>
        </w:div>
        <w:div w:id="359168375">
          <w:marLeft w:val="274"/>
          <w:marRight w:val="0"/>
          <w:marTop w:val="0"/>
          <w:marBottom w:val="0"/>
          <w:divBdr>
            <w:top w:val="none" w:sz="0" w:space="0" w:color="auto"/>
            <w:left w:val="none" w:sz="0" w:space="0" w:color="auto"/>
            <w:bottom w:val="none" w:sz="0" w:space="0" w:color="auto"/>
            <w:right w:val="none" w:sz="0" w:space="0" w:color="auto"/>
          </w:divBdr>
        </w:div>
        <w:div w:id="368068240">
          <w:marLeft w:val="274"/>
          <w:marRight w:val="0"/>
          <w:marTop w:val="0"/>
          <w:marBottom w:val="0"/>
          <w:divBdr>
            <w:top w:val="none" w:sz="0" w:space="0" w:color="auto"/>
            <w:left w:val="none" w:sz="0" w:space="0" w:color="auto"/>
            <w:bottom w:val="none" w:sz="0" w:space="0" w:color="auto"/>
            <w:right w:val="none" w:sz="0" w:space="0" w:color="auto"/>
          </w:divBdr>
        </w:div>
        <w:div w:id="429156636">
          <w:marLeft w:val="274"/>
          <w:marRight w:val="0"/>
          <w:marTop w:val="0"/>
          <w:marBottom w:val="0"/>
          <w:divBdr>
            <w:top w:val="none" w:sz="0" w:space="0" w:color="auto"/>
            <w:left w:val="none" w:sz="0" w:space="0" w:color="auto"/>
            <w:bottom w:val="none" w:sz="0" w:space="0" w:color="auto"/>
            <w:right w:val="none" w:sz="0" w:space="0" w:color="auto"/>
          </w:divBdr>
        </w:div>
        <w:div w:id="430979794">
          <w:marLeft w:val="274"/>
          <w:marRight w:val="0"/>
          <w:marTop w:val="0"/>
          <w:marBottom w:val="0"/>
          <w:divBdr>
            <w:top w:val="none" w:sz="0" w:space="0" w:color="auto"/>
            <w:left w:val="none" w:sz="0" w:space="0" w:color="auto"/>
            <w:bottom w:val="none" w:sz="0" w:space="0" w:color="auto"/>
            <w:right w:val="none" w:sz="0" w:space="0" w:color="auto"/>
          </w:divBdr>
        </w:div>
        <w:div w:id="453712687">
          <w:marLeft w:val="274"/>
          <w:marRight w:val="0"/>
          <w:marTop w:val="0"/>
          <w:marBottom w:val="0"/>
          <w:divBdr>
            <w:top w:val="none" w:sz="0" w:space="0" w:color="auto"/>
            <w:left w:val="none" w:sz="0" w:space="0" w:color="auto"/>
            <w:bottom w:val="none" w:sz="0" w:space="0" w:color="auto"/>
            <w:right w:val="none" w:sz="0" w:space="0" w:color="auto"/>
          </w:divBdr>
        </w:div>
        <w:div w:id="529997579">
          <w:marLeft w:val="274"/>
          <w:marRight w:val="0"/>
          <w:marTop w:val="0"/>
          <w:marBottom w:val="0"/>
          <w:divBdr>
            <w:top w:val="none" w:sz="0" w:space="0" w:color="auto"/>
            <w:left w:val="none" w:sz="0" w:space="0" w:color="auto"/>
            <w:bottom w:val="none" w:sz="0" w:space="0" w:color="auto"/>
            <w:right w:val="none" w:sz="0" w:space="0" w:color="auto"/>
          </w:divBdr>
        </w:div>
        <w:div w:id="584652914">
          <w:marLeft w:val="274"/>
          <w:marRight w:val="0"/>
          <w:marTop w:val="0"/>
          <w:marBottom w:val="0"/>
          <w:divBdr>
            <w:top w:val="none" w:sz="0" w:space="0" w:color="auto"/>
            <w:left w:val="none" w:sz="0" w:space="0" w:color="auto"/>
            <w:bottom w:val="none" w:sz="0" w:space="0" w:color="auto"/>
            <w:right w:val="none" w:sz="0" w:space="0" w:color="auto"/>
          </w:divBdr>
        </w:div>
        <w:div w:id="591856193">
          <w:marLeft w:val="274"/>
          <w:marRight w:val="0"/>
          <w:marTop w:val="0"/>
          <w:marBottom w:val="0"/>
          <w:divBdr>
            <w:top w:val="none" w:sz="0" w:space="0" w:color="auto"/>
            <w:left w:val="none" w:sz="0" w:space="0" w:color="auto"/>
            <w:bottom w:val="none" w:sz="0" w:space="0" w:color="auto"/>
            <w:right w:val="none" w:sz="0" w:space="0" w:color="auto"/>
          </w:divBdr>
        </w:div>
        <w:div w:id="699207256">
          <w:marLeft w:val="274"/>
          <w:marRight w:val="0"/>
          <w:marTop w:val="0"/>
          <w:marBottom w:val="0"/>
          <w:divBdr>
            <w:top w:val="none" w:sz="0" w:space="0" w:color="auto"/>
            <w:left w:val="none" w:sz="0" w:space="0" w:color="auto"/>
            <w:bottom w:val="none" w:sz="0" w:space="0" w:color="auto"/>
            <w:right w:val="none" w:sz="0" w:space="0" w:color="auto"/>
          </w:divBdr>
        </w:div>
        <w:div w:id="710542268">
          <w:marLeft w:val="562"/>
          <w:marRight w:val="0"/>
          <w:marTop w:val="0"/>
          <w:marBottom w:val="0"/>
          <w:divBdr>
            <w:top w:val="none" w:sz="0" w:space="0" w:color="auto"/>
            <w:left w:val="none" w:sz="0" w:space="0" w:color="auto"/>
            <w:bottom w:val="none" w:sz="0" w:space="0" w:color="auto"/>
            <w:right w:val="none" w:sz="0" w:space="0" w:color="auto"/>
          </w:divBdr>
        </w:div>
        <w:div w:id="880215910">
          <w:marLeft w:val="274"/>
          <w:marRight w:val="0"/>
          <w:marTop w:val="0"/>
          <w:marBottom w:val="0"/>
          <w:divBdr>
            <w:top w:val="none" w:sz="0" w:space="0" w:color="auto"/>
            <w:left w:val="none" w:sz="0" w:space="0" w:color="auto"/>
            <w:bottom w:val="none" w:sz="0" w:space="0" w:color="auto"/>
            <w:right w:val="none" w:sz="0" w:space="0" w:color="auto"/>
          </w:divBdr>
        </w:div>
        <w:div w:id="885600354">
          <w:marLeft w:val="274"/>
          <w:marRight w:val="0"/>
          <w:marTop w:val="0"/>
          <w:marBottom w:val="0"/>
          <w:divBdr>
            <w:top w:val="none" w:sz="0" w:space="0" w:color="auto"/>
            <w:left w:val="none" w:sz="0" w:space="0" w:color="auto"/>
            <w:bottom w:val="none" w:sz="0" w:space="0" w:color="auto"/>
            <w:right w:val="none" w:sz="0" w:space="0" w:color="auto"/>
          </w:divBdr>
        </w:div>
        <w:div w:id="946817678">
          <w:marLeft w:val="274"/>
          <w:marRight w:val="0"/>
          <w:marTop w:val="0"/>
          <w:marBottom w:val="0"/>
          <w:divBdr>
            <w:top w:val="none" w:sz="0" w:space="0" w:color="auto"/>
            <w:left w:val="none" w:sz="0" w:space="0" w:color="auto"/>
            <w:bottom w:val="none" w:sz="0" w:space="0" w:color="auto"/>
            <w:right w:val="none" w:sz="0" w:space="0" w:color="auto"/>
          </w:divBdr>
        </w:div>
        <w:div w:id="954753687">
          <w:marLeft w:val="274"/>
          <w:marRight w:val="0"/>
          <w:marTop w:val="0"/>
          <w:marBottom w:val="0"/>
          <w:divBdr>
            <w:top w:val="none" w:sz="0" w:space="0" w:color="auto"/>
            <w:left w:val="none" w:sz="0" w:space="0" w:color="auto"/>
            <w:bottom w:val="none" w:sz="0" w:space="0" w:color="auto"/>
            <w:right w:val="none" w:sz="0" w:space="0" w:color="auto"/>
          </w:divBdr>
        </w:div>
        <w:div w:id="992682001">
          <w:marLeft w:val="562"/>
          <w:marRight w:val="0"/>
          <w:marTop w:val="0"/>
          <w:marBottom w:val="0"/>
          <w:divBdr>
            <w:top w:val="none" w:sz="0" w:space="0" w:color="auto"/>
            <w:left w:val="none" w:sz="0" w:space="0" w:color="auto"/>
            <w:bottom w:val="none" w:sz="0" w:space="0" w:color="auto"/>
            <w:right w:val="none" w:sz="0" w:space="0" w:color="auto"/>
          </w:divBdr>
        </w:div>
        <w:div w:id="1011373954">
          <w:marLeft w:val="274"/>
          <w:marRight w:val="0"/>
          <w:marTop w:val="0"/>
          <w:marBottom w:val="0"/>
          <w:divBdr>
            <w:top w:val="none" w:sz="0" w:space="0" w:color="auto"/>
            <w:left w:val="none" w:sz="0" w:space="0" w:color="auto"/>
            <w:bottom w:val="none" w:sz="0" w:space="0" w:color="auto"/>
            <w:right w:val="none" w:sz="0" w:space="0" w:color="auto"/>
          </w:divBdr>
        </w:div>
        <w:div w:id="1041132557">
          <w:marLeft w:val="274"/>
          <w:marRight w:val="0"/>
          <w:marTop w:val="0"/>
          <w:marBottom w:val="0"/>
          <w:divBdr>
            <w:top w:val="none" w:sz="0" w:space="0" w:color="auto"/>
            <w:left w:val="none" w:sz="0" w:space="0" w:color="auto"/>
            <w:bottom w:val="none" w:sz="0" w:space="0" w:color="auto"/>
            <w:right w:val="none" w:sz="0" w:space="0" w:color="auto"/>
          </w:divBdr>
        </w:div>
        <w:div w:id="1168472811">
          <w:marLeft w:val="274"/>
          <w:marRight w:val="0"/>
          <w:marTop w:val="0"/>
          <w:marBottom w:val="0"/>
          <w:divBdr>
            <w:top w:val="none" w:sz="0" w:space="0" w:color="auto"/>
            <w:left w:val="none" w:sz="0" w:space="0" w:color="auto"/>
            <w:bottom w:val="none" w:sz="0" w:space="0" w:color="auto"/>
            <w:right w:val="none" w:sz="0" w:space="0" w:color="auto"/>
          </w:divBdr>
        </w:div>
        <w:div w:id="1181427582">
          <w:marLeft w:val="274"/>
          <w:marRight w:val="0"/>
          <w:marTop w:val="0"/>
          <w:marBottom w:val="0"/>
          <w:divBdr>
            <w:top w:val="none" w:sz="0" w:space="0" w:color="auto"/>
            <w:left w:val="none" w:sz="0" w:space="0" w:color="auto"/>
            <w:bottom w:val="none" w:sz="0" w:space="0" w:color="auto"/>
            <w:right w:val="none" w:sz="0" w:space="0" w:color="auto"/>
          </w:divBdr>
        </w:div>
        <w:div w:id="1195189626">
          <w:marLeft w:val="274"/>
          <w:marRight w:val="0"/>
          <w:marTop w:val="0"/>
          <w:marBottom w:val="0"/>
          <w:divBdr>
            <w:top w:val="none" w:sz="0" w:space="0" w:color="auto"/>
            <w:left w:val="none" w:sz="0" w:space="0" w:color="auto"/>
            <w:bottom w:val="none" w:sz="0" w:space="0" w:color="auto"/>
            <w:right w:val="none" w:sz="0" w:space="0" w:color="auto"/>
          </w:divBdr>
        </w:div>
        <w:div w:id="1297374434">
          <w:marLeft w:val="562"/>
          <w:marRight w:val="0"/>
          <w:marTop w:val="0"/>
          <w:marBottom w:val="0"/>
          <w:divBdr>
            <w:top w:val="none" w:sz="0" w:space="0" w:color="auto"/>
            <w:left w:val="none" w:sz="0" w:space="0" w:color="auto"/>
            <w:bottom w:val="none" w:sz="0" w:space="0" w:color="auto"/>
            <w:right w:val="none" w:sz="0" w:space="0" w:color="auto"/>
          </w:divBdr>
        </w:div>
        <w:div w:id="1302080072">
          <w:marLeft w:val="562"/>
          <w:marRight w:val="0"/>
          <w:marTop w:val="0"/>
          <w:marBottom w:val="0"/>
          <w:divBdr>
            <w:top w:val="none" w:sz="0" w:space="0" w:color="auto"/>
            <w:left w:val="none" w:sz="0" w:space="0" w:color="auto"/>
            <w:bottom w:val="none" w:sz="0" w:space="0" w:color="auto"/>
            <w:right w:val="none" w:sz="0" w:space="0" w:color="auto"/>
          </w:divBdr>
        </w:div>
        <w:div w:id="1321227606">
          <w:marLeft w:val="274"/>
          <w:marRight w:val="0"/>
          <w:marTop w:val="0"/>
          <w:marBottom w:val="0"/>
          <w:divBdr>
            <w:top w:val="none" w:sz="0" w:space="0" w:color="auto"/>
            <w:left w:val="none" w:sz="0" w:space="0" w:color="auto"/>
            <w:bottom w:val="none" w:sz="0" w:space="0" w:color="auto"/>
            <w:right w:val="none" w:sz="0" w:space="0" w:color="auto"/>
          </w:divBdr>
        </w:div>
        <w:div w:id="1328168594">
          <w:marLeft w:val="562"/>
          <w:marRight w:val="0"/>
          <w:marTop w:val="0"/>
          <w:marBottom w:val="0"/>
          <w:divBdr>
            <w:top w:val="none" w:sz="0" w:space="0" w:color="auto"/>
            <w:left w:val="none" w:sz="0" w:space="0" w:color="auto"/>
            <w:bottom w:val="none" w:sz="0" w:space="0" w:color="auto"/>
            <w:right w:val="none" w:sz="0" w:space="0" w:color="auto"/>
          </w:divBdr>
        </w:div>
        <w:div w:id="1360813220">
          <w:marLeft w:val="562"/>
          <w:marRight w:val="0"/>
          <w:marTop w:val="0"/>
          <w:marBottom w:val="0"/>
          <w:divBdr>
            <w:top w:val="none" w:sz="0" w:space="0" w:color="auto"/>
            <w:left w:val="none" w:sz="0" w:space="0" w:color="auto"/>
            <w:bottom w:val="none" w:sz="0" w:space="0" w:color="auto"/>
            <w:right w:val="none" w:sz="0" w:space="0" w:color="auto"/>
          </w:divBdr>
        </w:div>
        <w:div w:id="1450516914">
          <w:marLeft w:val="274"/>
          <w:marRight w:val="0"/>
          <w:marTop w:val="0"/>
          <w:marBottom w:val="0"/>
          <w:divBdr>
            <w:top w:val="none" w:sz="0" w:space="0" w:color="auto"/>
            <w:left w:val="none" w:sz="0" w:space="0" w:color="auto"/>
            <w:bottom w:val="none" w:sz="0" w:space="0" w:color="auto"/>
            <w:right w:val="none" w:sz="0" w:space="0" w:color="auto"/>
          </w:divBdr>
        </w:div>
        <w:div w:id="1498156858">
          <w:marLeft w:val="562"/>
          <w:marRight w:val="0"/>
          <w:marTop w:val="0"/>
          <w:marBottom w:val="0"/>
          <w:divBdr>
            <w:top w:val="none" w:sz="0" w:space="0" w:color="auto"/>
            <w:left w:val="none" w:sz="0" w:space="0" w:color="auto"/>
            <w:bottom w:val="none" w:sz="0" w:space="0" w:color="auto"/>
            <w:right w:val="none" w:sz="0" w:space="0" w:color="auto"/>
          </w:divBdr>
        </w:div>
        <w:div w:id="1514765719">
          <w:marLeft w:val="274"/>
          <w:marRight w:val="0"/>
          <w:marTop w:val="0"/>
          <w:marBottom w:val="0"/>
          <w:divBdr>
            <w:top w:val="none" w:sz="0" w:space="0" w:color="auto"/>
            <w:left w:val="none" w:sz="0" w:space="0" w:color="auto"/>
            <w:bottom w:val="none" w:sz="0" w:space="0" w:color="auto"/>
            <w:right w:val="none" w:sz="0" w:space="0" w:color="auto"/>
          </w:divBdr>
        </w:div>
        <w:div w:id="1533302997">
          <w:marLeft w:val="274"/>
          <w:marRight w:val="0"/>
          <w:marTop w:val="0"/>
          <w:marBottom w:val="0"/>
          <w:divBdr>
            <w:top w:val="none" w:sz="0" w:space="0" w:color="auto"/>
            <w:left w:val="none" w:sz="0" w:space="0" w:color="auto"/>
            <w:bottom w:val="none" w:sz="0" w:space="0" w:color="auto"/>
            <w:right w:val="none" w:sz="0" w:space="0" w:color="auto"/>
          </w:divBdr>
        </w:div>
        <w:div w:id="1563103719">
          <w:marLeft w:val="274"/>
          <w:marRight w:val="0"/>
          <w:marTop w:val="0"/>
          <w:marBottom w:val="0"/>
          <w:divBdr>
            <w:top w:val="none" w:sz="0" w:space="0" w:color="auto"/>
            <w:left w:val="none" w:sz="0" w:space="0" w:color="auto"/>
            <w:bottom w:val="none" w:sz="0" w:space="0" w:color="auto"/>
            <w:right w:val="none" w:sz="0" w:space="0" w:color="auto"/>
          </w:divBdr>
        </w:div>
        <w:div w:id="1771194857">
          <w:marLeft w:val="274"/>
          <w:marRight w:val="0"/>
          <w:marTop w:val="0"/>
          <w:marBottom w:val="0"/>
          <w:divBdr>
            <w:top w:val="none" w:sz="0" w:space="0" w:color="auto"/>
            <w:left w:val="none" w:sz="0" w:space="0" w:color="auto"/>
            <w:bottom w:val="none" w:sz="0" w:space="0" w:color="auto"/>
            <w:right w:val="none" w:sz="0" w:space="0" w:color="auto"/>
          </w:divBdr>
        </w:div>
        <w:div w:id="1918126071">
          <w:marLeft w:val="274"/>
          <w:marRight w:val="0"/>
          <w:marTop w:val="0"/>
          <w:marBottom w:val="0"/>
          <w:divBdr>
            <w:top w:val="none" w:sz="0" w:space="0" w:color="auto"/>
            <w:left w:val="none" w:sz="0" w:space="0" w:color="auto"/>
            <w:bottom w:val="none" w:sz="0" w:space="0" w:color="auto"/>
            <w:right w:val="none" w:sz="0" w:space="0" w:color="auto"/>
          </w:divBdr>
        </w:div>
        <w:div w:id="1932661798">
          <w:marLeft w:val="274"/>
          <w:marRight w:val="0"/>
          <w:marTop w:val="0"/>
          <w:marBottom w:val="0"/>
          <w:divBdr>
            <w:top w:val="none" w:sz="0" w:space="0" w:color="auto"/>
            <w:left w:val="none" w:sz="0" w:space="0" w:color="auto"/>
            <w:bottom w:val="none" w:sz="0" w:space="0" w:color="auto"/>
            <w:right w:val="none" w:sz="0" w:space="0" w:color="auto"/>
          </w:divBdr>
        </w:div>
        <w:div w:id="2053964149">
          <w:marLeft w:val="274"/>
          <w:marRight w:val="0"/>
          <w:marTop w:val="0"/>
          <w:marBottom w:val="0"/>
          <w:divBdr>
            <w:top w:val="none" w:sz="0" w:space="0" w:color="auto"/>
            <w:left w:val="none" w:sz="0" w:space="0" w:color="auto"/>
            <w:bottom w:val="none" w:sz="0" w:space="0" w:color="auto"/>
            <w:right w:val="none" w:sz="0" w:space="0" w:color="auto"/>
          </w:divBdr>
        </w:div>
      </w:divsChild>
    </w:div>
    <w:div w:id="2098090499">
      <w:bodyDiv w:val="1"/>
      <w:marLeft w:val="0"/>
      <w:marRight w:val="0"/>
      <w:marTop w:val="0"/>
      <w:marBottom w:val="0"/>
      <w:divBdr>
        <w:top w:val="none" w:sz="0" w:space="0" w:color="auto"/>
        <w:left w:val="none" w:sz="0" w:space="0" w:color="auto"/>
        <w:bottom w:val="none" w:sz="0" w:space="0" w:color="auto"/>
        <w:right w:val="none" w:sz="0" w:space="0" w:color="auto"/>
      </w:divBdr>
      <w:divsChild>
        <w:div w:id="297150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afetyandquality.gov.au/permission-request" TargetMode="External"/><Relationship Id="rId26" Type="http://schemas.openxmlformats.org/officeDocument/2006/relationships/image" Target="media/image7.png"/><Relationship Id="rId39" Type="http://schemas.openxmlformats.org/officeDocument/2006/relationships/header" Target="header4.xml"/><Relationship Id="rId21" Type="http://schemas.openxmlformats.org/officeDocument/2006/relationships/header" Target="header2.xm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3.svg"/><Relationship Id="rId50" Type="http://schemas.openxmlformats.org/officeDocument/2006/relationships/image" Target="media/image24.jpeg"/><Relationship Id="rId55"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14.svg"/><Relationship Id="rId38" Type="http://schemas.openxmlformats.org/officeDocument/2006/relationships/image" Target="media/image19.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s://creativecommons.org/licenses/by-nc-nd/4.0/" TargetMode="External"/><Relationship Id="rId20" Type="http://schemas.openxmlformats.org/officeDocument/2006/relationships/header" Target="header1.xml"/><Relationship Id="rId29" Type="http://schemas.openxmlformats.org/officeDocument/2006/relationships/image" Target="media/image10.sv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image" Target="media/image18.svg"/><Relationship Id="rId40" Type="http://schemas.openxmlformats.org/officeDocument/2006/relationships/footer" Target="footer4.xml"/><Relationship Id="rId45" Type="http://schemas.openxmlformats.org/officeDocument/2006/relationships/footer" Target="footer6.xml"/><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safetyandquality.gov.au" TargetMode="External"/><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30.sv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2.svg"/><Relationship Id="rId44" Type="http://schemas.openxmlformats.org/officeDocument/2006/relationships/footer" Target="footer5.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il%40safetyandquality.gov.au?subject=" TargetMode="External"/><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svg"/><Relationship Id="rId43" Type="http://schemas.openxmlformats.org/officeDocument/2006/relationships/header" Target="header5.xml"/><Relationship Id="rId48" Type="http://schemas.openxmlformats.org/officeDocument/2006/relationships/image" Target="media/image220.png"/><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8" Type="http://schemas.openxmlformats.org/officeDocument/2006/relationships/hyperlink" Target="https://www.qfcc.qld.gov.au/sites/default/files/2024-03/Paediatric%20Sepsis%20Mortality%20Study.pdf" TargetMode="External"/><Relationship Id="rId13" Type="http://schemas.openxmlformats.org/officeDocument/2006/relationships/hyperlink" Target="https://www.health.nsw.gov.au/lumos/Pages/about.aspx" TargetMode="External"/><Relationship Id="rId3" Type="http://schemas.openxmlformats.org/officeDocument/2006/relationships/hyperlink" Target="https://www.safetyandquality.gov.au/publications-and-resources/resource-library/sepsis-medical-record-review-pilot-study" TargetMode="External"/><Relationship Id="rId7" Type="http://schemas.openxmlformats.org/officeDocument/2006/relationships/hyperlink" Target="https://pmc.ncbi.nlm.nih.gov/articles/PMC4968574/" TargetMode="External"/><Relationship Id="rId12" Type="http://schemas.openxmlformats.org/officeDocument/2006/relationships/hyperlink" Target="https://meteor.aihw.gov.au/content/755589" TargetMode="External"/><Relationship Id="rId17" Type="http://schemas.openxmlformats.org/officeDocument/2006/relationships/hyperlink" Target="https://www.australiansepsisnetwork.net.au/information-and-support/" TargetMode="External"/><Relationship Id="rId2" Type="http://schemas.openxmlformats.org/officeDocument/2006/relationships/hyperlink" Target="https://medcast.com.au/courses/1136" TargetMode="External"/><Relationship Id="rId16" Type="http://schemas.openxmlformats.org/officeDocument/2006/relationships/hyperlink" Target="https://www.australiansepsisnetwork.net.au/what-is-sepsis/" TargetMode="External"/><Relationship Id="rId1" Type="http://schemas.openxmlformats.org/officeDocument/2006/relationships/hyperlink" Target="http://www.safetyandquality.gov.au" TargetMode="External"/><Relationship Id="rId6" Type="http://schemas.openxmlformats.org/officeDocument/2006/relationships/hyperlink" Target="https://www.georgeinstitute.org.au/sites/default/files/documents/stopping-sepsis-national-action-plan.pdf" TargetMode="External"/><Relationship Id="rId11" Type="http://schemas.openxmlformats.org/officeDocument/2006/relationships/hyperlink" Target="https://www.safetyandquality.gov.au/standards/clinical-care-standards/sepsis-clinical-care-standard/indicators-sepsis-clinical-care-standard" TargetMode="External"/><Relationship Id="rId5" Type="http://schemas.openxmlformats.org/officeDocument/2006/relationships/hyperlink" Target="https://auscr.com.au/" TargetMode="External"/><Relationship Id="rId15" Type="http://schemas.openxmlformats.org/officeDocument/2006/relationships/hyperlink" Target="https://www.safetyandquality.gov.au/our-work/indicators-measurement-and-reporting/medicineinsight" TargetMode="External"/><Relationship Id="rId10" Type="http://schemas.openxmlformats.org/officeDocument/2006/relationships/hyperlink" Target="https://pubmed.ncbi.nlm.nih.gov/40457465/" TargetMode="External"/><Relationship Id="rId4" Type="http://schemas.openxmlformats.org/officeDocument/2006/relationships/hyperlink" Target="https://www.health.nsw.gov.au/lumos/Pages/default.aspx" TargetMode="External"/><Relationship Id="rId9" Type="http://schemas.openxmlformats.org/officeDocument/2006/relationships/hyperlink" Target="https://www.safetyandquality.gov.au/standards/clinical-care-standards/sepsis-clinical-care-standard/sepsis-codes" TargetMode="External"/><Relationship Id="rId14" Type="http://schemas.openxmlformats.org/officeDocument/2006/relationships/hyperlink" Target="https://sparked.csiro.au/index.php/products-resources/australian-patient-summar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F6692E6AF84A7A961A3F371D7F83D0"/>
        <w:category>
          <w:name w:val="General"/>
          <w:gallery w:val="placeholder"/>
        </w:category>
        <w:types>
          <w:type w:val="bbPlcHdr"/>
        </w:types>
        <w:behaviors>
          <w:behavior w:val="content"/>
        </w:behaviors>
        <w:guid w:val="{BAC39E78-4D1D-4469-BEC6-09F7A3637FBB}"/>
      </w:docPartPr>
      <w:docPartBody>
        <w:p w:rsidR="006B572B" w:rsidRDefault="009F214B" w:rsidP="009F214B">
          <w:pPr>
            <w:pStyle w:val="42F6692E6AF84A7A961A3F371D7F83D0"/>
          </w:pPr>
          <w:r w:rsidRPr="00896871">
            <w:t>Date goes here</w:t>
          </w:r>
        </w:p>
      </w:docPartBody>
    </w:docPart>
    <w:docPart>
      <w:docPartPr>
        <w:name w:val="4F63845C0AD64719970212F5EFE341F3"/>
        <w:category>
          <w:name w:val="General"/>
          <w:gallery w:val="placeholder"/>
        </w:category>
        <w:types>
          <w:type w:val="bbPlcHdr"/>
        </w:types>
        <w:behaviors>
          <w:behavior w:val="content"/>
        </w:behaviors>
        <w:guid w:val="{D17A93AA-B26F-4083-93C5-5ED43169334C}"/>
      </w:docPartPr>
      <w:docPartBody>
        <w:p w:rsidR="006B572B" w:rsidRDefault="009F214B" w:rsidP="009F214B">
          <w:pPr>
            <w:pStyle w:val="4F63845C0AD64719970212F5EFE341F3"/>
          </w:pPr>
          <w:r w:rsidRPr="00062BA3">
            <w:t>Best-practice care for people, clinicians,</w:t>
          </w:r>
          <w:r>
            <w:t xml:space="preserve"> </w:t>
          </w:r>
          <w:r w:rsidRPr="00062BA3">
            <w:t>and Healthcare 36 pt</w:t>
          </w:r>
        </w:p>
      </w:docPartBody>
    </w:docPart>
    <w:docPart>
      <w:docPartPr>
        <w:name w:val="19AC0452C39649B49FF02463B63D3F33"/>
        <w:category>
          <w:name w:val="General"/>
          <w:gallery w:val="placeholder"/>
        </w:category>
        <w:types>
          <w:type w:val="bbPlcHdr"/>
        </w:types>
        <w:behaviors>
          <w:behavior w:val="content"/>
        </w:behaviors>
        <w:guid w:val="{9AD68025-5AB3-4AC3-997C-7B96520BB330}"/>
      </w:docPartPr>
      <w:docPartBody>
        <w:p w:rsidR="006B572B" w:rsidRDefault="009F214B" w:rsidP="009F214B">
          <w:pPr>
            <w:pStyle w:val="19AC0452C39649B49FF02463B63D3F33"/>
          </w:pPr>
          <w:r w:rsidRPr="00896871">
            <w:t>Best-practice care for people, clinicians,</w:t>
          </w:r>
          <w:r>
            <w:t xml:space="preserve"> </w:t>
          </w:r>
          <w:r w:rsidRPr="00896871">
            <w:t>and Healthcare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4E9"/>
    <w:rsid w:val="00043BC2"/>
    <w:rsid w:val="00056677"/>
    <w:rsid w:val="00160C2D"/>
    <w:rsid w:val="001F7EDC"/>
    <w:rsid w:val="002152D0"/>
    <w:rsid w:val="00407B68"/>
    <w:rsid w:val="00445678"/>
    <w:rsid w:val="00461FD9"/>
    <w:rsid w:val="004C163E"/>
    <w:rsid w:val="00535952"/>
    <w:rsid w:val="00535E8E"/>
    <w:rsid w:val="005E2831"/>
    <w:rsid w:val="006A1511"/>
    <w:rsid w:val="006B572B"/>
    <w:rsid w:val="008315B6"/>
    <w:rsid w:val="00854DDD"/>
    <w:rsid w:val="008B44CB"/>
    <w:rsid w:val="00907D51"/>
    <w:rsid w:val="00911E2D"/>
    <w:rsid w:val="009254E9"/>
    <w:rsid w:val="009279BB"/>
    <w:rsid w:val="00995BDF"/>
    <w:rsid w:val="009F214B"/>
    <w:rsid w:val="009F28F5"/>
    <w:rsid w:val="00A12EF5"/>
    <w:rsid w:val="00A971AD"/>
    <w:rsid w:val="00B810BE"/>
    <w:rsid w:val="00C51996"/>
    <w:rsid w:val="00C53CF4"/>
    <w:rsid w:val="00CD7A1A"/>
    <w:rsid w:val="00D03787"/>
    <w:rsid w:val="00D81025"/>
    <w:rsid w:val="00D9186A"/>
    <w:rsid w:val="00D959EB"/>
    <w:rsid w:val="00E14B76"/>
    <w:rsid w:val="00E15271"/>
    <w:rsid w:val="00E26B93"/>
    <w:rsid w:val="00E30081"/>
    <w:rsid w:val="00EA266A"/>
    <w:rsid w:val="00FC4F84"/>
    <w:rsid w:val="00FD72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F6692E6AF84A7A961A3F371D7F83D0">
    <w:name w:val="42F6692E6AF84A7A961A3F371D7F83D0"/>
    <w:rsid w:val="009F214B"/>
  </w:style>
  <w:style w:type="paragraph" w:customStyle="1" w:styleId="4F63845C0AD64719970212F5EFE341F3">
    <w:name w:val="4F63845C0AD64719970212F5EFE341F3"/>
    <w:rsid w:val="009F214B"/>
  </w:style>
  <w:style w:type="paragraph" w:customStyle="1" w:styleId="19AC0452C39649B49FF02463B63D3F33">
    <w:name w:val="19AC0452C39649B49FF02463B63D3F33"/>
    <w:rsid w:val="009F21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allida_2025">
      <a:dk1>
        <a:srgbClr val="000000"/>
      </a:dk1>
      <a:lt1>
        <a:srgbClr val="FFFFFF"/>
      </a:lt1>
      <a:dk2>
        <a:srgbClr val="555555"/>
      </a:dk2>
      <a:lt2>
        <a:srgbClr val="F1F1F1"/>
      </a:lt2>
      <a:accent1>
        <a:srgbClr val="545454"/>
      </a:accent1>
      <a:accent2>
        <a:srgbClr val="FADE00"/>
      </a:accent2>
      <a:accent3>
        <a:srgbClr val="5399B2"/>
      </a:accent3>
      <a:accent4>
        <a:srgbClr val="577F74"/>
      </a:accent4>
      <a:accent5>
        <a:srgbClr val="AB4845"/>
      </a:accent5>
      <a:accent6>
        <a:srgbClr val="4F788A"/>
      </a:accent6>
      <a:hlink>
        <a:srgbClr val="545454"/>
      </a:hlink>
      <a:folHlink>
        <a:srgbClr val="5399B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013BA6ACE854498372F9CF17517E5" ma:contentTypeVersion="7" ma:contentTypeDescription="Create a new document." ma:contentTypeScope="" ma:versionID="56aade972ed92ef8ad30accd83e82d2c">
  <xsd:schema xmlns:xsd="http://www.w3.org/2001/XMLSchema" xmlns:xs="http://www.w3.org/2001/XMLSchema" xmlns:p="http://schemas.microsoft.com/office/2006/metadata/properties" xmlns:ns2="12175054-0fa8-4172-ad72-ab81255c1ac4" targetNamespace="http://schemas.microsoft.com/office/2006/metadata/properties" ma:root="true" ma:fieldsID="6ad8a7f86bc730d76979a9d8d7e49af7" ns2:_="">
    <xsd:import namespace="12175054-0fa8-4172-ad72-ab81255c1a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75054-0fa8-4172-ad72-ab81255c1a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2A149B-FE72-44D2-BFE1-C55593342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75054-0fa8-4172-ad72-ab81255c1a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8E9CC4-99A4-B640-8569-4CA711170C4B}">
  <ds:schemaRefs>
    <ds:schemaRef ds:uri="http://schemas.openxmlformats.org/officeDocument/2006/bibliography"/>
  </ds:schemaRefs>
</ds:datastoreItem>
</file>

<file path=customXml/itemProps3.xml><?xml version="1.0" encoding="utf-8"?>
<ds:datastoreItem xmlns:ds="http://schemas.openxmlformats.org/officeDocument/2006/customXml" ds:itemID="{6C24F5AB-4ADD-4D6B-BC2F-850D507B12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63CD28-33F4-4AA3-8BFF-77E2A8B1A9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14407</Words>
  <Characters>85007</Characters>
  <Application>Microsoft Office Word</Application>
  <DocSecurity>0</DocSecurity>
  <Lines>1465</Lines>
  <Paragraphs>671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98743</CharactersWithSpaces>
  <SharedDoc>false</SharedDoc>
  <HLinks>
    <vt:vector size="306" baseType="variant">
      <vt:variant>
        <vt:i4>1114160</vt:i4>
      </vt:variant>
      <vt:variant>
        <vt:i4>212</vt:i4>
      </vt:variant>
      <vt:variant>
        <vt:i4>0</vt:i4>
      </vt:variant>
      <vt:variant>
        <vt:i4>5</vt:i4>
      </vt:variant>
      <vt:variant>
        <vt:lpwstr/>
      </vt:variant>
      <vt:variant>
        <vt:lpwstr>_Toc204610702</vt:lpwstr>
      </vt:variant>
      <vt:variant>
        <vt:i4>1114160</vt:i4>
      </vt:variant>
      <vt:variant>
        <vt:i4>206</vt:i4>
      </vt:variant>
      <vt:variant>
        <vt:i4>0</vt:i4>
      </vt:variant>
      <vt:variant>
        <vt:i4>5</vt:i4>
      </vt:variant>
      <vt:variant>
        <vt:lpwstr/>
      </vt:variant>
      <vt:variant>
        <vt:lpwstr>_Toc204610701</vt:lpwstr>
      </vt:variant>
      <vt:variant>
        <vt:i4>1114160</vt:i4>
      </vt:variant>
      <vt:variant>
        <vt:i4>200</vt:i4>
      </vt:variant>
      <vt:variant>
        <vt:i4>0</vt:i4>
      </vt:variant>
      <vt:variant>
        <vt:i4>5</vt:i4>
      </vt:variant>
      <vt:variant>
        <vt:lpwstr/>
      </vt:variant>
      <vt:variant>
        <vt:lpwstr>_Toc204610700</vt:lpwstr>
      </vt:variant>
      <vt:variant>
        <vt:i4>1572913</vt:i4>
      </vt:variant>
      <vt:variant>
        <vt:i4>194</vt:i4>
      </vt:variant>
      <vt:variant>
        <vt:i4>0</vt:i4>
      </vt:variant>
      <vt:variant>
        <vt:i4>5</vt:i4>
      </vt:variant>
      <vt:variant>
        <vt:lpwstr/>
      </vt:variant>
      <vt:variant>
        <vt:lpwstr>_Toc204610699</vt:lpwstr>
      </vt:variant>
      <vt:variant>
        <vt:i4>1572913</vt:i4>
      </vt:variant>
      <vt:variant>
        <vt:i4>188</vt:i4>
      </vt:variant>
      <vt:variant>
        <vt:i4>0</vt:i4>
      </vt:variant>
      <vt:variant>
        <vt:i4>5</vt:i4>
      </vt:variant>
      <vt:variant>
        <vt:lpwstr/>
      </vt:variant>
      <vt:variant>
        <vt:lpwstr>_Toc204610698</vt:lpwstr>
      </vt:variant>
      <vt:variant>
        <vt:i4>1572913</vt:i4>
      </vt:variant>
      <vt:variant>
        <vt:i4>182</vt:i4>
      </vt:variant>
      <vt:variant>
        <vt:i4>0</vt:i4>
      </vt:variant>
      <vt:variant>
        <vt:i4>5</vt:i4>
      </vt:variant>
      <vt:variant>
        <vt:lpwstr/>
      </vt:variant>
      <vt:variant>
        <vt:lpwstr>_Toc204610697</vt:lpwstr>
      </vt:variant>
      <vt:variant>
        <vt:i4>1572913</vt:i4>
      </vt:variant>
      <vt:variant>
        <vt:i4>176</vt:i4>
      </vt:variant>
      <vt:variant>
        <vt:i4>0</vt:i4>
      </vt:variant>
      <vt:variant>
        <vt:i4>5</vt:i4>
      </vt:variant>
      <vt:variant>
        <vt:lpwstr/>
      </vt:variant>
      <vt:variant>
        <vt:lpwstr>_Toc204610696</vt:lpwstr>
      </vt:variant>
      <vt:variant>
        <vt:i4>1572913</vt:i4>
      </vt:variant>
      <vt:variant>
        <vt:i4>170</vt:i4>
      </vt:variant>
      <vt:variant>
        <vt:i4>0</vt:i4>
      </vt:variant>
      <vt:variant>
        <vt:i4>5</vt:i4>
      </vt:variant>
      <vt:variant>
        <vt:lpwstr/>
      </vt:variant>
      <vt:variant>
        <vt:lpwstr>_Toc204610695</vt:lpwstr>
      </vt:variant>
      <vt:variant>
        <vt:i4>1572913</vt:i4>
      </vt:variant>
      <vt:variant>
        <vt:i4>164</vt:i4>
      </vt:variant>
      <vt:variant>
        <vt:i4>0</vt:i4>
      </vt:variant>
      <vt:variant>
        <vt:i4>5</vt:i4>
      </vt:variant>
      <vt:variant>
        <vt:lpwstr/>
      </vt:variant>
      <vt:variant>
        <vt:lpwstr>_Toc204610694</vt:lpwstr>
      </vt:variant>
      <vt:variant>
        <vt:i4>1572913</vt:i4>
      </vt:variant>
      <vt:variant>
        <vt:i4>158</vt:i4>
      </vt:variant>
      <vt:variant>
        <vt:i4>0</vt:i4>
      </vt:variant>
      <vt:variant>
        <vt:i4>5</vt:i4>
      </vt:variant>
      <vt:variant>
        <vt:lpwstr/>
      </vt:variant>
      <vt:variant>
        <vt:lpwstr>_Toc204610693</vt:lpwstr>
      </vt:variant>
      <vt:variant>
        <vt:i4>1572913</vt:i4>
      </vt:variant>
      <vt:variant>
        <vt:i4>152</vt:i4>
      </vt:variant>
      <vt:variant>
        <vt:i4>0</vt:i4>
      </vt:variant>
      <vt:variant>
        <vt:i4>5</vt:i4>
      </vt:variant>
      <vt:variant>
        <vt:lpwstr/>
      </vt:variant>
      <vt:variant>
        <vt:lpwstr>_Toc204610692</vt:lpwstr>
      </vt:variant>
      <vt:variant>
        <vt:i4>1572913</vt:i4>
      </vt:variant>
      <vt:variant>
        <vt:i4>146</vt:i4>
      </vt:variant>
      <vt:variant>
        <vt:i4>0</vt:i4>
      </vt:variant>
      <vt:variant>
        <vt:i4>5</vt:i4>
      </vt:variant>
      <vt:variant>
        <vt:lpwstr/>
      </vt:variant>
      <vt:variant>
        <vt:lpwstr>_Toc204610691</vt:lpwstr>
      </vt:variant>
      <vt:variant>
        <vt:i4>1572913</vt:i4>
      </vt:variant>
      <vt:variant>
        <vt:i4>140</vt:i4>
      </vt:variant>
      <vt:variant>
        <vt:i4>0</vt:i4>
      </vt:variant>
      <vt:variant>
        <vt:i4>5</vt:i4>
      </vt:variant>
      <vt:variant>
        <vt:lpwstr/>
      </vt:variant>
      <vt:variant>
        <vt:lpwstr>_Toc204610690</vt:lpwstr>
      </vt:variant>
      <vt:variant>
        <vt:i4>1638449</vt:i4>
      </vt:variant>
      <vt:variant>
        <vt:i4>134</vt:i4>
      </vt:variant>
      <vt:variant>
        <vt:i4>0</vt:i4>
      </vt:variant>
      <vt:variant>
        <vt:i4>5</vt:i4>
      </vt:variant>
      <vt:variant>
        <vt:lpwstr/>
      </vt:variant>
      <vt:variant>
        <vt:lpwstr>_Toc204610689</vt:lpwstr>
      </vt:variant>
      <vt:variant>
        <vt:i4>1638449</vt:i4>
      </vt:variant>
      <vt:variant>
        <vt:i4>128</vt:i4>
      </vt:variant>
      <vt:variant>
        <vt:i4>0</vt:i4>
      </vt:variant>
      <vt:variant>
        <vt:i4>5</vt:i4>
      </vt:variant>
      <vt:variant>
        <vt:lpwstr/>
      </vt:variant>
      <vt:variant>
        <vt:lpwstr>_Toc204610688</vt:lpwstr>
      </vt:variant>
      <vt:variant>
        <vt:i4>1638449</vt:i4>
      </vt:variant>
      <vt:variant>
        <vt:i4>122</vt:i4>
      </vt:variant>
      <vt:variant>
        <vt:i4>0</vt:i4>
      </vt:variant>
      <vt:variant>
        <vt:i4>5</vt:i4>
      </vt:variant>
      <vt:variant>
        <vt:lpwstr/>
      </vt:variant>
      <vt:variant>
        <vt:lpwstr>_Toc204610687</vt:lpwstr>
      </vt:variant>
      <vt:variant>
        <vt:i4>1638449</vt:i4>
      </vt:variant>
      <vt:variant>
        <vt:i4>116</vt:i4>
      </vt:variant>
      <vt:variant>
        <vt:i4>0</vt:i4>
      </vt:variant>
      <vt:variant>
        <vt:i4>5</vt:i4>
      </vt:variant>
      <vt:variant>
        <vt:lpwstr/>
      </vt:variant>
      <vt:variant>
        <vt:lpwstr>_Toc204610686</vt:lpwstr>
      </vt:variant>
      <vt:variant>
        <vt:i4>1638449</vt:i4>
      </vt:variant>
      <vt:variant>
        <vt:i4>110</vt:i4>
      </vt:variant>
      <vt:variant>
        <vt:i4>0</vt:i4>
      </vt:variant>
      <vt:variant>
        <vt:i4>5</vt:i4>
      </vt:variant>
      <vt:variant>
        <vt:lpwstr/>
      </vt:variant>
      <vt:variant>
        <vt:lpwstr>_Toc204610685</vt:lpwstr>
      </vt:variant>
      <vt:variant>
        <vt:i4>1638449</vt:i4>
      </vt:variant>
      <vt:variant>
        <vt:i4>104</vt:i4>
      </vt:variant>
      <vt:variant>
        <vt:i4>0</vt:i4>
      </vt:variant>
      <vt:variant>
        <vt:i4>5</vt:i4>
      </vt:variant>
      <vt:variant>
        <vt:lpwstr/>
      </vt:variant>
      <vt:variant>
        <vt:lpwstr>_Toc204610684</vt:lpwstr>
      </vt:variant>
      <vt:variant>
        <vt:i4>1638449</vt:i4>
      </vt:variant>
      <vt:variant>
        <vt:i4>98</vt:i4>
      </vt:variant>
      <vt:variant>
        <vt:i4>0</vt:i4>
      </vt:variant>
      <vt:variant>
        <vt:i4>5</vt:i4>
      </vt:variant>
      <vt:variant>
        <vt:lpwstr/>
      </vt:variant>
      <vt:variant>
        <vt:lpwstr>_Toc204610683</vt:lpwstr>
      </vt:variant>
      <vt:variant>
        <vt:i4>1638449</vt:i4>
      </vt:variant>
      <vt:variant>
        <vt:i4>92</vt:i4>
      </vt:variant>
      <vt:variant>
        <vt:i4>0</vt:i4>
      </vt:variant>
      <vt:variant>
        <vt:i4>5</vt:i4>
      </vt:variant>
      <vt:variant>
        <vt:lpwstr/>
      </vt:variant>
      <vt:variant>
        <vt:lpwstr>_Toc204610682</vt:lpwstr>
      </vt:variant>
      <vt:variant>
        <vt:i4>1638449</vt:i4>
      </vt:variant>
      <vt:variant>
        <vt:i4>86</vt:i4>
      </vt:variant>
      <vt:variant>
        <vt:i4>0</vt:i4>
      </vt:variant>
      <vt:variant>
        <vt:i4>5</vt:i4>
      </vt:variant>
      <vt:variant>
        <vt:lpwstr/>
      </vt:variant>
      <vt:variant>
        <vt:lpwstr>_Toc204610681</vt:lpwstr>
      </vt:variant>
      <vt:variant>
        <vt:i4>1638449</vt:i4>
      </vt:variant>
      <vt:variant>
        <vt:i4>80</vt:i4>
      </vt:variant>
      <vt:variant>
        <vt:i4>0</vt:i4>
      </vt:variant>
      <vt:variant>
        <vt:i4>5</vt:i4>
      </vt:variant>
      <vt:variant>
        <vt:lpwstr/>
      </vt:variant>
      <vt:variant>
        <vt:lpwstr>_Toc204610680</vt:lpwstr>
      </vt:variant>
      <vt:variant>
        <vt:i4>1441841</vt:i4>
      </vt:variant>
      <vt:variant>
        <vt:i4>74</vt:i4>
      </vt:variant>
      <vt:variant>
        <vt:i4>0</vt:i4>
      </vt:variant>
      <vt:variant>
        <vt:i4>5</vt:i4>
      </vt:variant>
      <vt:variant>
        <vt:lpwstr/>
      </vt:variant>
      <vt:variant>
        <vt:lpwstr>_Toc204610679</vt:lpwstr>
      </vt:variant>
      <vt:variant>
        <vt:i4>1441841</vt:i4>
      </vt:variant>
      <vt:variant>
        <vt:i4>68</vt:i4>
      </vt:variant>
      <vt:variant>
        <vt:i4>0</vt:i4>
      </vt:variant>
      <vt:variant>
        <vt:i4>5</vt:i4>
      </vt:variant>
      <vt:variant>
        <vt:lpwstr/>
      </vt:variant>
      <vt:variant>
        <vt:lpwstr>_Toc204610678</vt:lpwstr>
      </vt:variant>
      <vt:variant>
        <vt:i4>1441841</vt:i4>
      </vt:variant>
      <vt:variant>
        <vt:i4>62</vt:i4>
      </vt:variant>
      <vt:variant>
        <vt:i4>0</vt:i4>
      </vt:variant>
      <vt:variant>
        <vt:i4>5</vt:i4>
      </vt:variant>
      <vt:variant>
        <vt:lpwstr/>
      </vt:variant>
      <vt:variant>
        <vt:lpwstr>_Toc204610677</vt:lpwstr>
      </vt:variant>
      <vt:variant>
        <vt:i4>1441841</vt:i4>
      </vt:variant>
      <vt:variant>
        <vt:i4>56</vt:i4>
      </vt:variant>
      <vt:variant>
        <vt:i4>0</vt:i4>
      </vt:variant>
      <vt:variant>
        <vt:i4>5</vt:i4>
      </vt:variant>
      <vt:variant>
        <vt:lpwstr/>
      </vt:variant>
      <vt:variant>
        <vt:lpwstr>_Toc204610676</vt:lpwstr>
      </vt:variant>
      <vt:variant>
        <vt:i4>1441841</vt:i4>
      </vt:variant>
      <vt:variant>
        <vt:i4>50</vt:i4>
      </vt:variant>
      <vt:variant>
        <vt:i4>0</vt:i4>
      </vt:variant>
      <vt:variant>
        <vt:i4>5</vt:i4>
      </vt:variant>
      <vt:variant>
        <vt:lpwstr/>
      </vt:variant>
      <vt:variant>
        <vt:lpwstr>_Toc204610675</vt:lpwstr>
      </vt:variant>
      <vt:variant>
        <vt:i4>1441841</vt:i4>
      </vt:variant>
      <vt:variant>
        <vt:i4>44</vt:i4>
      </vt:variant>
      <vt:variant>
        <vt:i4>0</vt:i4>
      </vt:variant>
      <vt:variant>
        <vt:i4>5</vt:i4>
      </vt:variant>
      <vt:variant>
        <vt:lpwstr/>
      </vt:variant>
      <vt:variant>
        <vt:lpwstr>_Toc204610674</vt:lpwstr>
      </vt:variant>
      <vt:variant>
        <vt:i4>1441841</vt:i4>
      </vt:variant>
      <vt:variant>
        <vt:i4>38</vt:i4>
      </vt:variant>
      <vt:variant>
        <vt:i4>0</vt:i4>
      </vt:variant>
      <vt:variant>
        <vt:i4>5</vt:i4>
      </vt:variant>
      <vt:variant>
        <vt:lpwstr/>
      </vt:variant>
      <vt:variant>
        <vt:lpwstr>_Toc204610673</vt:lpwstr>
      </vt:variant>
      <vt:variant>
        <vt:i4>1441841</vt:i4>
      </vt:variant>
      <vt:variant>
        <vt:i4>32</vt:i4>
      </vt:variant>
      <vt:variant>
        <vt:i4>0</vt:i4>
      </vt:variant>
      <vt:variant>
        <vt:i4>5</vt:i4>
      </vt:variant>
      <vt:variant>
        <vt:lpwstr/>
      </vt:variant>
      <vt:variant>
        <vt:lpwstr>_Toc204610672</vt:lpwstr>
      </vt:variant>
      <vt:variant>
        <vt:i4>1441841</vt:i4>
      </vt:variant>
      <vt:variant>
        <vt:i4>26</vt:i4>
      </vt:variant>
      <vt:variant>
        <vt:i4>0</vt:i4>
      </vt:variant>
      <vt:variant>
        <vt:i4>5</vt:i4>
      </vt:variant>
      <vt:variant>
        <vt:lpwstr/>
      </vt:variant>
      <vt:variant>
        <vt:lpwstr>_Toc204610671</vt:lpwstr>
      </vt:variant>
      <vt:variant>
        <vt:i4>1441841</vt:i4>
      </vt:variant>
      <vt:variant>
        <vt:i4>20</vt:i4>
      </vt:variant>
      <vt:variant>
        <vt:i4>0</vt:i4>
      </vt:variant>
      <vt:variant>
        <vt:i4>5</vt:i4>
      </vt:variant>
      <vt:variant>
        <vt:lpwstr/>
      </vt:variant>
      <vt:variant>
        <vt:lpwstr>_Toc204610670</vt:lpwstr>
      </vt:variant>
      <vt:variant>
        <vt:i4>1507377</vt:i4>
      </vt:variant>
      <vt:variant>
        <vt:i4>14</vt:i4>
      </vt:variant>
      <vt:variant>
        <vt:i4>0</vt:i4>
      </vt:variant>
      <vt:variant>
        <vt:i4>5</vt:i4>
      </vt:variant>
      <vt:variant>
        <vt:lpwstr/>
      </vt:variant>
      <vt:variant>
        <vt:lpwstr>_Toc204610669</vt:lpwstr>
      </vt:variant>
      <vt:variant>
        <vt:i4>1507377</vt:i4>
      </vt:variant>
      <vt:variant>
        <vt:i4>8</vt:i4>
      </vt:variant>
      <vt:variant>
        <vt:i4>0</vt:i4>
      </vt:variant>
      <vt:variant>
        <vt:i4>5</vt:i4>
      </vt:variant>
      <vt:variant>
        <vt:lpwstr/>
      </vt:variant>
      <vt:variant>
        <vt:lpwstr>_Toc204610668</vt:lpwstr>
      </vt:variant>
      <vt:variant>
        <vt:i4>1507377</vt:i4>
      </vt:variant>
      <vt:variant>
        <vt:i4>2</vt:i4>
      </vt:variant>
      <vt:variant>
        <vt:i4>0</vt:i4>
      </vt:variant>
      <vt:variant>
        <vt:i4>5</vt:i4>
      </vt:variant>
      <vt:variant>
        <vt:lpwstr/>
      </vt:variant>
      <vt:variant>
        <vt:lpwstr>_Toc204610667</vt:lpwstr>
      </vt:variant>
      <vt:variant>
        <vt:i4>7798826</vt:i4>
      </vt:variant>
      <vt:variant>
        <vt:i4>42</vt:i4>
      </vt:variant>
      <vt:variant>
        <vt:i4>0</vt:i4>
      </vt:variant>
      <vt:variant>
        <vt:i4>5</vt:i4>
      </vt:variant>
      <vt:variant>
        <vt:lpwstr>https://www.australiansepsisnetwork.net.au/information-and-support/</vt:lpwstr>
      </vt:variant>
      <vt:variant>
        <vt:lpwstr>post-sepsis-syndrome</vt:lpwstr>
      </vt:variant>
      <vt:variant>
        <vt:i4>3670062</vt:i4>
      </vt:variant>
      <vt:variant>
        <vt:i4>39</vt:i4>
      </vt:variant>
      <vt:variant>
        <vt:i4>0</vt:i4>
      </vt:variant>
      <vt:variant>
        <vt:i4>5</vt:i4>
      </vt:variant>
      <vt:variant>
        <vt:lpwstr>https://www.australiansepsisnetwork.net.au/what-is-sepsis/</vt:lpwstr>
      </vt:variant>
      <vt:variant>
        <vt:lpwstr>causes-and-prevention</vt:lpwstr>
      </vt:variant>
      <vt:variant>
        <vt:i4>4456465</vt:i4>
      </vt:variant>
      <vt:variant>
        <vt:i4>36</vt:i4>
      </vt:variant>
      <vt:variant>
        <vt:i4>0</vt:i4>
      </vt:variant>
      <vt:variant>
        <vt:i4>5</vt:i4>
      </vt:variant>
      <vt:variant>
        <vt:lpwstr>https://www.safetyandquality.gov.au/our-work/indicators-measurement-and-reporting/medicineinsight</vt:lpwstr>
      </vt:variant>
      <vt:variant>
        <vt:lpwstr/>
      </vt:variant>
      <vt:variant>
        <vt:i4>131095</vt:i4>
      </vt:variant>
      <vt:variant>
        <vt:i4>33</vt:i4>
      </vt:variant>
      <vt:variant>
        <vt:i4>0</vt:i4>
      </vt:variant>
      <vt:variant>
        <vt:i4>5</vt:i4>
      </vt:variant>
      <vt:variant>
        <vt:lpwstr>https://sparked.csiro.au/index.php/products-resources/australian-patient-summary/</vt:lpwstr>
      </vt:variant>
      <vt:variant>
        <vt:lpwstr/>
      </vt:variant>
      <vt:variant>
        <vt:i4>4390919</vt:i4>
      </vt:variant>
      <vt:variant>
        <vt:i4>30</vt:i4>
      </vt:variant>
      <vt:variant>
        <vt:i4>0</vt:i4>
      </vt:variant>
      <vt:variant>
        <vt:i4>5</vt:i4>
      </vt:variant>
      <vt:variant>
        <vt:lpwstr>https://www.health.nsw.gov.au/lumos/Pages/about.aspx</vt:lpwstr>
      </vt:variant>
      <vt:variant>
        <vt:lpwstr/>
      </vt:variant>
      <vt:variant>
        <vt:i4>5636099</vt:i4>
      </vt:variant>
      <vt:variant>
        <vt:i4>27</vt:i4>
      </vt:variant>
      <vt:variant>
        <vt:i4>0</vt:i4>
      </vt:variant>
      <vt:variant>
        <vt:i4>5</vt:i4>
      </vt:variant>
      <vt:variant>
        <vt:lpwstr>https://meteor.aihw.gov.au/content/755589</vt:lpwstr>
      </vt:variant>
      <vt:variant>
        <vt:lpwstr/>
      </vt:variant>
      <vt:variant>
        <vt:i4>4390942</vt:i4>
      </vt:variant>
      <vt:variant>
        <vt:i4>24</vt:i4>
      </vt:variant>
      <vt:variant>
        <vt:i4>0</vt:i4>
      </vt:variant>
      <vt:variant>
        <vt:i4>5</vt:i4>
      </vt:variant>
      <vt:variant>
        <vt:lpwstr>https://www.safetyandquality.gov.au/standards/clinical-care-standards/sepsis-clinical-care-standard/indicators-sepsis-clinical-care-standard</vt:lpwstr>
      </vt:variant>
      <vt:variant>
        <vt:lpwstr/>
      </vt:variant>
      <vt:variant>
        <vt:i4>917510</vt:i4>
      </vt:variant>
      <vt:variant>
        <vt:i4>21</vt:i4>
      </vt:variant>
      <vt:variant>
        <vt:i4>0</vt:i4>
      </vt:variant>
      <vt:variant>
        <vt:i4>5</vt:i4>
      </vt:variant>
      <vt:variant>
        <vt:lpwstr>https://pubmed.ncbi.nlm.nih.gov/40457465/</vt:lpwstr>
      </vt:variant>
      <vt:variant>
        <vt:lpwstr/>
      </vt:variant>
      <vt:variant>
        <vt:i4>4259932</vt:i4>
      </vt:variant>
      <vt:variant>
        <vt:i4>18</vt:i4>
      </vt:variant>
      <vt:variant>
        <vt:i4>0</vt:i4>
      </vt:variant>
      <vt:variant>
        <vt:i4>5</vt:i4>
      </vt:variant>
      <vt:variant>
        <vt:lpwstr>https://www.safetyandquality.gov.au/standards/clinical-care-standards/sepsis-clinical-care-standard/sepsis-codes</vt:lpwstr>
      </vt:variant>
      <vt:variant>
        <vt:lpwstr/>
      </vt:variant>
      <vt:variant>
        <vt:i4>1900639</vt:i4>
      </vt:variant>
      <vt:variant>
        <vt:i4>15</vt:i4>
      </vt:variant>
      <vt:variant>
        <vt:i4>0</vt:i4>
      </vt:variant>
      <vt:variant>
        <vt:i4>5</vt:i4>
      </vt:variant>
      <vt:variant>
        <vt:lpwstr>https://www.qfcc.qld.gov.au/sites/default/files/2024-03/Paediatric Sepsis Mortality Study.pdf</vt:lpwstr>
      </vt:variant>
      <vt:variant>
        <vt:lpwstr/>
      </vt:variant>
      <vt:variant>
        <vt:i4>1966101</vt:i4>
      </vt:variant>
      <vt:variant>
        <vt:i4>12</vt:i4>
      </vt:variant>
      <vt:variant>
        <vt:i4>0</vt:i4>
      </vt:variant>
      <vt:variant>
        <vt:i4>5</vt:i4>
      </vt:variant>
      <vt:variant>
        <vt:lpwstr>https://pmc.ncbi.nlm.nih.gov/articles/PMC4968574/</vt:lpwstr>
      </vt:variant>
      <vt:variant>
        <vt:lpwstr/>
      </vt:variant>
      <vt:variant>
        <vt:i4>1900623</vt:i4>
      </vt:variant>
      <vt:variant>
        <vt:i4>9</vt:i4>
      </vt:variant>
      <vt:variant>
        <vt:i4>0</vt:i4>
      </vt:variant>
      <vt:variant>
        <vt:i4>5</vt:i4>
      </vt:variant>
      <vt:variant>
        <vt:lpwstr>https://auscr.com.au/</vt:lpwstr>
      </vt:variant>
      <vt:variant>
        <vt:lpwstr/>
      </vt:variant>
      <vt:variant>
        <vt:i4>3932286</vt:i4>
      </vt:variant>
      <vt:variant>
        <vt:i4>6</vt:i4>
      </vt:variant>
      <vt:variant>
        <vt:i4>0</vt:i4>
      </vt:variant>
      <vt:variant>
        <vt:i4>5</vt:i4>
      </vt:variant>
      <vt:variant>
        <vt:lpwstr>https://www.health.nsw.gov.au/lumos/Pages/default.aspx</vt:lpwstr>
      </vt:variant>
      <vt:variant>
        <vt:lpwstr/>
      </vt:variant>
      <vt:variant>
        <vt:i4>4849671</vt:i4>
      </vt:variant>
      <vt:variant>
        <vt:i4>3</vt:i4>
      </vt:variant>
      <vt:variant>
        <vt:i4>0</vt:i4>
      </vt:variant>
      <vt:variant>
        <vt:i4>5</vt:i4>
      </vt:variant>
      <vt:variant>
        <vt:lpwstr>https://www.safetyandquality.gov.au/publications-and-resources/resource-library/sepsis-medical-record-review-pilot-study</vt:lpwstr>
      </vt:variant>
      <vt:variant>
        <vt:lpwstr/>
      </vt:variant>
      <vt:variant>
        <vt:i4>6946938</vt:i4>
      </vt:variant>
      <vt:variant>
        <vt:i4>0</vt:i4>
      </vt:variant>
      <vt:variant>
        <vt:i4>0</vt:i4>
      </vt:variant>
      <vt:variant>
        <vt:i4>5</vt:i4>
      </vt:variant>
      <vt:variant>
        <vt:lpwstr>https://medcast.com.au/courses/1136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Lachlan Gregory</dc:creator>
  <cp:keywords/>
  <dc:description/>
  <cp:lastModifiedBy>JESSOP, Tommy</cp:lastModifiedBy>
  <cp:revision>2</cp:revision>
  <cp:lastPrinted>2025-07-23T00:20:00Z</cp:lastPrinted>
  <dcterms:created xsi:type="dcterms:W3CDTF">2025-11-17T04:04:00Z</dcterms:created>
  <dcterms:modified xsi:type="dcterms:W3CDTF">2025-11-17T04:04:00Z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0x010100823013BA6ACE854498372F9CF17517E5</vt:lpwstr>
  </property>
  <property fmtid="{D5CDD505-2E9C-101B-9397-08002B2CF9AE}" pid="3" name="Project">
    <vt:lpwstr/>
  </property>
  <property fmtid="{D5CDD505-2E9C-101B-9397-08002B2CF9AE}" pid="4" name="TaxKeyword">
    <vt:lpwstr/>
  </property>
  <property fmtid="{D5CDD505-2E9C-101B-9397-08002B2CF9AE}" pid="5" name="Capabilty Groups">
    <vt:lpwstr>1;#Strategy ＆ Operations|4e0654dc-dfcf-480d-b6c3-c9b6dd5e26a3</vt:lpwstr>
  </property>
  <property fmtid="{D5CDD505-2E9C-101B-9397-08002B2CF9AE}" pid="6" name="Capabilty_x0020_Groups">
    <vt:lpwstr>1;#Strategy ＆ Operations|4e0654dc-dfcf-480d-b6c3-c9b6dd5e26a3</vt:lpwstr>
  </property>
  <property fmtid="{D5CDD505-2E9C-101B-9397-08002B2CF9AE}" pid="7" name="MediaServiceImageTags">
    <vt:lpwstr/>
  </property>
  <property fmtid="{D5CDD505-2E9C-101B-9397-08002B2CF9AE}" pid="8" name="jce05d88239e4296a65d17e4c0ecc3b4">
    <vt:lpwstr/>
  </property>
  <property fmtid="{D5CDD505-2E9C-101B-9397-08002B2CF9AE}" pid="9" name="Internal_x0020_Document_x0020_Type">
    <vt:lpwstr/>
  </property>
  <property fmtid="{D5CDD505-2E9C-101B-9397-08002B2CF9AE}" pid="10" name="Client_x0020_Document_x0020_Type">
    <vt:lpwstr/>
  </property>
  <property fmtid="{D5CDD505-2E9C-101B-9397-08002B2CF9AE}" pid="11" name="Client">
    <vt:lpwstr/>
  </property>
  <property fmtid="{D5CDD505-2E9C-101B-9397-08002B2CF9AE}" pid="12" name="Internal Document Type">
    <vt:lpwstr/>
  </property>
  <property fmtid="{D5CDD505-2E9C-101B-9397-08002B2CF9AE}" pid="13" name="Client Document Type">
    <vt:lpwstr/>
  </property>
  <property fmtid="{D5CDD505-2E9C-101B-9397-08002B2CF9AE}" pid="14" name="o5eb495306514de785303dc5fb33a47b">
    <vt:lpwstr/>
  </property>
  <property fmtid="{D5CDD505-2E9C-101B-9397-08002B2CF9AE}" pid="15" name="PictureType">
    <vt:lpwstr/>
  </property>
  <property fmtid="{D5CDD505-2E9C-101B-9397-08002B2CF9AE}" pid="16" name="lcf76f155ced4ddcb4097134ff3c332f">
    <vt:lpwstr/>
  </property>
  <property fmtid="{D5CDD505-2E9C-101B-9397-08002B2CF9AE}" pid="17" name="ClassificationContentMarkingHeaderShapeIds">
    <vt:lpwstr>163956e2,78631a6,28945a81,6c3e5d70,66c480d6</vt:lpwstr>
  </property>
  <property fmtid="{D5CDD505-2E9C-101B-9397-08002B2CF9AE}" pid="18" name="ClassificationContentMarkingHeaderFontProps">
    <vt:lpwstr>#ff0000,12,Calibri</vt:lpwstr>
  </property>
  <property fmtid="{D5CDD505-2E9C-101B-9397-08002B2CF9AE}" pid="19" name="ClassificationContentMarkingHeaderText">
    <vt:lpwstr>OFFICIAL</vt:lpwstr>
  </property>
  <property fmtid="{D5CDD505-2E9C-101B-9397-08002B2CF9AE}" pid="20" name="ClassificationContentMarkingFooterShapeIds">
    <vt:lpwstr>2f89b345,7b857e6c,e2d720c,6b0573e9,7628240d,6a077626,7a3ce7bb</vt:lpwstr>
  </property>
  <property fmtid="{D5CDD505-2E9C-101B-9397-08002B2CF9AE}" pid="21" name="ClassificationContentMarkingFooterFontProps">
    <vt:lpwstr>#ff0000,12,Calibri</vt:lpwstr>
  </property>
  <property fmtid="{D5CDD505-2E9C-101B-9397-08002B2CF9AE}" pid="22" name="ClassificationContentMarkingFooterText">
    <vt:lpwstr>OFFICIAL</vt:lpwstr>
  </property>
  <property fmtid="{D5CDD505-2E9C-101B-9397-08002B2CF9AE}" pid="23" name="MSIP_Label_7cd3e8b9-ffed-43a8-b7f4-cc2fa0382d36_Enabled">
    <vt:lpwstr>true</vt:lpwstr>
  </property>
  <property fmtid="{D5CDD505-2E9C-101B-9397-08002B2CF9AE}" pid="24" name="MSIP_Label_7cd3e8b9-ffed-43a8-b7f4-cc2fa0382d36_SetDate">
    <vt:lpwstr>2025-11-16T21:46:56Z</vt:lpwstr>
  </property>
  <property fmtid="{D5CDD505-2E9C-101B-9397-08002B2CF9AE}" pid="25" name="MSIP_Label_7cd3e8b9-ffed-43a8-b7f4-cc2fa0382d36_Method">
    <vt:lpwstr>Privileged</vt:lpwstr>
  </property>
  <property fmtid="{D5CDD505-2E9C-101B-9397-08002B2CF9AE}" pid="26" name="MSIP_Label_7cd3e8b9-ffed-43a8-b7f4-cc2fa0382d36_Name">
    <vt:lpwstr>O</vt:lpwstr>
  </property>
  <property fmtid="{D5CDD505-2E9C-101B-9397-08002B2CF9AE}" pid="27" name="MSIP_Label_7cd3e8b9-ffed-43a8-b7f4-cc2fa0382d36_SiteId">
    <vt:lpwstr>34a3929c-73cf-4954-abfe-147dc3517892</vt:lpwstr>
  </property>
  <property fmtid="{D5CDD505-2E9C-101B-9397-08002B2CF9AE}" pid="28" name="MSIP_Label_7cd3e8b9-ffed-43a8-b7f4-cc2fa0382d36_ActionId">
    <vt:lpwstr>68ca5334-0048-41bf-96b1-8aa2f5b82b19</vt:lpwstr>
  </property>
  <property fmtid="{D5CDD505-2E9C-101B-9397-08002B2CF9AE}" pid="29" name="MSIP_Label_7cd3e8b9-ffed-43a8-b7f4-cc2fa0382d36_ContentBits">
    <vt:lpwstr>3</vt:lpwstr>
  </property>
  <property fmtid="{D5CDD505-2E9C-101B-9397-08002B2CF9AE}" pid="30" name="MSIP_Label_7cd3e8b9-ffed-43a8-b7f4-cc2fa0382d36_Tag">
    <vt:lpwstr>10, 0, 1, 1</vt:lpwstr>
  </property>
</Properties>
</file>