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859C" w14:textId="77777777" w:rsidR="00B24DF4" w:rsidRDefault="00B24DF4" w:rsidP="00EA1C57">
      <w:pPr>
        <w:ind w:hanging="142"/>
      </w:pPr>
      <w:bookmarkStart w:id="0" w:name="_Toc476822632"/>
      <w:bookmarkStart w:id="1" w:name="_Toc476822653"/>
      <w:r w:rsidRPr="008A251F">
        <w:rPr>
          <w:rFonts w:eastAsiaTheme="majorEastAsia"/>
          <w:noProof/>
        </w:rPr>
        <w:drawing>
          <wp:inline distT="0" distB="0" distL="0" distR="0" wp14:anchorId="259421C0" wp14:editId="3EDF7F84">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7F206DE9" w14:textId="77777777" w:rsidR="00BC07E4" w:rsidRDefault="00BC07E4" w:rsidP="009424A5">
      <w:pPr>
        <w:pStyle w:val="PublicationDate"/>
      </w:pPr>
    </w:p>
    <w:p w14:paraId="1A258559" w14:textId="77777777" w:rsidR="00BC07E4" w:rsidRDefault="00BC07E4" w:rsidP="009424A5">
      <w:pPr>
        <w:pStyle w:val="PublicationDate"/>
      </w:pPr>
    </w:p>
    <w:p w14:paraId="2C796AFE" w14:textId="77777777" w:rsidR="00BC07E4" w:rsidRDefault="00BC07E4" w:rsidP="00BC07E4">
      <w:pPr>
        <w:rPr>
          <w:rFonts w:eastAsiaTheme="majorEastAsia"/>
        </w:rPr>
      </w:pPr>
    </w:p>
    <w:p w14:paraId="490A6CF0" w14:textId="28CEA7AC" w:rsidR="00BC07E4" w:rsidRDefault="00BC07E4" w:rsidP="00BC07E4">
      <w:pPr>
        <w:rPr>
          <w:rFonts w:eastAsiaTheme="majorEastAsia"/>
          <w:highlight w:val="yellow"/>
        </w:rPr>
      </w:pPr>
      <w:r w:rsidRPr="0091137C">
        <w:rPr>
          <w:rFonts w:eastAsiaTheme="majorEastAsia"/>
        </w:rPr>
        <w:t xml:space="preserve">TRIM: </w:t>
      </w:r>
      <w:r w:rsidR="00DB2147">
        <w:rPr>
          <w:rFonts w:eastAsiaTheme="majorEastAsia"/>
        </w:rPr>
        <w:t>D</w:t>
      </w:r>
      <w:r w:rsidR="002D5C28">
        <w:rPr>
          <w:rFonts w:eastAsiaTheme="majorEastAsia"/>
        </w:rPr>
        <w:t>21-29961</w:t>
      </w:r>
    </w:p>
    <w:p w14:paraId="300204C9" w14:textId="77777777" w:rsidR="00BC07E4" w:rsidRDefault="00BC07E4" w:rsidP="009424A5">
      <w:pPr>
        <w:pStyle w:val="PublicationDate"/>
      </w:pPr>
    </w:p>
    <w:p w14:paraId="587E6571" w14:textId="77777777" w:rsidR="00BC07E4" w:rsidRDefault="00BC07E4" w:rsidP="009424A5">
      <w:pPr>
        <w:pStyle w:val="PublicationDate"/>
      </w:pPr>
    </w:p>
    <w:p w14:paraId="04067267" w14:textId="7D321863" w:rsidR="000B0274" w:rsidRDefault="003F3FC2" w:rsidP="006C5B97">
      <w:pPr>
        <w:pStyle w:val="PublicationDate"/>
      </w:pPr>
      <w:r>
        <w:t>October</w:t>
      </w:r>
      <w:r w:rsidR="005B0433">
        <w:t xml:space="preserve"> </w:t>
      </w:r>
      <w:r w:rsidR="002142B1">
        <w:t>2021</w:t>
      </w:r>
    </w:p>
    <w:p w14:paraId="065F7E70" w14:textId="77777777" w:rsidR="00BC07E4" w:rsidRDefault="00BC07E4" w:rsidP="009424A5">
      <w:pPr>
        <w:pStyle w:val="PublicationDate"/>
      </w:pPr>
    </w:p>
    <w:p w14:paraId="188237D3" w14:textId="77777777" w:rsidR="00BC07E4" w:rsidRPr="003C02C5" w:rsidRDefault="00BC07E4" w:rsidP="009424A5">
      <w:pPr>
        <w:pStyle w:val="PublicationDate"/>
      </w:pPr>
    </w:p>
    <w:p w14:paraId="56A468C7" w14:textId="363F5128" w:rsidR="000B0274" w:rsidRPr="00B904EC" w:rsidRDefault="00DB2147" w:rsidP="009424A5">
      <w:pPr>
        <w:pStyle w:val="Title"/>
      </w:pPr>
      <w:r>
        <w:t xml:space="preserve">National </w:t>
      </w:r>
      <w:r w:rsidR="005B205F">
        <w:t xml:space="preserve">Anticoagulant </w:t>
      </w:r>
      <w:r w:rsidR="006C5B97">
        <w:br/>
      </w:r>
      <w:r>
        <w:t>I</w:t>
      </w:r>
      <w:r w:rsidR="005B205F">
        <w:t>ncident</w:t>
      </w:r>
      <w:r w:rsidR="004B0EE4">
        <w:t xml:space="preserve"> Analysis</w:t>
      </w:r>
      <w:r w:rsidR="005B205F">
        <w:t xml:space="preserve"> </w:t>
      </w:r>
    </w:p>
    <w:p w14:paraId="7C546CEF" w14:textId="77777777" w:rsidR="000A4C01" w:rsidRDefault="000A4C01" w:rsidP="00BC07E4">
      <w:pPr>
        <w:sectPr w:rsidR="000A4C01" w:rsidSect="000A4C01">
          <w:footerReference w:type="default" r:id="rId9"/>
          <w:pgSz w:w="11906" w:h="16838"/>
          <w:pgMar w:top="1440" w:right="1440" w:bottom="1440" w:left="1440" w:header="708" w:footer="708" w:gutter="0"/>
          <w:pgNumType w:start="1"/>
          <w:cols w:space="708"/>
          <w:titlePg/>
          <w:docGrid w:linePitch="360"/>
        </w:sectPr>
      </w:pPr>
      <w:bookmarkStart w:id="2" w:name="_Toc476822633"/>
      <w:bookmarkStart w:id="3" w:name="_Toc476822654"/>
      <w:bookmarkStart w:id="4" w:name="_Toc476822854"/>
      <w:bookmarkStart w:id="5" w:name="_Toc476823158"/>
      <w:bookmarkStart w:id="6" w:name="_Toc476823667"/>
    </w:p>
    <w:p w14:paraId="2CF7816B" w14:textId="77777777" w:rsidR="00EA1C57" w:rsidRDefault="009A007B" w:rsidP="009A007B">
      <w:r w:rsidRPr="00B47076">
        <w:lastRenderedPageBreak/>
        <w:t>Published by the Australian Commission on Safety and Quality in Health Care</w:t>
      </w:r>
    </w:p>
    <w:p w14:paraId="4DE41A70" w14:textId="2E2CBC57" w:rsidR="009A007B" w:rsidRPr="009A007B" w:rsidRDefault="009A007B" w:rsidP="00EA1C57">
      <w:pPr>
        <w:spacing w:after="0"/>
      </w:pPr>
      <w:r>
        <w:t>Level 5, 255 E</w:t>
      </w:r>
      <w:r w:rsidR="000406F8">
        <w:t>lizabeth Street, Sydney NSW 2000</w:t>
      </w:r>
    </w:p>
    <w:p w14:paraId="42D72037" w14:textId="597D1840" w:rsidR="009A007B" w:rsidRPr="009A007B" w:rsidRDefault="009A007B" w:rsidP="00EA1C57">
      <w:pPr>
        <w:spacing w:after="0"/>
      </w:pPr>
      <w:r w:rsidRPr="00B47076">
        <w:t>Phone: (02) 9126 3600</w:t>
      </w:r>
    </w:p>
    <w:p w14:paraId="79C7F020" w14:textId="61E58A45" w:rsidR="002D1E0A" w:rsidRPr="00384DC6" w:rsidRDefault="009A007B" w:rsidP="009A007B">
      <w:pPr>
        <w:rPr>
          <w:rFonts w:ascii="Times New Roman" w:hAnsi="Times New Roman"/>
          <w:snapToGrid w:val="0"/>
          <w:color w:val="000000"/>
          <w:w w:val="0"/>
          <w:sz w:val="0"/>
          <w:szCs w:val="0"/>
          <w:u w:color="000000"/>
          <w:bdr w:val="none" w:sz="0" w:space="0" w:color="000000"/>
          <w:shd w:val="clear" w:color="000000" w:fill="000000"/>
          <w:lang w:eastAsia="x-none" w:bidi="x-none"/>
        </w:rPr>
      </w:pPr>
      <w:r w:rsidRPr="00B47076">
        <w:t xml:space="preserve">Email: </w:t>
      </w:r>
      <w:hyperlink r:id="rId10" w:history="1">
        <w:r w:rsidR="002D1E0A" w:rsidRPr="00E14CDA">
          <w:rPr>
            <w:rStyle w:val="Hyperlink"/>
          </w:rPr>
          <w:t>mail@safetyandquality.gov.au</w:t>
        </w:r>
      </w:hyperlink>
      <w:r w:rsidR="002D2E45">
        <w:t xml:space="preserve"> </w:t>
      </w:r>
      <w:r>
        <w:br/>
      </w:r>
      <w:r w:rsidRPr="00B47076">
        <w:t xml:space="preserve">Website: </w:t>
      </w:r>
      <w:hyperlink r:id="rId11" w:history="1">
        <w:r w:rsidR="002D1E0A" w:rsidRPr="00E14CDA">
          <w:rPr>
            <w:rStyle w:val="Hyperlink"/>
          </w:rPr>
          <w:t>www.safetyandquality.gov.au</w:t>
        </w:r>
      </w:hyperlink>
      <w:r w:rsidR="002D2E45">
        <w:t xml:space="preserve"> </w:t>
      </w:r>
    </w:p>
    <w:p w14:paraId="5B64E6E9" w14:textId="3782FD55" w:rsidR="002D1E0A" w:rsidRPr="00A77349" w:rsidRDefault="00384DC6" w:rsidP="009A007B">
      <w:pPr>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t>ISBN: 978-1-922563-13</w:t>
      </w:r>
      <w:r w:rsidR="002D1E0A">
        <w:t>-2</w:t>
      </w:r>
    </w:p>
    <w:p w14:paraId="6E2FF9DE" w14:textId="486C245F" w:rsidR="009A007B" w:rsidRPr="009A007B" w:rsidRDefault="009A007B" w:rsidP="009A007B">
      <w:r w:rsidRPr="00B47076">
        <w:t>© Australian Commission on Sa</w:t>
      </w:r>
      <w:r w:rsidR="004D759E">
        <w:t>fety and Quality in Health Care 202</w:t>
      </w:r>
      <w:r w:rsidR="00953951">
        <w:t>1</w:t>
      </w:r>
    </w:p>
    <w:p w14:paraId="41919F7A" w14:textId="77777777" w:rsidR="009A007B" w:rsidRPr="009A007B" w:rsidRDefault="009A007B" w:rsidP="009A007B">
      <w:r w:rsidRPr="00B47076">
        <w:t xml:space="preserve">All material and work produced by the Australian Commission on Safety and Quality in Health Care </w:t>
      </w:r>
      <w:r>
        <w:t>is protected by</w:t>
      </w:r>
      <w:r w:rsidRPr="00B47076">
        <w:t xml:space="preserve"> copyright. The Commission reserves the right to set out the terms and conditions for the use of such material. </w:t>
      </w:r>
    </w:p>
    <w:p w14:paraId="0A9FDF78" w14:textId="77777777" w:rsidR="009A007B" w:rsidRPr="009A007B" w:rsidRDefault="009A007B" w:rsidP="009A007B">
      <w:r w:rsidRPr="00B47076">
        <w:t>As far as practicable, material for which the copyright is owned by a third party will be clearly labelled. The</w:t>
      </w:r>
      <w:r>
        <w:t xml:space="preserve"> </w:t>
      </w:r>
      <w:r w:rsidRPr="00B47076">
        <w:t>Australian Commission on Safety and Quality in Health Care has made all reasonable efforts to ensure that this material has been reproduced in this publication with the full consent of the copyright owners.</w:t>
      </w:r>
    </w:p>
    <w:p w14:paraId="324CB165" w14:textId="77777777" w:rsidR="009A007B" w:rsidRPr="00F549D7" w:rsidRDefault="009A007B" w:rsidP="009A007B">
      <w:pPr>
        <w:rPr>
          <w:u w:val="single"/>
        </w:rPr>
      </w:pPr>
      <w:r w:rsidRPr="00B47076">
        <w:t xml:space="preserve">With the exception of any material protected by a trademark, any content provided by third parties, and where otherwise noted, all material presented in this publication is </w:t>
      </w:r>
      <w:r w:rsidRPr="00F549D7">
        <w:t>licensed under a </w:t>
      </w:r>
      <w:hyperlink r:id="rId12" w:history="1">
        <w:r w:rsidRPr="00F549D7">
          <w:rPr>
            <w:rStyle w:val="Hyperlink"/>
            <w:rFonts w:cs="Arial"/>
          </w:rPr>
          <w:t>Creative Commons Attribution-NonCommercial-NoDerivatives 4.0 International Licen</w:t>
        </w:r>
        <w:r>
          <w:rPr>
            <w:rStyle w:val="Hyperlink"/>
            <w:rFonts w:cs="Arial"/>
          </w:rPr>
          <w:t>c</w:t>
        </w:r>
        <w:r w:rsidRPr="00F549D7">
          <w:rPr>
            <w:rStyle w:val="Hyperlink"/>
            <w:rFonts w:cs="Arial"/>
          </w:rPr>
          <w:t>e</w:t>
        </w:r>
      </w:hyperlink>
      <w:r w:rsidRPr="00F549D7">
        <w:rPr>
          <w:u w:val="single"/>
        </w:rPr>
        <w:t>.</w:t>
      </w:r>
    </w:p>
    <w:p w14:paraId="433E4F60" w14:textId="77777777" w:rsidR="009A007B" w:rsidRPr="009A007B" w:rsidRDefault="009A007B" w:rsidP="009A007B">
      <w:r w:rsidRPr="00B47076">
        <w:rPr>
          <w:noProof/>
        </w:rPr>
        <w:drawing>
          <wp:inline distT="0" distB="0" distL="0" distR="0" wp14:anchorId="1F2BD0B5" wp14:editId="6EF27CDA">
            <wp:extent cx="840105" cy="297815"/>
            <wp:effectExtent l="0" t="0" r="0" b="6985"/>
            <wp:docPr id="9" name="Picture 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4877EDFE" w14:textId="77777777" w:rsidR="009A007B" w:rsidRPr="009A007B" w:rsidRDefault="009A007B" w:rsidP="009A007B">
      <w:r>
        <w:t>E</w:t>
      </w:r>
      <w:r w:rsidRPr="00B47076">
        <w:t xml:space="preserve">nquiries regarding the licence and any use of this publication are welcome </w:t>
      </w:r>
      <w:r>
        <w:t xml:space="preserve">and can be sent to </w:t>
      </w:r>
      <w:hyperlink r:id="rId14" w:history="1">
        <w:r w:rsidRPr="00B47076">
          <w:rPr>
            <w:rStyle w:val="Hyperlink"/>
            <w:rFonts w:cs="Arial"/>
          </w:rPr>
          <w:t>communications@safetyandquality.gov.au</w:t>
        </w:r>
      </w:hyperlink>
      <w:r w:rsidRPr="00B47076">
        <w:t>.</w:t>
      </w:r>
    </w:p>
    <w:p w14:paraId="3BF1F421" w14:textId="77777777" w:rsidR="009A007B" w:rsidRPr="009A007B" w:rsidRDefault="009A007B" w:rsidP="009A007B">
      <w:r w:rsidRPr="00B47076">
        <w:t xml:space="preserve">The Commission’s preference is that you attribute this publication (and any material sourced from it) using the following citation: </w:t>
      </w:r>
    </w:p>
    <w:p w14:paraId="4C2F5B12" w14:textId="4D1B9566" w:rsidR="009A007B" w:rsidRPr="009A007B" w:rsidRDefault="009A007B" w:rsidP="00210264">
      <w:r w:rsidRPr="004D759E">
        <w:t xml:space="preserve">Australian Commission on Safety and Quality in Health Care. </w:t>
      </w:r>
      <w:r w:rsidR="006C5B97">
        <w:br/>
      </w:r>
      <w:r w:rsidR="004D759E" w:rsidRPr="004D759E">
        <w:t>National Anticoagulant Incident Analysis.</w:t>
      </w:r>
      <w:r w:rsidRPr="004D759E">
        <w:t xml:space="preserve"> Sydney: ACSQHC; </w:t>
      </w:r>
      <w:r w:rsidR="002142B1">
        <w:t>2021</w:t>
      </w:r>
      <w:r w:rsidR="008F63D0">
        <w:t>.</w:t>
      </w:r>
    </w:p>
    <w:p w14:paraId="4FC5AD83" w14:textId="77777777" w:rsidR="009A007B" w:rsidRPr="009A007B" w:rsidRDefault="009A007B" w:rsidP="00EA1C57">
      <w:pPr>
        <w:spacing w:before="240"/>
      </w:pPr>
      <w:r w:rsidRPr="009A007B">
        <w:rPr>
          <w:rStyle w:val="Strong"/>
        </w:rPr>
        <w:t>Disclaimer</w:t>
      </w:r>
    </w:p>
    <w:p w14:paraId="6D9E4A9C" w14:textId="4CCF5EE6" w:rsidR="00BA4AEE" w:rsidRDefault="009A007B" w:rsidP="00BA4AEE">
      <w:r w:rsidRPr="009A007B">
        <w:t xml:space="preserve">The content of this document is published in good faith by </w:t>
      </w:r>
      <w:r w:rsidR="00CB5999">
        <w:t xml:space="preserve">the </w:t>
      </w:r>
      <w:r w:rsidRPr="009A007B">
        <w:t>Australian Commission on Safety and Quality in Health Care (the Commission) for information purposes. The document is not intended to provid</w:t>
      </w:r>
      <w:r w:rsidR="00CB5999">
        <w:t>e guidance on particular health</w:t>
      </w:r>
      <w:r w:rsidRPr="009A007B">
        <w:t>care choices. You should contact your health car</w:t>
      </w:r>
      <w:r w:rsidR="00CB5999">
        <w:t>e provider on particular health</w:t>
      </w:r>
      <w:r w:rsidRPr="009A007B">
        <w:t xml:space="preserve">care choices. </w:t>
      </w:r>
    </w:p>
    <w:p w14:paraId="6CA14292" w14:textId="77777777" w:rsidR="009A007B" w:rsidRPr="009A007B" w:rsidRDefault="009A007B" w:rsidP="00BA4AEE">
      <w:pPr>
        <w:rPr>
          <w:b/>
          <w:bCs/>
          <w:i/>
          <w:smallCaps/>
        </w:rPr>
      </w:pPr>
      <w:r w:rsidRPr="009A007B">
        <w:t xml:space="preserve">The Commission does not accept any legal liability for any injury, loss or damage incurred by the use of, or reliance on, this document. </w:t>
      </w:r>
    </w:p>
    <w:p w14:paraId="0183DDA5" w14:textId="77777777" w:rsidR="00BC07E4" w:rsidRPr="00BC07E4" w:rsidRDefault="00BC07E4" w:rsidP="009A007B">
      <w:r>
        <w:br w:type="page"/>
      </w:r>
    </w:p>
    <w:p w14:paraId="7D406231" w14:textId="4578466A" w:rsidR="00865932" w:rsidRDefault="00865932" w:rsidP="00785646">
      <w:pPr>
        <w:spacing w:after="240"/>
        <w:rPr>
          <w:rFonts w:ascii="Arial" w:hAnsi="Arial" w:cs="Arial"/>
          <w:color w:val="000000"/>
          <w:szCs w:val="20"/>
        </w:rPr>
        <w:sectPr w:rsidR="00865932" w:rsidSect="000A4C01">
          <w:headerReference w:type="even" r:id="rId15"/>
          <w:headerReference w:type="default" r:id="rId16"/>
          <w:headerReference w:type="first" r:id="rId17"/>
          <w:footerReference w:type="first" r:id="rId18"/>
          <w:pgSz w:w="11906" w:h="16838"/>
          <w:pgMar w:top="1440" w:right="1440" w:bottom="1440" w:left="1440" w:header="708" w:footer="708" w:gutter="0"/>
          <w:pgNumType w:fmt="lowerRoman" w:start="1"/>
          <w:cols w:space="708"/>
          <w:titlePg/>
          <w:docGrid w:linePitch="360"/>
        </w:sectPr>
      </w:pPr>
      <w:bookmarkStart w:id="7" w:name="_Toc482782728"/>
    </w:p>
    <w:bookmarkEnd w:id="7" w:displacedByCustomXml="next"/>
    <w:sdt>
      <w:sdtPr>
        <w:rPr>
          <w:rFonts w:asciiTheme="minorHAnsi" w:eastAsiaTheme="minorEastAsia" w:hAnsiTheme="minorHAnsi" w:cstheme="minorBidi"/>
          <w:b w:val="0"/>
          <w:bCs w:val="0"/>
          <w:color w:val="auto"/>
          <w:kern w:val="2"/>
          <w:sz w:val="24"/>
          <w:szCs w:val="24"/>
          <w:lang w:val="en-AU" w:eastAsia="en-AU"/>
        </w:rPr>
        <w:id w:val="284017964"/>
        <w:docPartObj>
          <w:docPartGallery w:val="Table of Contents"/>
          <w:docPartUnique/>
        </w:docPartObj>
      </w:sdtPr>
      <w:sdtEndPr>
        <w:rPr>
          <w:rFonts w:asciiTheme="majorHAnsi" w:eastAsiaTheme="majorEastAsia" w:hAnsiTheme="majorHAnsi" w:cstheme="majorBidi"/>
          <w:b/>
          <w:bCs/>
          <w:color w:val="0C5979" w:themeColor="accent1" w:themeShade="BF"/>
          <w:kern w:val="0"/>
          <w:sz w:val="42"/>
          <w:szCs w:val="28"/>
          <w:lang w:val="en-US" w:eastAsia="ja-JP"/>
        </w:rPr>
      </w:sdtEndPr>
      <w:sdtContent>
        <w:p w14:paraId="01575BAF" w14:textId="77777777" w:rsidR="00941CAF" w:rsidRDefault="00794242" w:rsidP="007676EC">
          <w:pPr>
            <w:pStyle w:val="TOCHeading"/>
            <w:rPr>
              <w:noProof/>
            </w:rPr>
          </w:pPr>
          <w:r>
            <w:t xml:space="preserve">Contents </w:t>
          </w:r>
          <w:r w:rsidR="007676EC">
            <w:fldChar w:fldCharType="begin"/>
          </w:r>
          <w:r w:rsidR="007676EC">
            <w:instrText xml:space="preserve"> TOC \o "1-3" \h \z </w:instrText>
          </w:r>
          <w:r w:rsidR="007676EC">
            <w:fldChar w:fldCharType="separate"/>
          </w:r>
        </w:p>
        <w:p w14:paraId="0F6501AC" w14:textId="62A11C94" w:rsidR="00941CAF" w:rsidRDefault="002D45FC">
          <w:pPr>
            <w:pStyle w:val="TOC1"/>
            <w:rPr>
              <w:rFonts w:eastAsiaTheme="minorEastAsia" w:cstheme="minorBidi"/>
              <w:b w:val="0"/>
              <w:bCs w:val="0"/>
              <w:iCs w:val="0"/>
              <w:color w:val="auto"/>
              <w:sz w:val="24"/>
              <w:lang w:eastAsia="en-GB"/>
            </w:rPr>
          </w:pPr>
          <w:hyperlink w:anchor="_Toc80021267" w:history="1">
            <w:r w:rsidR="00941CAF" w:rsidRPr="00E74044">
              <w:rPr>
                <w:rStyle w:val="Hyperlink"/>
              </w:rPr>
              <w:t>Preface</w:t>
            </w:r>
            <w:r w:rsidR="00941CAF">
              <w:rPr>
                <w:webHidden/>
              </w:rPr>
              <w:tab/>
            </w:r>
            <w:r w:rsidR="00941CAF">
              <w:rPr>
                <w:webHidden/>
              </w:rPr>
              <w:fldChar w:fldCharType="begin"/>
            </w:r>
            <w:r w:rsidR="00941CAF">
              <w:rPr>
                <w:webHidden/>
              </w:rPr>
              <w:instrText xml:space="preserve"> PAGEREF _Toc80021267 \h </w:instrText>
            </w:r>
            <w:r w:rsidR="00941CAF">
              <w:rPr>
                <w:webHidden/>
              </w:rPr>
            </w:r>
            <w:r w:rsidR="00941CAF">
              <w:rPr>
                <w:webHidden/>
              </w:rPr>
              <w:fldChar w:fldCharType="separate"/>
            </w:r>
            <w:r w:rsidR="00186B33">
              <w:rPr>
                <w:webHidden/>
              </w:rPr>
              <w:t>2</w:t>
            </w:r>
            <w:r w:rsidR="00941CAF">
              <w:rPr>
                <w:webHidden/>
              </w:rPr>
              <w:fldChar w:fldCharType="end"/>
            </w:r>
          </w:hyperlink>
        </w:p>
        <w:p w14:paraId="30FDE6B3" w14:textId="176B48B4" w:rsidR="00941CAF" w:rsidRDefault="002D45FC">
          <w:pPr>
            <w:pStyle w:val="TOC1"/>
            <w:rPr>
              <w:rFonts w:eastAsiaTheme="minorEastAsia" w:cstheme="minorBidi"/>
              <w:b w:val="0"/>
              <w:bCs w:val="0"/>
              <w:iCs w:val="0"/>
              <w:color w:val="auto"/>
              <w:sz w:val="24"/>
              <w:lang w:eastAsia="en-GB"/>
            </w:rPr>
          </w:pPr>
          <w:hyperlink w:anchor="_Toc80021268" w:history="1">
            <w:r w:rsidR="00941CAF" w:rsidRPr="00E74044">
              <w:rPr>
                <w:rStyle w:val="Hyperlink"/>
              </w:rPr>
              <w:t>Executive summary</w:t>
            </w:r>
            <w:r w:rsidR="00941CAF">
              <w:rPr>
                <w:webHidden/>
              </w:rPr>
              <w:tab/>
            </w:r>
            <w:r w:rsidR="00941CAF">
              <w:rPr>
                <w:webHidden/>
              </w:rPr>
              <w:fldChar w:fldCharType="begin"/>
            </w:r>
            <w:r w:rsidR="00941CAF">
              <w:rPr>
                <w:webHidden/>
              </w:rPr>
              <w:instrText xml:space="preserve"> PAGEREF _Toc80021268 \h </w:instrText>
            </w:r>
            <w:r w:rsidR="00941CAF">
              <w:rPr>
                <w:webHidden/>
              </w:rPr>
            </w:r>
            <w:r w:rsidR="00941CAF">
              <w:rPr>
                <w:webHidden/>
              </w:rPr>
              <w:fldChar w:fldCharType="separate"/>
            </w:r>
            <w:r w:rsidR="00186B33">
              <w:rPr>
                <w:webHidden/>
              </w:rPr>
              <w:t>3</w:t>
            </w:r>
            <w:r w:rsidR="00941CAF">
              <w:rPr>
                <w:webHidden/>
              </w:rPr>
              <w:fldChar w:fldCharType="end"/>
            </w:r>
          </w:hyperlink>
        </w:p>
        <w:p w14:paraId="17881D63" w14:textId="1C3ECAA8" w:rsidR="00941CAF" w:rsidRDefault="002D45FC">
          <w:pPr>
            <w:pStyle w:val="TOC1"/>
            <w:rPr>
              <w:rFonts w:eastAsiaTheme="minorEastAsia" w:cstheme="minorBidi"/>
              <w:b w:val="0"/>
              <w:bCs w:val="0"/>
              <w:iCs w:val="0"/>
              <w:color w:val="auto"/>
              <w:sz w:val="24"/>
              <w:lang w:eastAsia="en-GB"/>
            </w:rPr>
          </w:pPr>
          <w:hyperlink w:anchor="_Toc80021269" w:history="1">
            <w:r w:rsidR="00941CAF" w:rsidRPr="00E74044">
              <w:rPr>
                <w:rStyle w:val="Hyperlink"/>
              </w:rPr>
              <w:t>Incident data analysis</w:t>
            </w:r>
            <w:r w:rsidR="00941CAF">
              <w:rPr>
                <w:webHidden/>
              </w:rPr>
              <w:tab/>
            </w:r>
            <w:r w:rsidR="00941CAF">
              <w:rPr>
                <w:webHidden/>
              </w:rPr>
              <w:fldChar w:fldCharType="begin"/>
            </w:r>
            <w:r w:rsidR="00941CAF">
              <w:rPr>
                <w:webHidden/>
              </w:rPr>
              <w:instrText xml:space="preserve"> PAGEREF _Toc80021269 \h </w:instrText>
            </w:r>
            <w:r w:rsidR="00941CAF">
              <w:rPr>
                <w:webHidden/>
              </w:rPr>
            </w:r>
            <w:r w:rsidR="00941CAF">
              <w:rPr>
                <w:webHidden/>
              </w:rPr>
              <w:fldChar w:fldCharType="separate"/>
            </w:r>
            <w:r w:rsidR="00186B33">
              <w:rPr>
                <w:webHidden/>
              </w:rPr>
              <w:t>5</w:t>
            </w:r>
            <w:r w:rsidR="00941CAF">
              <w:rPr>
                <w:webHidden/>
              </w:rPr>
              <w:fldChar w:fldCharType="end"/>
            </w:r>
          </w:hyperlink>
        </w:p>
        <w:p w14:paraId="5BDC0B35" w14:textId="1F31E542" w:rsidR="00941CAF" w:rsidRDefault="002D45FC">
          <w:pPr>
            <w:pStyle w:val="TOC2"/>
            <w:tabs>
              <w:tab w:val="right" w:leader="dot" w:pos="9016"/>
            </w:tabs>
            <w:rPr>
              <w:rFonts w:eastAsiaTheme="minorEastAsia" w:cstheme="minorBidi"/>
              <w:bCs w:val="0"/>
              <w:noProof/>
              <w:sz w:val="24"/>
              <w:szCs w:val="24"/>
              <w:lang w:eastAsia="en-GB"/>
            </w:rPr>
          </w:pPr>
          <w:hyperlink w:anchor="_Toc80021270" w:history="1">
            <w:r w:rsidR="00941CAF" w:rsidRPr="00E74044">
              <w:rPr>
                <w:rStyle w:val="Hyperlink"/>
                <w:noProof/>
              </w:rPr>
              <w:t>1. Summary of findings</w:t>
            </w:r>
            <w:r w:rsidR="00941CAF">
              <w:rPr>
                <w:noProof/>
                <w:webHidden/>
              </w:rPr>
              <w:tab/>
            </w:r>
            <w:r w:rsidR="00941CAF">
              <w:rPr>
                <w:noProof/>
                <w:webHidden/>
              </w:rPr>
              <w:fldChar w:fldCharType="begin"/>
            </w:r>
            <w:r w:rsidR="00941CAF">
              <w:rPr>
                <w:noProof/>
                <w:webHidden/>
              </w:rPr>
              <w:instrText xml:space="preserve"> PAGEREF _Toc80021270 \h </w:instrText>
            </w:r>
            <w:r w:rsidR="00941CAF">
              <w:rPr>
                <w:noProof/>
                <w:webHidden/>
              </w:rPr>
            </w:r>
            <w:r w:rsidR="00941CAF">
              <w:rPr>
                <w:noProof/>
                <w:webHidden/>
              </w:rPr>
              <w:fldChar w:fldCharType="separate"/>
            </w:r>
            <w:r w:rsidR="00186B33">
              <w:rPr>
                <w:noProof/>
                <w:webHidden/>
              </w:rPr>
              <w:t>5</w:t>
            </w:r>
            <w:r w:rsidR="00941CAF">
              <w:rPr>
                <w:noProof/>
                <w:webHidden/>
              </w:rPr>
              <w:fldChar w:fldCharType="end"/>
            </w:r>
          </w:hyperlink>
        </w:p>
        <w:p w14:paraId="23A6E734" w14:textId="4BEADE65" w:rsidR="00941CAF" w:rsidRDefault="002D45FC">
          <w:pPr>
            <w:pStyle w:val="TOC3"/>
            <w:tabs>
              <w:tab w:val="right" w:leader="dot" w:pos="9016"/>
            </w:tabs>
            <w:rPr>
              <w:rFonts w:eastAsiaTheme="minorEastAsia" w:cstheme="minorBidi"/>
              <w:noProof/>
              <w:sz w:val="24"/>
              <w:szCs w:val="24"/>
              <w:lang w:eastAsia="en-GB"/>
            </w:rPr>
          </w:pPr>
          <w:hyperlink w:anchor="_Toc80021271" w:history="1">
            <w:r w:rsidR="00941CAF" w:rsidRPr="00E74044">
              <w:rPr>
                <w:rStyle w:val="Hyperlink"/>
                <w:noProof/>
              </w:rPr>
              <w:t>National (state and territory) incident data</w:t>
            </w:r>
            <w:r w:rsidR="00941CAF">
              <w:rPr>
                <w:noProof/>
                <w:webHidden/>
              </w:rPr>
              <w:tab/>
            </w:r>
            <w:r w:rsidR="00941CAF">
              <w:rPr>
                <w:noProof/>
                <w:webHidden/>
              </w:rPr>
              <w:fldChar w:fldCharType="begin"/>
            </w:r>
            <w:r w:rsidR="00941CAF">
              <w:rPr>
                <w:noProof/>
                <w:webHidden/>
              </w:rPr>
              <w:instrText xml:space="preserve"> PAGEREF _Toc80021271 \h </w:instrText>
            </w:r>
            <w:r w:rsidR="00941CAF">
              <w:rPr>
                <w:noProof/>
                <w:webHidden/>
              </w:rPr>
            </w:r>
            <w:r w:rsidR="00941CAF">
              <w:rPr>
                <w:noProof/>
                <w:webHidden/>
              </w:rPr>
              <w:fldChar w:fldCharType="separate"/>
            </w:r>
            <w:r w:rsidR="00186B33">
              <w:rPr>
                <w:noProof/>
                <w:webHidden/>
              </w:rPr>
              <w:t>5</w:t>
            </w:r>
            <w:r w:rsidR="00941CAF">
              <w:rPr>
                <w:noProof/>
                <w:webHidden/>
              </w:rPr>
              <w:fldChar w:fldCharType="end"/>
            </w:r>
          </w:hyperlink>
        </w:p>
        <w:p w14:paraId="55008A1C" w14:textId="7C158AAE" w:rsidR="00941CAF" w:rsidRDefault="002D45FC">
          <w:pPr>
            <w:pStyle w:val="TOC3"/>
            <w:tabs>
              <w:tab w:val="right" w:leader="dot" w:pos="9016"/>
            </w:tabs>
            <w:rPr>
              <w:rFonts w:eastAsiaTheme="minorEastAsia" w:cstheme="minorBidi"/>
              <w:noProof/>
              <w:sz w:val="24"/>
              <w:szCs w:val="24"/>
              <w:lang w:eastAsia="en-GB"/>
            </w:rPr>
          </w:pPr>
          <w:hyperlink w:anchor="_Toc80021272" w:history="1">
            <w:r w:rsidR="00941CAF" w:rsidRPr="00E74044">
              <w:rPr>
                <w:rStyle w:val="Hyperlink"/>
                <w:noProof/>
              </w:rPr>
              <w:t>TGA adverse event data</w:t>
            </w:r>
            <w:r w:rsidR="00941CAF">
              <w:rPr>
                <w:noProof/>
                <w:webHidden/>
              </w:rPr>
              <w:tab/>
            </w:r>
            <w:r w:rsidR="00941CAF">
              <w:rPr>
                <w:noProof/>
                <w:webHidden/>
              </w:rPr>
              <w:fldChar w:fldCharType="begin"/>
            </w:r>
            <w:r w:rsidR="00941CAF">
              <w:rPr>
                <w:noProof/>
                <w:webHidden/>
              </w:rPr>
              <w:instrText xml:space="preserve"> PAGEREF _Toc80021272 \h </w:instrText>
            </w:r>
            <w:r w:rsidR="00941CAF">
              <w:rPr>
                <w:noProof/>
                <w:webHidden/>
              </w:rPr>
            </w:r>
            <w:r w:rsidR="00941CAF">
              <w:rPr>
                <w:noProof/>
                <w:webHidden/>
              </w:rPr>
              <w:fldChar w:fldCharType="separate"/>
            </w:r>
            <w:r w:rsidR="00186B33">
              <w:rPr>
                <w:noProof/>
                <w:webHidden/>
              </w:rPr>
              <w:t>5</w:t>
            </w:r>
            <w:r w:rsidR="00941CAF">
              <w:rPr>
                <w:noProof/>
                <w:webHidden/>
              </w:rPr>
              <w:fldChar w:fldCharType="end"/>
            </w:r>
          </w:hyperlink>
        </w:p>
        <w:p w14:paraId="10BF344F" w14:textId="421E06F5" w:rsidR="00941CAF" w:rsidRDefault="002D45FC">
          <w:pPr>
            <w:pStyle w:val="TOC2"/>
            <w:tabs>
              <w:tab w:val="right" w:leader="dot" w:pos="9016"/>
            </w:tabs>
            <w:rPr>
              <w:rFonts w:eastAsiaTheme="minorEastAsia" w:cstheme="minorBidi"/>
              <w:bCs w:val="0"/>
              <w:noProof/>
              <w:sz w:val="24"/>
              <w:szCs w:val="24"/>
              <w:lang w:eastAsia="en-GB"/>
            </w:rPr>
          </w:pPr>
          <w:hyperlink w:anchor="_Toc80021273" w:history="1">
            <w:r w:rsidR="00941CAF" w:rsidRPr="00E74044">
              <w:rPr>
                <w:rStyle w:val="Hyperlink"/>
                <w:noProof/>
              </w:rPr>
              <w:t>2. Context and background</w:t>
            </w:r>
            <w:r w:rsidR="00941CAF">
              <w:rPr>
                <w:noProof/>
                <w:webHidden/>
              </w:rPr>
              <w:tab/>
            </w:r>
            <w:r w:rsidR="00941CAF">
              <w:rPr>
                <w:noProof/>
                <w:webHidden/>
              </w:rPr>
              <w:fldChar w:fldCharType="begin"/>
            </w:r>
            <w:r w:rsidR="00941CAF">
              <w:rPr>
                <w:noProof/>
                <w:webHidden/>
              </w:rPr>
              <w:instrText xml:space="preserve"> PAGEREF _Toc80021273 \h </w:instrText>
            </w:r>
            <w:r w:rsidR="00941CAF">
              <w:rPr>
                <w:noProof/>
                <w:webHidden/>
              </w:rPr>
            </w:r>
            <w:r w:rsidR="00941CAF">
              <w:rPr>
                <w:noProof/>
                <w:webHidden/>
              </w:rPr>
              <w:fldChar w:fldCharType="separate"/>
            </w:r>
            <w:r w:rsidR="00186B33">
              <w:rPr>
                <w:noProof/>
                <w:webHidden/>
              </w:rPr>
              <w:t>6</w:t>
            </w:r>
            <w:r w:rsidR="00941CAF">
              <w:rPr>
                <w:noProof/>
                <w:webHidden/>
              </w:rPr>
              <w:fldChar w:fldCharType="end"/>
            </w:r>
          </w:hyperlink>
        </w:p>
        <w:p w14:paraId="12466FE7" w14:textId="170E1FFF" w:rsidR="00941CAF" w:rsidRDefault="002D45FC">
          <w:pPr>
            <w:pStyle w:val="TOC2"/>
            <w:tabs>
              <w:tab w:val="right" w:leader="dot" w:pos="9016"/>
            </w:tabs>
            <w:rPr>
              <w:rFonts w:eastAsiaTheme="minorEastAsia" w:cstheme="minorBidi"/>
              <w:bCs w:val="0"/>
              <w:noProof/>
              <w:sz w:val="24"/>
              <w:szCs w:val="24"/>
              <w:lang w:eastAsia="en-GB"/>
            </w:rPr>
          </w:pPr>
          <w:hyperlink w:anchor="_Toc80021274" w:history="1">
            <w:r w:rsidR="00941CAF" w:rsidRPr="00E74044">
              <w:rPr>
                <w:rStyle w:val="Hyperlink"/>
                <w:noProof/>
              </w:rPr>
              <w:t>3. Scope</w:t>
            </w:r>
            <w:r w:rsidR="00941CAF">
              <w:rPr>
                <w:noProof/>
                <w:webHidden/>
              </w:rPr>
              <w:tab/>
            </w:r>
            <w:r w:rsidR="00941CAF">
              <w:rPr>
                <w:noProof/>
                <w:webHidden/>
              </w:rPr>
              <w:fldChar w:fldCharType="begin"/>
            </w:r>
            <w:r w:rsidR="00941CAF">
              <w:rPr>
                <w:noProof/>
                <w:webHidden/>
              </w:rPr>
              <w:instrText xml:space="preserve"> PAGEREF _Toc80021274 \h </w:instrText>
            </w:r>
            <w:r w:rsidR="00941CAF">
              <w:rPr>
                <w:noProof/>
                <w:webHidden/>
              </w:rPr>
            </w:r>
            <w:r w:rsidR="00941CAF">
              <w:rPr>
                <w:noProof/>
                <w:webHidden/>
              </w:rPr>
              <w:fldChar w:fldCharType="separate"/>
            </w:r>
            <w:r w:rsidR="00186B33">
              <w:rPr>
                <w:noProof/>
                <w:webHidden/>
              </w:rPr>
              <w:t>6</w:t>
            </w:r>
            <w:r w:rsidR="00941CAF">
              <w:rPr>
                <w:noProof/>
                <w:webHidden/>
              </w:rPr>
              <w:fldChar w:fldCharType="end"/>
            </w:r>
          </w:hyperlink>
        </w:p>
        <w:p w14:paraId="333FA30C" w14:textId="0A832643" w:rsidR="00941CAF" w:rsidRDefault="002D45FC">
          <w:pPr>
            <w:pStyle w:val="TOC3"/>
            <w:tabs>
              <w:tab w:val="right" w:leader="dot" w:pos="9016"/>
            </w:tabs>
            <w:rPr>
              <w:rFonts w:eastAsiaTheme="minorEastAsia" w:cstheme="minorBidi"/>
              <w:noProof/>
              <w:sz w:val="24"/>
              <w:szCs w:val="24"/>
              <w:lang w:eastAsia="en-GB"/>
            </w:rPr>
          </w:pPr>
          <w:hyperlink w:anchor="_Toc80021275" w:history="1">
            <w:r w:rsidR="00941CAF" w:rsidRPr="00E74044">
              <w:rPr>
                <w:rStyle w:val="Hyperlink"/>
                <w:noProof/>
              </w:rPr>
              <w:t>Data sources</w:t>
            </w:r>
            <w:r w:rsidR="00941CAF">
              <w:rPr>
                <w:noProof/>
                <w:webHidden/>
              </w:rPr>
              <w:tab/>
            </w:r>
            <w:r w:rsidR="00941CAF">
              <w:rPr>
                <w:noProof/>
                <w:webHidden/>
              </w:rPr>
              <w:fldChar w:fldCharType="begin"/>
            </w:r>
            <w:r w:rsidR="00941CAF">
              <w:rPr>
                <w:noProof/>
                <w:webHidden/>
              </w:rPr>
              <w:instrText xml:space="preserve"> PAGEREF _Toc80021275 \h </w:instrText>
            </w:r>
            <w:r w:rsidR="00941CAF">
              <w:rPr>
                <w:noProof/>
                <w:webHidden/>
              </w:rPr>
            </w:r>
            <w:r w:rsidR="00941CAF">
              <w:rPr>
                <w:noProof/>
                <w:webHidden/>
              </w:rPr>
              <w:fldChar w:fldCharType="separate"/>
            </w:r>
            <w:r w:rsidR="00186B33">
              <w:rPr>
                <w:noProof/>
                <w:webHidden/>
              </w:rPr>
              <w:t>7</w:t>
            </w:r>
            <w:r w:rsidR="00941CAF">
              <w:rPr>
                <w:noProof/>
                <w:webHidden/>
              </w:rPr>
              <w:fldChar w:fldCharType="end"/>
            </w:r>
          </w:hyperlink>
        </w:p>
        <w:p w14:paraId="2B5ECAB1" w14:textId="383692FA" w:rsidR="00941CAF" w:rsidRDefault="002D45FC">
          <w:pPr>
            <w:pStyle w:val="TOC3"/>
            <w:tabs>
              <w:tab w:val="right" w:leader="dot" w:pos="9016"/>
            </w:tabs>
            <w:rPr>
              <w:rFonts w:eastAsiaTheme="minorEastAsia" w:cstheme="minorBidi"/>
              <w:noProof/>
              <w:sz w:val="24"/>
              <w:szCs w:val="24"/>
              <w:lang w:eastAsia="en-GB"/>
            </w:rPr>
          </w:pPr>
          <w:hyperlink w:anchor="_Toc80021276" w:history="1">
            <w:r w:rsidR="00941CAF" w:rsidRPr="00E74044">
              <w:rPr>
                <w:rStyle w:val="Hyperlink"/>
                <w:noProof/>
              </w:rPr>
              <w:t>Protocol for analysis</w:t>
            </w:r>
            <w:r w:rsidR="00941CAF">
              <w:rPr>
                <w:noProof/>
                <w:webHidden/>
              </w:rPr>
              <w:tab/>
            </w:r>
            <w:r w:rsidR="00941CAF">
              <w:rPr>
                <w:noProof/>
                <w:webHidden/>
              </w:rPr>
              <w:fldChar w:fldCharType="begin"/>
            </w:r>
            <w:r w:rsidR="00941CAF">
              <w:rPr>
                <w:noProof/>
                <w:webHidden/>
              </w:rPr>
              <w:instrText xml:space="preserve"> PAGEREF _Toc80021276 \h </w:instrText>
            </w:r>
            <w:r w:rsidR="00941CAF">
              <w:rPr>
                <w:noProof/>
                <w:webHidden/>
              </w:rPr>
            </w:r>
            <w:r w:rsidR="00941CAF">
              <w:rPr>
                <w:noProof/>
                <w:webHidden/>
              </w:rPr>
              <w:fldChar w:fldCharType="separate"/>
            </w:r>
            <w:r w:rsidR="00186B33">
              <w:rPr>
                <w:noProof/>
                <w:webHidden/>
              </w:rPr>
              <w:t>8</w:t>
            </w:r>
            <w:r w:rsidR="00941CAF">
              <w:rPr>
                <w:noProof/>
                <w:webHidden/>
              </w:rPr>
              <w:fldChar w:fldCharType="end"/>
            </w:r>
          </w:hyperlink>
        </w:p>
        <w:p w14:paraId="6E92BF24" w14:textId="40AD5585" w:rsidR="00941CAF" w:rsidRDefault="002D45FC">
          <w:pPr>
            <w:pStyle w:val="TOC2"/>
            <w:tabs>
              <w:tab w:val="right" w:leader="dot" w:pos="9016"/>
            </w:tabs>
            <w:rPr>
              <w:rFonts w:eastAsiaTheme="minorEastAsia" w:cstheme="minorBidi"/>
              <w:bCs w:val="0"/>
              <w:noProof/>
              <w:sz w:val="24"/>
              <w:szCs w:val="24"/>
              <w:lang w:eastAsia="en-GB"/>
            </w:rPr>
          </w:pPr>
          <w:hyperlink w:anchor="_Toc80021277" w:history="1">
            <w:r w:rsidR="00941CAF" w:rsidRPr="00E74044">
              <w:rPr>
                <w:rStyle w:val="Hyperlink"/>
                <w:noProof/>
              </w:rPr>
              <w:t>4. Results</w:t>
            </w:r>
            <w:r w:rsidR="00941CAF">
              <w:rPr>
                <w:noProof/>
                <w:webHidden/>
              </w:rPr>
              <w:tab/>
            </w:r>
            <w:r w:rsidR="00941CAF">
              <w:rPr>
                <w:noProof/>
                <w:webHidden/>
              </w:rPr>
              <w:fldChar w:fldCharType="begin"/>
            </w:r>
            <w:r w:rsidR="00941CAF">
              <w:rPr>
                <w:noProof/>
                <w:webHidden/>
              </w:rPr>
              <w:instrText xml:space="preserve"> PAGEREF _Toc80021277 \h </w:instrText>
            </w:r>
            <w:r w:rsidR="00941CAF">
              <w:rPr>
                <w:noProof/>
                <w:webHidden/>
              </w:rPr>
            </w:r>
            <w:r w:rsidR="00941CAF">
              <w:rPr>
                <w:noProof/>
                <w:webHidden/>
              </w:rPr>
              <w:fldChar w:fldCharType="separate"/>
            </w:r>
            <w:r w:rsidR="00186B33">
              <w:rPr>
                <w:noProof/>
                <w:webHidden/>
              </w:rPr>
              <w:t>9</w:t>
            </w:r>
            <w:r w:rsidR="00941CAF">
              <w:rPr>
                <w:noProof/>
                <w:webHidden/>
              </w:rPr>
              <w:fldChar w:fldCharType="end"/>
            </w:r>
          </w:hyperlink>
        </w:p>
        <w:p w14:paraId="0EBBB5ED" w14:textId="4535F0FD" w:rsidR="00941CAF" w:rsidRDefault="002D45FC">
          <w:pPr>
            <w:pStyle w:val="TOC3"/>
            <w:tabs>
              <w:tab w:val="right" w:leader="dot" w:pos="9016"/>
            </w:tabs>
            <w:rPr>
              <w:rFonts w:eastAsiaTheme="minorEastAsia" w:cstheme="minorBidi"/>
              <w:noProof/>
              <w:sz w:val="24"/>
              <w:szCs w:val="24"/>
              <w:lang w:eastAsia="en-GB"/>
            </w:rPr>
          </w:pPr>
          <w:hyperlink w:anchor="_Toc80021278" w:history="1">
            <w:r w:rsidR="00941CAF" w:rsidRPr="00E74044">
              <w:rPr>
                <w:rStyle w:val="Hyperlink"/>
                <w:noProof/>
              </w:rPr>
              <w:t>National (state and territory) incident data</w:t>
            </w:r>
            <w:r w:rsidR="00941CAF">
              <w:rPr>
                <w:noProof/>
                <w:webHidden/>
              </w:rPr>
              <w:tab/>
            </w:r>
            <w:r w:rsidR="00941CAF">
              <w:rPr>
                <w:noProof/>
                <w:webHidden/>
              </w:rPr>
              <w:fldChar w:fldCharType="begin"/>
            </w:r>
            <w:r w:rsidR="00941CAF">
              <w:rPr>
                <w:noProof/>
                <w:webHidden/>
              </w:rPr>
              <w:instrText xml:space="preserve"> PAGEREF _Toc80021278 \h </w:instrText>
            </w:r>
            <w:r w:rsidR="00941CAF">
              <w:rPr>
                <w:noProof/>
                <w:webHidden/>
              </w:rPr>
            </w:r>
            <w:r w:rsidR="00941CAF">
              <w:rPr>
                <w:noProof/>
                <w:webHidden/>
              </w:rPr>
              <w:fldChar w:fldCharType="separate"/>
            </w:r>
            <w:r w:rsidR="00186B33">
              <w:rPr>
                <w:noProof/>
                <w:webHidden/>
              </w:rPr>
              <w:t>9</w:t>
            </w:r>
            <w:r w:rsidR="00941CAF">
              <w:rPr>
                <w:noProof/>
                <w:webHidden/>
              </w:rPr>
              <w:fldChar w:fldCharType="end"/>
            </w:r>
          </w:hyperlink>
        </w:p>
        <w:p w14:paraId="523F03A9" w14:textId="7A4E8E0E" w:rsidR="00941CAF" w:rsidRDefault="002D45FC">
          <w:pPr>
            <w:pStyle w:val="TOC3"/>
            <w:tabs>
              <w:tab w:val="right" w:leader="dot" w:pos="9016"/>
            </w:tabs>
            <w:rPr>
              <w:rFonts w:eastAsiaTheme="minorEastAsia" w:cstheme="minorBidi"/>
              <w:noProof/>
              <w:sz w:val="24"/>
              <w:szCs w:val="24"/>
              <w:lang w:eastAsia="en-GB"/>
            </w:rPr>
          </w:pPr>
          <w:hyperlink w:anchor="_Toc80021279" w:history="1">
            <w:r w:rsidR="00941CAF" w:rsidRPr="00E74044">
              <w:rPr>
                <w:rStyle w:val="Hyperlink"/>
                <w:noProof/>
              </w:rPr>
              <w:t>Anticoagulant incident types</w:t>
            </w:r>
            <w:r w:rsidR="00941CAF">
              <w:rPr>
                <w:noProof/>
                <w:webHidden/>
              </w:rPr>
              <w:tab/>
            </w:r>
            <w:r w:rsidR="00941CAF">
              <w:rPr>
                <w:noProof/>
                <w:webHidden/>
              </w:rPr>
              <w:fldChar w:fldCharType="begin"/>
            </w:r>
            <w:r w:rsidR="00941CAF">
              <w:rPr>
                <w:noProof/>
                <w:webHidden/>
              </w:rPr>
              <w:instrText xml:space="preserve"> PAGEREF _Toc80021279 \h </w:instrText>
            </w:r>
            <w:r w:rsidR="00941CAF">
              <w:rPr>
                <w:noProof/>
                <w:webHidden/>
              </w:rPr>
            </w:r>
            <w:r w:rsidR="00941CAF">
              <w:rPr>
                <w:noProof/>
                <w:webHidden/>
              </w:rPr>
              <w:fldChar w:fldCharType="separate"/>
            </w:r>
            <w:r w:rsidR="00186B33">
              <w:rPr>
                <w:noProof/>
                <w:webHidden/>
              </w:rPr>
              <w:t>12</w:t>
            </w:r>
            <w:r w:rsidR="00941CAF">
              <w:rPr>
                <w:noProof/>
                <w:webHidden/>
              </w:rPr>
              <w:fldChar w:fldCharType="end"/>
            </w:r>
          </w:hyperlink>
        </w:p>
        <w:p w14:paraId="567C5DEF" w14:textId="29B6D81E" w:rsidR="00941CAF" w:rsidRDefault="002D45FC">
          <w:pPr>
            <w:pStyle w:val="TOC3"/>
            <w:tabs>
              <w:tab w:val="right" w:leader="dot" w:pos="9016"/>
            </w:tabs>
            <w:rPr>
              <w:rFonts w:eastAsiaTheme="minorEastAsia" w:cstheme="minorBidi"/>
              <w:noProof/>
              <w:sz w:val="24"/>
              <w:szCs w:val="24"/>
              <w:lang w:eastAsia="en-GB"/>
            </w:rPr>
          </w:pPr>
          <w:hyperlink w:anchor="_Toc80021280" w:history="1">
            <w:r w:rsidR="00941CAF" w:rsidRPr="00E74044">
              <w:rPr>
                <w:rStyle w:val="Hyperlink"/>
                <w:noProof/>
              </w:rPr>
              <w:t>Comparisons with collated reports</w:t>
            </w:r>
            <w:r w:rsidR="00941CAF">
              <w:rPr>
                <w:noProof/>
                <w:webHidden/>
              </w:rPr>
              <w:tab/>
            </w:r>
            <w:r w:rsidR="00941CAF">
              <w:rPr>
                <w:noProof/>
                <w:webHidden/>
              </w:rPr>
              <w:fldChar w:fldCharType="begin"/>
            </w:r>
            <w:r w:rsidR="00941CAF">
              <w:rPr>
                <w:noProof/>
                <w:webHidden/>
              </w:rPr>
              <w:instrText xml:space="preserve"> PAGEREF _Toc80021280 \h </w:instrText>
            </w:r>
            <w:r w:rsidR="00941CAF">
              <w:rPr>
                <w:noProof/>
                <w:webHidden/>
              </w:rPr>
            </w:r>
            <w:r w:rsidR="00941CAF">
              <w:rPr>
                <w:noProof/>
                <w:webHidden/>
              </w:rPr>
              <w:fldChar w:fldCharType="separate"/>
            </w:r>
            <w:r w:rsidR="00186B33">
              <w:rPr>
                <w:noProof/>
                <w:webHidden/>
              </w:rPr>
              <w:t>14</w:t>
            </w:r>
            <w:r w:rsidR="00941CAF">
              <w:rPr>
                <w:noProof/>
                <w:webHidden/>
              </w:rPr>
              <w:fldChar w:fldCharType="end"/>
            </w:r>
          </w:hyperlink>
        </w:p>
        <w:p w14:paraId="7C2C771B" w14:textId="550B05EC" w:rsidR="00941CAF" w:rsidRDefault="002D45FC">
          <w:pPr>
            <w:pStyle w:val="TOC2"/>
            <w:tabs>
              <w:tab w:val="right" w:leader="dot" w:pos="9016"/>
            </w:tabs>
            <w:rPr>
              <w:rFonts w:eastAsiaTheme="minorEastAsia" w:cstheme="minorBidi"/>
              <w:bCs w:val="0"/>
              <w:noProof/>
              <w:sz w:val="24"/>
              <w:szCs w:val="24"/>
              <w:lang w:eastAsia="en-GB"/>
            </w:rPr>
          </w:pPr>
          <w:hyperlink w:anchor="_Toc80021281" w:history="1">
            <w:r w:rsidR="00941CAF" w:rsidRPr="00E74044">
              <w:rPr>
                <w:rStyle w:val="Hyperlink"/>
                <w:noProof/>
              </w:rPr>
              <w:t>5. Limitations</w:t>
            </w:r>
            <w:r w:rsidR="00941CAF">
              <w:rPr>
                <w:noProof/>
                <w:webHidden/>
              </w:rPr>
              <w:tab/>
            </w:r>
            <w:r w:rsidR="00941CAF">
              <w:rPr>
                <w:noProof/>
                <w:webHidden/>
              </w:rPr>
              <w:fldChar w:fldCharType="begin"/>
            </w:r>
            <w:r w:rsidR="00941CAF">
              <w:rPr>
                <w:noProof/>
                <w:webHidden/>
              </w:rPr>
              <w:instrText xml:space="preserve"> PAGEREF _Toc80021281 \h </w:instrText>
            </w:r>
            <w:r w:rsidR="00941CAF">
              <w:rPr>
                <w:noProof/>
                <w:webHidden/>
              </w:rPr>
            </w:r>
            <w:r w:rsidR="00941CAF">
              <w:rPr>
                <w:noProof/>
                <w:webHidden/>
              </w:rPr>
              <w:fldChar w:fldCharType="separate"/>
            </w:r>
            <w:r w:rsidR="00186B33">
              <w:rPr>
                <w:noProof/>
                <w:webHidden/>
              </w:rPr>
              <w:t>17</w:t>
            </w:r>
            <w:r w:rsidR="00941CAF">
              <w:rPr>
                <w:noProof/>
                <w:webHidden/>
              </w:rPr>
              <w:fldChar w:fldCharType="end"/>
            </w:r>
          </w:hyperlink>
        </w:p>
        <w:p w14:paraId="50E24C7B" w14:textId="0570B488" w:rsidR="00941CAF" w:rsidRDefault="002D45FC">
          <w:pPr>
            <w:pStyle w:val="TOC3"/>
            <w:tabs>
              <w:tab w:val="right" w:leader="dot" w:pos="9016"/>
            </w:tabs>
            <w:rPr>
              <w:rFonts w:eastAsiaTheme="minorEastAsia" w:cstheme="minorBidi"/>
              <w:noProof/>
              <w:sz w:val="24"/>
              <w:szCs w:val="24"/>
              <w:lang w:eastAsia="en-GB"/>
            </w:rPr>
          </w:pPr>
          <w:hyperlink w:anchor="_Toc80021282" w:history="1">
            <w:r w:rsidR="00941CAF" w:rsidRPr="00E74044">
              <w:rPr>
                <w:rStyle w:val="Hyperlink"/>
                <w:noProof/>
              </w:rPr>
              <w:t>Data quality</w:t>
            </w:r>
            <w:r w:rsidR="00941CAF">
              <w:rPr>
                <w:noProof/>
                <w:webHidden/>
              </w:rPr>
              <w:tab/>
            </w:r>
            <w:r w:rsidR="00941CAF">
              <w:rPr>
                <w:noProof/>
                <w:webHidden/>
              </w:rPr>
              <w:fldChar w:fldCharType="begin"/>
            </w:r>
            <w:r w:rsidR="00941CAF">
              <w:rPr>
                <w:noProof/>
                <w:webHidden/>
              </w:rPr>
              <w:instrText xml:space="preserve"> PAGEREF _Toc80021282 \h </w:instrText>
            </w:r>
            <w:r w:rsidR="00941CAF">
              <w:rPr>
                <w:noProof/>
                <w:webHidden/>
              </w:rPr>
            </w:r>
            <w:r w:rsidR="00941CAF">
              <w:rPr>
                <w:noProof/>
                <w:webHidden/>
              </w:rPr>
              <w:fldChar w:fldCharType="separate"/>
            </w:r>
            <w:r w:rsidR="00186B33">
              <w:rPr>
                <w:noProof/>
                <w:webHidden/>
              </w:rPr>
              <w:t>17</w:t>
            </w:r>
            <w:r w:rsidR="00941CAF">
              <w:rPr>
                <w:noProof/>
                <w:webHidden/>
              </w:rPr>
              <w:fldChar w:fldCharType="end"/>
            </w:r>
          </w:hyperlink>
        </w:p>
        <w:p w14:paraId="149CE653" w14:textId="60A8AD70" w:rsidR="00941CAF" w:rsidRDefault="002D45FC">
          <w:pPr>
            <w:pStyle w:val="TOC3"/>
            <w:tabs>
              <w:tab w:val="right" w:leader="dot" w:pos="9016"/>
            </w:tabs>
            <w:rPr>
              <w:rFonts w:eastAsiaTheme="minorEastAsia" w:cstheme="minorBidi"/>
              <w:noProof/>
              <w:sz w:val="24"/>
              <w:szCs w:val="24"/>
              <w:lang w:eastAsia="en-GB"/>
            </w:rPr>
          </w:pPr>
          <w:hyperlink w:anchor="_Toc80021283" w:history="1">
            <w:r w:rsidR="00941CAF" w:rsidRPr="00E74044">
              <w:rPr>
                <w:rStyle w:val="Hyperlink"/>
                <w:noProof/>
              </w:rPr>
              <w:t>Other limitations</w:t>
            </w:r>
            <w:r w:rsidR="00941CAF">
              <w:rPr>
                <w:noProof/>
                <w:webHidden/>
              </w:rPr>
              <w:tab/>
            </w:r>
            <w:r w:rsidR="00941CAF">
              <w:rPr>
                <w:noProof/>
                <w:webHidden/>
              </w:rPr>
              <w:fldChar w:fldCharType="begin"/>
            </w:r>
            <w:r w:rsidR="00941CAF">
              <w:rPr>
                <w:noProof/>
                <w:webHidden/>
              </w:rPr>
              <w:instrText xml:space="preserve"> PAGEREF _Toc80021283 \h </w:instrText>
            </w:r>
            <w:r w:rsidR="00941CAF">
              <w:rPr>
                <w:noProof/>
                <w:webHidden/>
              </w:rPr>
            </w:r>
            <w:r w:rsidR="00941CAF">
              <w:rPr>
                <w:noProof/>
                <w:webHidden/>
              </w:rPr>
              <w:fldChar w:fldCharType="separate"/>
            </w:r>
            <w:r w:rsidR="00186B33">
              <w:rPr>
                <w:noProof/>
                <w:webHidden/>
              </w:rPr>
              <w:t>18</w:t>
            </w:r>
            <w:r w:rsidR="00941CAF">
              <w:rPr>
                <w:noProof/>
                <w:webHidden/>
              </w:rPr>
              <w:fldChar w:fldCharType="end"/>
            </w:r>
          </w:hyperlink>
        </w:p>
        <w:p w14:paraId="623CB73F" w14:textId="08407976" w:rsidR="00941CAF" w:rsidRDefault="002D45FC">
          <w:pPr>
            <w:pStyle w:val="TOC3"/>
            <w:tabs>
              <w:tab w:val="right" w:leader="dot" w:pos="9016"/>
            </w:tabs>
            <w:rPr>
              <w:rFonts w:eastAsiaTheme="minorEastAsia" w:cstheme="minorBidi"/>
              <w:noProof/>
              <w:sz w:val="24"/>
              <w:szCs w:val="24"/>
              <w:lang w:eastAsia="en-GB"/>
            </w:rPr>
          </w:pPr>
          <w:hyperlink w:anchor="_Toc80021284" w:history="1">
            <w:r w:rsidR="00941CAF" w:rsidRPr="00E74044">
              <w:rPr>
                <w:rStyle w:val="Hyperlink"/>
                <w:noProof/>
              </w:rPr>
              <w:t>Therapeutic Goods Administration (TGA) reports</w:t>
            </w:r>
            <w:r w:rsidR="00941CAF">
              <w:rPr>
                <w:noProof/>
                <w:webHidden/>
              </w:rPr>
              <w:tab/>
            </w:r>
            <w:r w:rsidR="00941CAF">
              <w:rPr>
                <w:noProof/>
                <w:webHidden/>
              </w:rPr>
              <w:fldChar w:fldCharType="begin"/>
            </w:r>
            <w:r w:rsidR="00941CAF">
              <w:rPr>
                <w:noProof/>
                <w:webHidden/>
              </w:rPr>
              <w:instrText xml:space="preserve"> PAGEREF _Toc80021284 \h </w:instrText>
            </w:r>
            <w:r w:rsidR="00941CAF">
              <w:rPr>
                <w:noProof/>
                <w:webHidden/>
              </w:rPr>
            </w:r>
            <w:r w:rsidR="00941CAF">
              <w:rPr>
                <w:noProof/>
                <w:webHidden/>
              </w:rPr>
              <w:fldChar w:fldCharType="separate"/>
            </w:r>
            <w:r w:rsidR="00186B33">
              <w:rPr>
                <w:noProof/>
                <w:webHidden/>
              </w:rPr>
              <w:t>18</w:t>
            </w:r>
            <w:r w:rsidR="00941CAF">
              <w:rPr>
                <w:noProof/>
                <w:webHidden/>
              </w:rPr>
              <w:fldChar w:fldCharType="end"/>
            </w:r>
          </w:hyperlink>
        </w:p>
        <w:p w14:paraId="4E4ED576" w14:textId="6B65C2D1" w:rsidR="00941CAF" w:rsidRDefault="002D45FC">
          <w:pPr>
            <w:pStyle w:val="TOC2"/>
            <w:tabs>
              <w:tab w:val="right" w:leader="dot" w:pos="9016"/>
            </w:tabs>
            <w:rPr>
              <w:rFonts w:eastAsiaTheme="minorEastAsia" w:cstheme="minorBidi"/>
              <w:bCs w:val="0"/>
              <w:noProof/>
              <w:sz w:val="24"/>
              <w:szCs w:val="24"/>
              <w:lang w:eastAsia="en-GB"/>
            </w:rPr>
          </w:pPr>
          <w:hyperlink w:anchor="_Toc80021285" w:history="1">
            <w:r w:rsidR="00941CAF" w:rsidRPr="00E74044">
              <w:rPr>
                <w:rStyle w:val="Hyperlink"/>
                <w:noProof/>
              </w:rPr>
              <w:t>6. Post analysis feedback from states and territories</w:t>
            </w:r>
            <w:r w:rsidR="00941CAF">
              <w:rPr>
                <w:noProof/>
                <w:webHidden/>
              </w:rPr>
              <w:tab/>
            </w:r>
            <w:r w:rsidR="00941CAF">
              <w:rPr>
                <w:noProof/>
                <w:webHidden/>
              </w:rPr>
              <w:fldChar w:fldCharType="begin"/>
            </w:r>
            <w:r w:rsidR="00941CAF">
              <w:rPr>
                <w:noProof/>
                <w:webHidden/>
              </w:rPr>
              <w:instrText xml:space="preserve"> PAGEREF _Toc80021285 \h </w:instrText>
            </w:r>
            <w:r w:rsidR="00941CAF">
              <w:rPr>
                <w:noProof/>
                <w:webHidden/>
              </w:rPr>
            </w:r>
            <w:r w:rsidR="00941CAF">
              <w:rPr>
                <w:noProof/>
                <w:webHidden/>
              </w:rPr>
              <w:fldChar w:fldCharType="separate"/>
            </w:r>
            <w:r w:rsidR="00186B33">
              <w:rPr>
                <w:noProof/>
                <w:webHidden/>
              </w:rPr>
              <w:t>19</w:t>
            </w:r>
            <w:r w:rsidR="00941CAF">
              <w:rPr>
                <w:noProof/>
                <w:webHidden/>
              </w:rPr>
              <w:fldChar w:fldCharType="end"/>
            </w:r>
          </w:hyperlink>
        </w:p>
        <w:p w14:paraId="415FE715" w14:textId="787693AE" w:rsidR="00941CAF" w:rsidRDefault="002D45FC">
          <w:pPr>
            <w:pStyle w:val="TOC2"/>
            <w:tabs>
              <w:tab w:val="right" w:leader="dot" w:pos="9016"/>
            </w:tabs>
            <w:rPr>
              <w:rFonts w:eastAsiaTheme="minorEastAsia" w:cstheme="minorBidi"/>
              <w:bCs w:val="0"/>
              <w:noProof/>
              <w:sz w:val="24"/>
              <w:szCs w:val="24"/>
              <w:lang w:eastAsia="en-GB"/>
            </w:rPr>
          </w:pPr>
          <w:hyperlink w:anchor="_Toc80021286" w:history="1">
            <w:r w:rsidR="00941CAF" w:rsidRPr="00E74044">
              <w:rPr>
                <w:rStyle w:val="Hyperlink"/>
                <w:noProof/>
              </w:rPr>
              <w:t>7. Recommendations</w:t>
            </w:r>
            <w:r w:rsidR="00941CAF">
              <w:rPr>
                <w:noProof/>
                <w:webHidden/>
              </w:rPr>
              <w:tab/>
            </w:r>
            <w:r w:rsidR="00941CAF">
              <w:rPr>
                <w:noProof/>
                <w:webHidden/>
              </w:rPr>
              <w:fldChar w:fldCharType="begin"/>
            </w:r>
            <w:r w:rsidR="00941CAF">
              <w:rPr>
                <w:noProof/>
                <w:webHidden/>
              </w:rPr>
              <w:instrText xml:space="preserve"> PAGEREF _Toc80021286 \h </w:instrText>
            </w:r>
            <w:r w:rsidR="00941CAF">
              <w:rPr>
                <w:noProof/>
                <w:webHidden/>
              </w:rPr>
            </w:r>
            <w:r w:rsidR="00941CAF">
              <w:rPr>
                <w:noProof/>
                <w:webHidden/>
              </w:rPr>
              <w:fldChar w:fldCharType="separate"/>
            </w:r>
            <w:r w:rsidR="00186B33">
              <w:rPr>
                <w:noProof/>
                <w:webHidden/>
              </w:rPr>
              <w:t>20</w:t>
            </w:r>
            <w:r w:rsidR="00941CAF">
              <w:rPr>
                <w:noProof/>
                <w:webHidden/>
              </w:rPr>
              <w:fldChar w:fldCharType="end"/>
            </w:r>
          </w:hyperlink>
        </w:p>
        <w:p w14:paraId="1730FAF4" w14:textId="138D83E5" w:rsidR="00941CAF" w:rsidRDefault="002D45FC">
          <w:pPr>
            <w:pStyle w:val="TOC3"/>
            <w:tabs>
              <w:tab w:val="right" w:leader="dot" w:pos="9016"/>
            </w:tabs>
            <w:rPr>
              <w:rFonts w:eastAsiaTheme="minorEastAsia" w:cstheme="minorBidi"/>
              <w:noProof/>
              <w:sz w:val="24"/>
              <w:szCs w:val="24"/>
              <w:lang w:eastAsia="en-GB"/>
            </w:rPr>
          </w:pPr>
          <w:hyperlink w:anchor="_Toc80021287" w:history="1">
            <w:r w:rsidR="00941CAF" w:rsidRPr="00E74044">
              <w:rPr>
                <w:rStyle w:val="Hyperlink"/>
                <w:noProof/>
              </w:rPr>
              <w:t>Recommendation 1</w:t>
            </w:r>
            <w:r w:rsidR="00941CAF">
              <w:rPr>
                <w:noProof/>
                <w:webHidden/>
              </w:rPr>
              <w:tab/>
            </w:r>
            <w:r w:rsidR="00941CAF">
              <w:rPr>
                <w:noProof/>
                <w:webHidden/>
              </w:rPr>
              <w:fldChar w:fldCharType="begin"/>
            </w:r>
            <w:r w:rsidR="00941CAF">
              <w:rPr>
                <w:noProof/>
                <w:webHidden/>
              </w:rPr>
              <w:instrText xml:space="preserve"> PAGEREF _Toc80021287 \h </w:instrText>
            </w:r>
            <w:r w:rsidR="00941CAF">
              <w:rPr>
                <w:noProof/>
                <w:webHidden/>
              </w:rPr>
            </w:r>
            <w:r w:rsidR="00941CAF">
              <w:rPr>
                <w:noProof/>
                <w:webHidden/>
              </w:rPr>
              <w:fldChar w:fldCharType="separate"/>
            </w:r>
            <w:r w:rsidR="00186B33">
              <w:rPr>
                <w:noProof/>
                <w:webHidden/>
              </w:rPr>
              <w:t>20</w:t>
            </w:r>
            <w:r w:rsidR="00941CAF">
              <w:rPr>
                <w:noProof/>
                <w:webHidden/>
              </w:rPr>
              <w:fldChar w:fldCharType="end"/>
            </w:r>
          </w:hyperlink>
        </w:p>
        <w:p w14:paraId="4D1832D0" w14:textId="11F63728" w:rsidR="00941CAF" w:rsidRDefault="002D45FC">
          <w:pPr>
            <w:pStyle w:val="TOC3"/>
            <w:tabs>
              <w:tab w:val="right" w:leader="dot" w:pos="9016"/>
            </w:tabs>
            <w:rPr>
              <w:rFonts w:eastAsiaTheme="minorEastAsia" w:cstheme="minorBidi"/>
              <w:noProof/>
              <w:sz w:val="24"/>
              <w:szCs w:val="24"/>
              <w:lang w:eastAsia="en-GB"/>
            </w:rPr>
          </w:pPr>
          <w:hyperlink w:anchor="_Toc80021288" w:history="1">
            <w:r w:rsidR="00941CAF" w:rsidRPr="00E74044">
              <w:rPr>
                <w:rStyle w:val="Hyperlink"/>
                <w:noProof/>
              </w:rPr>
              <w:t>Recommendation 2</w:t>
            </w:r>
            <w:r w:rsidR="00941CAF">
              <w:rPr>
                <w:noProof/>
                <w:webHidden/>
              </w:rPr>
              <w:tab/>
            </w:r>
            <w:r w:rsidR="00941CAF">
              <w:rPr>
                <w:noProof/>
                <w:webHidden/>
              </w:rPr>
              <w:fldChar w:fldCharType="begin"/>
            </w:r>
            <w:r w:rsidR="00941CAF">
              <w:rPr>
                <w:noProof/>
                <w:webHidden/>
              </w:rPr>
              <w:instrText xml:space="preserve"> PAGEREF _Toc80021288 \h </w:instrText>
            </w:r>
            <w:r w:rsidR="00941CAF">
              <w:rPr>
                <w:noProof/>
                <w:webHidden/>
              </w:rPr>
            </w:r>
            <w:r w:rsidR="00941CAF">
              <w:rPr>
                <w:noProof/>
                <w:webHidden/>
              </w:rPr>
              <w:fldChar w:fldCharType="separate"/>
            </w:r>
            <w:r w:rsidR="00186B33">
              <w:rPr>
                <w:noProof/>
                <w:webHidden/>
              </w:rPr>
              <w:t>20</w:t>
            </w:r>
            <w:r w:rsidR="00941CAF">
              <w:rPr>
                <w:noProof/>
                <w:webHidden/>
              </w:rPr>
              <w:fldChar w:fldCharType="end"/>
            </w:r>
          </w:hyperlink>
        </w:p>
        <w:p w14:paraId="34623D0A" w14:textId="3DF5BA7C" w:rsidR="00941CAF" w:rsidRDefault="002D45FC">
          <w:pPr>
            <w:pStyle w:val="TOC3"/>
            <w:tabs>
              <w:tab w:val="right" w:leader="dot" w:pos="9016"/>
            </w:tabs>
            <w:rPr>
              <w:rFonts w:eastAsiaTheme="minorEastAsia" w:cstheme="minorBidi"/>
              <w:noProof/>
              <w:sz w:val="24"/>
              <w:szCs w:val="24"/>
              <w:lang w:eastAsia="en-GB"/>
            </w:rPr>
          </w:pPr>
          <w:hyperlink w:anchor="_Toc80021289" w:history="1">
            <w:r w:rsidR="00941CAF" w:rsidRPr="00E74044">
              <w:rPr>
                <w:rStyle w:val="Hyperlink"/>
                <w:noProof/>
              </w:rPr>
              <w:t>Recommendation 3</w:t>
            </w:r>
            <w:r w:rsidR="00941CAF">
              <w:rPr>
                <w:noProof/>
                <w:webHidden/>
              </w:rPr>
              <w:tab/>
            </w:r>
            <w:r w:rsidR="00941CAF">
              <w:rPr>
                <w:noProof/>
                <w:webHidden/>
              </w:rPr>
              <w:fldChar w:fldCharType="begin"/>
            </w:r>
            <w:r w:rsidR="00941CAF">
              <w:rPr>
                <w:noProof/>
                <w:webHidden/>
              </w:rPr>
              <w:instrText xml:space="preserve"> PAGEREF _Toc80021289 \h </w:instrText>
            </w:r>
            <w:r w:rsidR="00941CAF">
              <w:rPr>
                <w:noProof/>
                <w:webHidden/>
              </w:rPr>
            </w:r>
            <w:r w:rsidR="00941CAF">
              <w:rPr>
                <w:noProof/>
                <w:webHidden/>
              </w:rPr>
              <w:fldChar w:fldCharType="separate"/>
            </w:r>
            <w:r w:rsidR="00186B33">
              <w:rPr>
                <w:noProof/>
                <w:webHidden/>
              </w:rPr>
              <w:t>21</w:t>
            </w:r>
            <w:r w:rsidR="00941CAF">
              <w:rPr>
                <w:noProof/>
                <w:webHidden/>
              </w:rPr>
              <w:fldChar w:fldCharType="end"/>
            </w:r>
          </w:hyperlink>
        </w:p>
        <w:p w14:paraId="37CC7C8E" w14:textId="6C5E7A35" w:rsidR="00941CAF" w:rsidRDefault="002D45FC">
          <w:pPr>
            <w:pStyle w:val="TOC3"/>
            <w:tabs>
              <w:tab w:val="right" w:leader="dot" w:pos="9016"/>
            </w:tabs>
            <w:rPr>
              <w:rFonts w:eastAsiaTheme="minorEastAsia" w:cstheme="minorBidi"/>
              <w:noProof/>
              <w:sz w:val="24"/>
              <w:szCs w:val="24"/>
              <w:lang w:eastAsia="en-GB"/>
            </w:rPr>
          </w:pPr>
          <w:hyperlink w:anchor="_Toc80021290" w:history="1">
            <w:r w:rsidR="00941CAF" w:rsidRPr="00E74044">
              <w:rPr>
                <w:rStyle w:val="Hyperlink"/>
                <w:noProof/>
              </w:rPr>
              <w:t>Recommendation 4</w:t>
            </w:r>
            <w:r w:rsidR="00941CAF">
              <w:rPr>
                <w:noProof/>
                <w:webHidden/>
              </w:rPr>
              <w:tab/>
            </w:r>
            <w:r w:rsidR="00941CAF">
              <w:rPr>
                <w:noProof/>
                <w:webHidden/>
              </w:rPr>
              <w:fldChar w:fldCharType="begin"/>
            </w:r>
            <w:r w:rsidR="00941CAF">
              <w:rPr>
                <w:noProof/>
                <w:webHidden/>
              </w:rPr>
              <w:instrText xml:space="preserve"> PAGEREF _Toc80021290 \h </w:instrText>
            </w:r>
            <w:r w:rsidR="00941CAF">
              <w:rPr>
                <w:noProof/>
                <w:webHidden/>
              </w:rPr>
            </w:r>
            <w:r w:rsidR="00941CAF">
              <w:rPr>
                <w:noProof/>
                <w:webHidden/>
              </w:rPr>
              <w:fldChar w:fldCharType="separate"/>
            </w:r>
            <w:r w:rsidR="00186B33">
              <w:rPr>
                <w:noProof/>
                <w:webHidden/>
              </w:rPr>
              <w:t>21</w:t>
            </w:r>
            <w:r w:rsidR="00941CAF">
              <w:rPr>
                <w:noProof/>
                <w:webHidden/>
              </w:rPr>
              <w:fldChar w:fldCharType="end"/>
            </w:r>
          </w:hyperlink>
        </w:p>
        <w:p w14:paraId="3AD317D9" w14:textId="6AC8A42B" w:rsidR="00941CAF" w:rsidRDefault="002D45FC">
          <w:pPr>
            <w:pStyle w:val="TOC2"/>
            <w:tabs>
              <w:tab w:val="right" w:leader="dot" w:pos="9016"/>
            </w:tabs>
            <w:rPr>
              <w:rFonts w:eastAsiaTheme="minorEastAsia" w:cstheme="minorBidi"/>
              <w:bCs w:val="0"/>
              <w:noProof/>
              <w:sz w:val="24"/>
              <w:szCs w:val="24"/>
              <w:lang w:eastAsia="en-GB"/>
            </w:rPr>
          </w:pPr>
          <w:hyperlink w:anchor="_Toc80021291" w:history="1">
            <w:r w:rsidR="00941CAF" w:rsidRPr="00E74044">
              <w:rPr>
                <w:rStyle w:val="Hyperlink"/>
                <w:noProof/>
              </w:rPr>
              <w:t>8. Conclusion</w:t>
            </w:r>
            <w:r w:rsidR="00941CAF">
              <w:rPr>
                <w:noProof/>
                <w:webHidden/>
              </w:rPr>
              <w:tab/>
            </w:r>
            <w:r w:rsidR="00941CAF">
              <w:rPr>
                <w:noProof/>
                <w:webHidden/>
              </w:rPr>
              <w:fldChar w:fldCharType="begin"/>
            </w:r>
            <w:r w:rsidR="00941CAF">
              <w:rPr>
                <w:noProof/>
                <w:webHidden/>
              </w:rPr>
              <w:instrText xml:space="preserve"> PAGEREF _Toc80021291 \h </w:instrText>
            </w:r>
            <w:r w:rsidR="00941CAF">
              <w:rPr>
                <w:noProof/>
                <w:webHidden/>
              </w:rPr>
            </w:r>
            <w:r w:rsidR="00941CAF">
              <w:rPr>
                <w:noProof/>
                <w:webHidden/>
              </w:rPr>
              <w:fldChar w:fldCharType="separate"/>
            </w:r>
            <w:r w:rsidR="00186B33">
              <w:rPr>
                <w:noProof/>
                <w:webHidden/>
              </w:rPr>
              <w:t>22</w:t>
            </w:r>
            <w:r w:rsidR="00941CAF">
              <w:rPr>
                <w:noProof/>
                <w:webHidden/>
              </w:rPr>
              <w:fldChar w:fldCharType="end"/>
            </w:r>
          </w:hyperlink>
        </w:p>
        <w:p w14:paraId="4F46A584" w14:textId="74D8F694" w:rsidR="00941CAF" w:rsidRDefault="002D45FC">
          <w:pPr>
            <w:pStyle w:val="TOC1"/>
            <w:rPr>
              <w:rFonts w:eastAsiaTheme="minorEastAsia" w:cstheme="minorBidi"/>
              <w:b w:val="0"/>
              <w:bCs w:val="0"/>
              <w:iCs w:val="0"/>
              <w:color w:val="auto"/>
              <w:sz w:val="24"/>
              <w:lang w:eastAsia="en-GB"/>
            </w:rPr>
          </w:pPr>
          <w:hyperlink w:anchor="_Toc80021292" w:history="1">
            <w:r w:rsidR="00941CAF" w:rsidRPr="00E74044">
              <w:rPr>
                <w:rStyle w:val="Hyperlink"/>
                <w:rFonts w:eastAsia="Calibri"/>
                <w:lang w:eastAsia="en-US"/>
              </w:rPr>
              <w:t>Appendix 1</w:t>
            </w:r>
            <w:r w:rsidR="00941CAF">
              <w:rPr>
                <w:webHidden/>
              </w:rPr>
              <w:tab/>
            </w:r>
            <w:r w:rsidR="00941CAF">
              <w:rPr>
                <w:webHidden/>
              </w:rPr>
              <w:fldChar w:fldCharType="begin"/>
            </w:r>
            <w:r w:rsidR="00941CAF">
              <w:rPr>
                <w:webHidden/>
              </w:rPr>
              <w:instrText xml:space="preserve"> PAGEREF _Toc80021292 \h </w:instrText>
            </w:r>
            <w:r w:rsidR="00941CAF">
              <w:rPr>
                <w:webHidden/>
              </w:rPr>
            </w:r>
            <w:r w:rsidR="00941CAF">
              <w:rPr>
                <w:webHidden/>
              </w:rPr>
              <w:fldChar w:fldCharType="separate"/>
            </w:r>
            <w:r w:rsidR="00186B33">
              <w:rPr>
                <w:webHidden/>
              </w:rPr>
              <w:t>23</w:t>
            </w:r>
            <w:r w:rsidR="00941CAF">
              <w:rPr>
                <w:webHidden/>
              </w:rPr>
              <w:fldChar w:fldCharType="end"/>
            </w:r>
          </w:hyperlink>
        </w:p>
        <w:p w14:paraId="64488FF1" w14:textId="6A165EEA" w:rsidR="00941CAF" w:rsidRDefault="002D45FC">
          <w:pPr>
            <w:pStyle w:val="TOC2"/>
            <w:tabs>
              <w:tab w:val="right" w:leader="dot" w:pos="9016"/>
            </w:tabs>
            <w:rPr>
              <w:rFonts w:eastAsiaTheme="minorEastAsia" w:cstheme="minorBidi"/>
              <w:bCs w:val="0"/>
              <w:noProof/>
              <w:sz w:val="24"/>
              <w:szCs w:val="24"/>
              <w:lang w:eastAsia="en-GB"/>
            </w:rPr>
          </w:pPr>
          <w:hyperlink w:anchor="_Toc80021293" w:history="1">
            <w:r w:rsidR="00941CAF" w:rsidRPr="00E74044">
              <w:rPr>
                <w:rStyle w:val="Hyperlink"/>
                <w:rFonts w:eastAsia="Calibri"/>
                <w:noProof/>
                <w:lang w:eastAsia="en-US"/>
              </w:rPr>
              <w:t>Anticoagulation Incident Review Protocol</w:t>
            </w:r>
            <w:r w:rsidR="00941CAF">
              <w:rPr>
                <w:noProof/>
                <w:webHidden/>
              </w:rPr>
              <w:tab/>
            </w:r>
            <w:r w:rsidR="00941CAF">
              <w:rPr>
                <w:noProof/>
                <w:webHidden/>
              </w:rPr>
              <w:fldChar w:fldCharType="begin"/>
            </w:r>
            <w:r w:rsidR="00941CAF">
              <w:rPr>
                <w:noProof/>
                <w:webHidden/>
              </w:rPr>
              <w:instrText xml:space="preserve"> PAGEREF _Toc80021293 \h </w:instrText>
            </w:r>
            <w:r w:rsidR="00941CAF">
              <w:rPr>
                <w:noProof/>
                <w:webHidden/>
              </w:rPr>
            </w:r>
            <w:r w:rsidR="00941CAF">
              <w:rPr>
                <w:noProof/>
                <w:webHidden/>
              </w:rPr>
              <w:fldChar w:fldCharType="separate"/>
            </w:r>
            <w:r w:rsidR="00186B33">
              <w:rPr>
                <w:noProof/>
                <w:webHidden/>
              </w:rPr>
              <w:t>23</w:t>
            </w:r>
            <w:r w:rsidR="00941CAF">
              <w:rPr>
                <w:noProof/>
                <w:webHidden/>
              </w:rPr>
              <w:fldChar w:fldCharType="end"/>
            </w:r>
          </w:hyperlink>
        </w:p>
        <w:p w14:paraId="4EC70C55" w14:textId="6B23CDBB" w:rsidR="00941CAF" w:rsidRDefault="002D45FC">
          <w:pPr>
            <w:pStyle w:val="TOC3"/>
            <w:tabs>
              <w:tab w:val="right" w:leader="dot" w:pos="9016"/>
            </w:tabs>
            <w:rPr>
              <w:rFonts w:eastAsiaTheme="minorEastAsia" w:cstheme="minorBidi"/>
              <w:noProof/>
              <w:sz w:val="24"/>
              <w:szCs w:val="24"/>
              <w:lang w:eastAsia="en-GB"/>
            </w:rPr>
          </w:pPr>
          <w:hyperlink w:anchor="_Toc80021294" w:history="1">
            <w:r w:rsidR="00941CAF" w:rsidRPr="00E74044">
              <w:rPr>
                <w:rStyle w:val="Hyperlink"/>
                <w:rFonts w:eastAsia="Calibri"/>
                <w:noProof/>
                <w:lang w:eastAsia="en-US"/>
              </w:rPr>
              <w:t>Purpose</w:t>
            </w:r>
            <w:r w:rsidR="00941CAF">
              <w:rPr>
                <w:noProof/>
                <w:webHidden/>
              </w:rPr>
              <w:tab/>
            </w:r>
            <w:r w:rsidR="00941CAF">
              <w:rPr>
                <w:noProof/>
                <w:webHidden/>
              </w:rPr>
              <w:fldChar w:fldCharType="begin"/>
            </w:r>
            <w:r w:rsidR="00941CAF">
              <w:rPr>
                <w:noProof/>
                <w:webHidden/>
              </w:rPr>
              <w:instrText xml:space="preserve"> PAGEREF _Toc80021294 \h </w:instrText>
            </w:r>
            <w:r w:rsidR="00941CAF">
              <w:rPr>
                <w:noProof/>
                <w:webHidden/>
              </w:rPr>
            </w:r>
            <w:r w:rsidR="00941CAF">
              <w:rPr>
                <w:noProof/>
                <w:webHidden/>
              </w:rPr>
              <w:fldChar w:fldCharType="separate"/>
            </w:r>
            <w:r w:rsidR="00186B33">
              <w:rPr>
                <w:noProof/>
                <w:webHidden/>
              </w:rPr>
              <w:t>23</w:t>
            </w:r>
            <w:r w:rsidR="00941CAF">
              <w:rPr>
                <w:noProof/>
                <w:webHidden/>
              </w:rPr>
              <w:fldChar w:fldCharType="end"/>
            </w:r>
          </w:hyperlink>
        </w:p>
        <w:p w14:paraId="4530F56A" w14:textId="3E95F744" w:rsidR="00941CAF" w:rsidRDefault="002D45FC">
          <w:pPr>
            <w:pStyle w:val="TOC3"/>
            <w:tabs>
              <w:tab w:val="right" w:leader="dot" w:pos="9016"/>
            </w:tabs>
            <w:rPr>
              <w:rFonts w:eastAsiaTheme="minorEastAsia" w:cstheme="minorBidi"/>
              <w:noProof/>
              <w:sz w:val="24"/>
              <w:szCs w:val="24"/>
              <w:lang w:eastAsia="en-GB"/>
            </w:rPr>
          </w:pPr>
          <w:hyperlink w:anchor="_Toc80021295" w:history="1">
            <w:r w:rsidR="00941CAF" w:rsidRPr="00E74044">
              <w:rPr>
                <w:rStyle w:val="Hyperlink"/>
                <w:rFonts w:eastAsia="Calibri"/>
                <w:noProof/>
              </w:rPr>
              <w:t>Aim</w:t>
            </w:r>
            <w:r w:rsidR="00941CAF">
              <w:rPr>
                <w:noProof/>
                <w:webHidden/>
              </w:rPr>
              <w:tab/>
            </w:r>
            <w:r w:rsidR="00941CAF">
              <w:rPr>
                <w:noProof/>
                <w:webHidden/>
              </w:rPr>
              <w:fldChar w:fldCharType="begin"/>
            </w:r>
            <w:r w:rsidR="00941CAF">
              <w:rPr>
                <w:noProof/>
                <w:webHidden/>
              </w:rPr>
              <w:instrText xml:space="preserve"> PAGEREF _Toc80021295 \h </w:instrText>
            </w:r>
            <w:r w:rsidR="00941CAF">
              <w:rPr>
                <w:noProof/>
                <w:webHidden/>
              </w:rPr>
            </w:r>
            <w:r w:rsidR="00941CAF">
              <w:rPr>
                <w:noProof/>
                <w:webHidden/>
              </w:rPr>
              <w:fldChar w:fldCharType="separate"/>
            </w:r>
            <w:r w:rsidR="00186B33">
              <w:rPr>
                <w:noProof/>
                <w:webHidden/>
              </w:rPr>
              <w:t>23</w:t>
            </w:r>
            <w:r w:rsidR="00941CAF">
              <w:rPr>
                <w:noProof/>
                <w:webHidden/>
              </w:rPr>
              <w:fldChar w:fldCharType="end"/>
            </w:r>
          </w:hyperlink>
        </w:p>
        <w:p w14:paraId="0243C9DD" w14:textId="195D76DC" w:rsidR="00941CAF" w:rsidRDefault="002D45FC">
          <w:pPr>
            <w:pStyle w:val="TOC3"/>
            <w:tabs>
              <w:tab w:val="right" w:leader="dot" w:pos="9016"/>
            </w:tabs>
            <w:rPr>
              <w:rFonts w:eastAsiaTheme="minorEastAsia" w:cstheme="minorBidi"/>
              <w:noProof/>
              <w:sz w:val="24"/>
              <w:szCs w:val="24"/>
              <w:lang w:eastAsia="en-GB"/>
            </w:rPr>
          </w:pPr>
          <w:hyperlink w:anchor="_Toc80021296" w:history="1">
            <w:r w:rsidR="00941CAF" w:rsidRPr="00E74044">
              <w:rPr>
                <w:rStyle w:val="Hyperlink"/>
                <w:rFonts w:eastAsia="Calibri"/>
                <w:noProof/>
              </w:rPr>
              <w:t>Method</w:t>
            </w:r>
            <w:r w:rsidR="00941CAF">
              <w:rPr>
                <w:noProof/>
                <w:webHidden/>
              </w:rPr>
              <w:tab/>
            </w:r>
            <w:r w:rsidR="00941CAF">
              <w:rPr>
                <w:noProof/>
                <w:webHidden/>
              </w:rPr>
              <w:fldChar w:fldCharType="begin"/>
            </w:r>
            <w:r w:rsidR="00941CAF">
              <w:rPr>
                <w:noProof/>
                <w:webHidden/>
              </w:rPr>
              <w:instrText xml:space="preserve"> PAGEREF _Toc80021296 \h </w:instrText>
            </w:r>
            <w:r w:rsidR="00941CAF">
              <w:rPr>
                <w:noProof/>
                <w:webHidden/>
              </w:rPr>
            </w:r>
            <w:r w:rsidR="00941CAF">
              <w:rPr>
                <w:noProof/>
                <w:webHidden/>
              </w:rPr>
              <w:fldChar w:fldCharType="separate"/>
            </w:r>
            <w:r w:rsidR="00186B33">
              <w:rPr>
                <w:noProof/>
                <w:webHidden/>
              </w:rPr>
              <w:t>23</w:t>
            </w:r>
            <w:r w:rsidR="00941CAF">
              <w:rPr>
                <w:noProof/>
                <w:webHidden/>
              </w:rPr>
              <w:fldChar w:fldCharType="end"/>
            </w:r>
          </w:hyperlink>
        </w:p>
        <w:p w14:paraId="7DA3DB67" w14:textId="776F0B70" w:rsidR="00941CAF" w:rsidRDefault="002D45FC">
          <w:pPr>
            <w:pStyle w:val="TOC1"/>
            <w:rPr>
              <w:rFonts w:eastAsiaTheme="minorEastAsia" w:cstheme="minorBidi"/>
              <w:b w:val="0"/>
              <w:bCs w:val="0"/>
              <w:iCs w:val="0"/>
              <w:color w:val="auto"/>
              <w:sz w:val="24"/>
              <w:lang w:eastAsia="en-GB"/>
            </w:rPr>
          </w:pPr>
          <w:hyperlink w:anchor="_Toc80021297" w:history="1">
            <w:r w:rsidR="00941CAF" w:rsidRPr="00E74044">
              <w:rPr>
                <w:rStyle w:val="Hyperlink"/>
                <w:rFonts w:eastAsia="Calibri"/>
                <w:lang w:eastAsia="en-US"/>
              </w:rPr>
              <w:t>Appendix 2</w:t>
            </w:r>
            <w:r w:rsidR="00941CAF">
              <w:rPr>
                <w:webHidden/>
              </w:rPr>
              <w:tab/>
            </w:r>
            <w:r w:rsidR="00941CAF">
              <w:rPr>
                <w:webHidden/>
              </w:rPr>
              <w:fldChar w:fldCharType="begin"/>
            </w:r>
            <w:r w:rsidR="00941CAF">
              <w:rPr>
                <w:webHidden/>
              </w:rPr>
              <w:instrText xml:space="preserve"> PAGEREF _Toc80021297 \h </w:instrText>
            </w:r>
            <w:r w:rsidR="00941CAF">
              <w:rPr>
                <w:webHidden/>
              </w:rPr>
            </w:r>
            <w:r w:rsidR="00941CAF">
              <w:rPr>
                <w:webHidden/>
              </w:rPr>
              <w:fldChar w:fldCharType="separate"/>
            </w:r>
            <w:r w:rsidR="00186B33">
              <w:rPr>
                <w:webHidden/>
              </w:rPr>
              <w:t>29</w:t>
            </w:r>
            <w:r w:rsidR="00941CAF">
              <w:rPr>
                <w:webHidden/>
              </w:rPr>
              <w:fldChar w:fldCharType="end"/>
            </w:r>
          </w:hyperlink>
        </w:p>
        <w:p w14:paraId="12250080" w14:textId="068DDE53" w:rsidR="00941CAF" w:rsidRDefault="002D45FC">
          <w:pPr>
            <w:pStyle w:val="TOC2"/>
            <w:tabs>
              <w:tab w:val="right" w:leader="dot" w:pos="9016"/>
            </w:tabs>
            <w:rPr>
              <w:rFonts w:eastAsiaTheme="minorEastAsia" w:cstheme="minorBidi"/>
              <w:bCs w:val="0"/>
              <w:noProof/>
              <w:sz w:val="24"/>
              <w:szCs w:val="24"/>
              <w:lang w:eastAsia="en-GB"/>
            </w:rPr>
          </w:pPr>
          <w:hyperlink w:anchor="_Toc80021298" w:history="1">
            <w:r w:rsidR="00941CAF" w:rsidRPr="00E74044">
              <w:rPr>
                <w:rStyle w:val="Hyperlink"/>
                <w:noProof/>
              </w:rPr>
              <w:t>Anticoagulant resources – June 2020</w:t>
            </w:r>
            <w:r w:rsidR="00941CAF">
              <w:rPr>
                <w:noProof/>
                <w:webHidden/>
              </w:rPr>
              <w:tab/>
            </w:r>
            <w:r w:rsidR="00941CAF">
              <w:rPr>
                <w:noProof/>
                <w:webHidden/>
              </w:rPr>
              <w:fldChar w:fldCharType="begin"/>
            </w:r>
            <w:r w:rsidR="00941CAF">
              <w:rPr>
                <w:noProof/>
                <w:webHidden/>
              </w:rPr>
              <w:instrText xml:space="preserve"> PAGEREF _Toc80021298 \h </w:instrText>
            </w:r>
            <w:r w:rsidR="00941CAF">
              <w:rPr>
                <w:noProof/>
                <w:webHidden/>
              </w:rPr>
            </w:r>
            <w:r w:rsidR="00941CAF">
              <w:rPr>
                <w:noProof/>
                <w:webHidden/>
              </w:rPr>
              <w:fldChar w:fldCharType="separate"/>
            </w:r>
            <w:r w:rsidR="00186B33">
              <w:rPr>
                <w:noProof/>
                <w:webHidden/>
              </w:rPr>
              <w:t>29</w:t>
            </w:r>
            <w:r w:rsidR="00941CAF">
              <w:rPr>
                <w:noProof/>
                <w:webHidden/>
              </w:rPr>
              <w:fldChar w:fldCharType="end"/>
            </w:r>
          </w:hyperlink>
        </w:p>
        <w:p w14:paraId="3090DF48" w14:textId="4EB74623" w:rsidR="00941CAF" w:rsidRDefault="002D45FC">
          <w:pPr>
            <w:pStyle w:val="TOC3"/>
            <w:tabs>
              <w:tab w:val="right" w:leader="dot" w:pos="9016"/>
            </w:tabs>
            <w:rPr>
              <w:rFonts w:eastAsiaTheme="minorEastAsia" w:cstheme="minorBidi"/>
              <w:noProof/>
              <w:sz w:val="24"/>
              <w:szCs w:val="24"/>
              <w:lang w:eastAsia="en-GB"/>
            </w:rPr>
          </w:pPr>
          <w:hyperlink w:anchor="_Toc80021299" w:history="1">
            <w:r w:rsidR="00941CAF" w:rsidRPr="00E74044">
              <w:rPr>
                <w:rStyle w:val="Hyperlink"/>
                <w:noProof/>
              </w:rPr>
              <w:t>Initiation</w:t>
            </w:r>
            <w:r w:rsidR="00941CAF">
              <w:rPr>
                <w:noProof/>
                <w:webHidden/>
              </w:rPr>
              <w:tab/>
            </w:r>
            <w:r w:rsidR="00941CAF">
              <w:rPr>
                <w:noProof/>
                <w:webHidden/>
              </w:rPr>
              <w:fldChar w:fldCharType="begin"/>
            </w:r>
            <w:r w:rsidR="00941CAF">
              <w:rPr>
                <w:noProof/>
                <w:webHidden/>
              </w:rPr>
              <w:instrText xml:space="preserve"> PAGEREF _Toc80021299 \h </w:instrText>
            </w:r>
            <w:r w:rsidR="00941CAF">
              <w:rPr>
                <w:noProof/>
                <w:webHidden/>
              </w:rPr>
            </w:r>
            <w:r w:rsidR="00941CAF">
              <w:rPr>
                <w:noProof/>
                <w:webHidden/>
              </w:rPr>
              <w:fldChar w:fldCharType="separate"/>
            </w:r>
            <w:r w:rsidR="00186B33">
              <w:rPr>
                <w:noProof/>
                <w:webHidden/>
              </w:rPr>
              <w:t>29</w:t>
            </w:r>
            <w:r w:rsidR="00941CAF">
              <w:rPr>
                <w:noProof/>
                <w:webHidden/>
              </w:rPr>
              <w:fldChar w:fldCharType="end"/>
            </w:r>
          </w:hyperlink>
        </w:p>
        <w:p w14:paraId="40D28A26" w14:textId="24F83B9C" w:rsidR="00941CAF" w:rsidRDefault="002D45FC">
          <w:pPr>
            <w:pStyle w:val="TOC3"/>
            <w:tabs>
              <w:tab w:val="right" w:leader="dot" w:pos="9016"/>
            </w:tabs>
            <w:rPr>
              <w:rFonts w:eastAsiaTheme="minorEastAsia" w:cstheme="minorBidi"/>
              <w:noProof/>
              <w:sz w:val="24"/>
              <w:szCs w:val="24"/>
              <w:lang w:eastAsia="en-GB"/>
            </w:rPr>
          </w:pPr>
          <w:hyperlink w:anchor="_Toc80021300" w:history="1">
            <w:r w:rsidR="00941CAF" w:rsidRPr="00E74044">
              <w:rPr>
                <w:rStyle w:val="Hyperlink"/>
                <w:noProof/>
              </w:rPr>
              <w:t>Monitoring</w:t>
            </w:r>
            <w:r w:rsidR="00941CAF">
              <w:rPr>
                <w:noProof/>
                <w:webHidden/>
              </w:rPr>
              <w:tab/>
            </w:r>
            <w:r w:rsidR="00941CAF">
              <w:rPr>
                <w:noProof/>
                <w:webHidden/>
              </w:rPr>
              <w:fldChar w:fldCharType="begin"/>
            </w:r>
            <w:r w:rsidR="00941CAF">
              <w:rPr>
                <w:noProof/>
                <w:webHidden/>
              </w:rPr>
              <w:instrText xml:space="preserve"> PAGEREF _Toc80021300 \h </w:instrText>
            </w:r>
            <w:r w:rsidR="00941CAF">
              <w:rPr>
                <w:noProof/>
                <w:webHidden/>
              </w:rPr>
            </w:r>
            <w:r w:rsidR="00941CAF">
              <w:rPr>
                <w:noProof/>
                <w:webHidden/>
              </w:rPr>
              <w:fldChar w:fldCharType="separate"/>
            </w:r>
            <w:r w:rsidR="00186B33">
              <w:rPr>
                <w:noProof/>
                <w:webHidden/>
              </w:rPr>
              <w:t>29</w:t>
            </w:r>
            <w:r w:rsidR="00941CAF">
              <w:rPr>
                <w:noProof/>
                <w:webHidden/>
              </w:rPr>
              <w:fldChar w:fldCharType="end"/>
            </w:r>
          </w:hyperlink>
        </w:p>
        <w:p w14:paraId="680AA819" w14:textId="146738D3" w:rsidR="00941CAF" w:rsidRDefault="002D45FC">
          <w:pPr>
            <w:pStyle w:val="TOC3"/>
            <w:tabs>
              <w:tab w:val="right" w:leader="dot" w:pos="9016"/>
            </w:tabs>
            <w:rPr>
              <w:rFonts w:eastAsiaTheme="minorEastAsia" w:cstheme="minorBidi"/>
              <w:noProof/>
              <w:sz w:val="24"/>
              <w:szCs w:val="24"/>
              <w:lang w:eastAsia="en-GB"/>
            </w:rPr>
          </w:pPr>
          <w:hyperlink w:anchor="_Toc80021301" w:history="1">
            <w:r w:rsidR="00941CAF" w:rsidRPr="00E74044">
              <w:rPr>
                <w:rStyle w:val="Hyperlink"/>
                <w:noProof/>
              </w:rPr>
              <w:t>Transitions of care</w:t>
            </w:r>
            <w:r w:rsidR="00941CAF">
              <w:rPr>
                <w:noProof/>
                <w:webHidden/>
              </w:rPr>
              <w:tab/>
            </w:r>
            <w:r w:rsidR="00941CAF">
              <w:rPr>
                <w:noProof/>
                <w:webHidden/>
              </w:rPr>
              <w:fldChar w:fldCharType="begin"/>
            </w:r>
            <w:r w:rsidR="00941CAF">
              <w:rPr>
                <w:noProof/>
                <w:webHidden/>
              </w:rPr>
              <w:instrText xml:space="preserve"> PAGEREF _Toc80021301 \h </w:instrText>
            </w:r>
            <w:r w:rsidR="00941CAF">
              <w:rPr>
                <w:noProof/>
                <w:webHidden/>
              </w:rPr>
            </w:r>
            <w:r w:rsidR="00941CAF">
              <w:rPr>
                <w:noProof/>
                <w:webHidden/>
              </w:rPr>
              <w:fldChar w:fldCharType="separate"/>
            </w:r>
            <w:r w:rsidR="00186B33">
              <w:rPr>
                <w:noProof/>
                <w:webHidden/>
              </w:rPr>
              <w:t>29</w:t>
            </w:r>
            <w:r w:rsidR="00941CAF">
              <w:rPr>
                <w:noProof/>
                <w:webHidden/>
              </w:rPr>
              <w:fldChar w:fldCharType="end"/>
            </w:r>
          </w:hyperlink>
        </w:p>
        <w:p w14:paraId="7BDFAE2E" w14:textId="40177A38" w:rsidR="00941CAF" w:rsidRDefault="002D45FC">
          <w:pPr>
            <w:pStyle w:val="TOC3"/>
            <w:tabs>
              <w:tab w:val="right" w:leader="dot" w:pos="9016"/>
            </w:tabs>
            <w:rPr>
              <w:rFonts w:eastAsiaTheme="minorEastAsia" w:cstheme="minorBidi"/>
              <w:noProof/>
              <w:sz w:val="24"/>
              <w:szCs w:val="24"/>
              <w:lang w:eastAsia="en-GB"/>
            </w:rPr>
          </w:pPr>
          <w:hyperlink w:anchor="_Toc80021302" w:history="1">
            <w:r w:rsidR="00941CAF" w:rsidRPr="00E74044">
              <w:rPr>
                <w:rStyle w:val="Hyperlink"/>
                <w:noProof/>
              </w:rPr>
              <w:t>De-escalation</w:t>
            </w:r>
            <w:r w:rsidR="00941CAF">
              <w:rPr>
                <w:noProof/>
                <w:webHidden/>
              </w:rPr>
              <w:tab/>
            </w:r>
            <w:r w:rsidR="00941CAF">
              <w:rPr>
                <w:noProof/>
                <w:webHidden/>
              </w:rPr>
              <w:fldChar w:fldCharType="begin"/>
            </w:r>
            <w:r w:rsidR="00941CAF">
              <w:rPr>
                <w:noProof/>
                <w:webHidden/>
              </w:rPr>
              <w:instrText xml:space="preserve"> PAGEREF _Toc80021302 \h </w:instrText>
            </w:r>
            <w:r w:rsidR="00941CAF">
              <w:rPr>
                <w:noProof/>
                <w:webHidden/>
              </w:rPr>
            </w:r>
            <w:r w:rsidR="00941CAF">
              <w:rPr>
                <w:noProof/>
                <w:webHidden/>
              </w:rPr>
              <w:fldChar w:fldCharType="separate"/>
            </w:r>
            <w:r w:rsidR="00186B33">
              <w:rPr>
                <w:noProof/>
                <w:webHidden/>
              </w:rPr>
              <w:t>30</w:t>
            </w:r>
            <w:r w:rsidR="00941CAF">
              <w:rPr>
                <w:noProof/>
                <w:webHidden/>
              </w:rPr>
              <w:fldChar w:fldCharType="end"/>
            </w:r>
          </w:hyperlink>
        </w:p>
        <w:p w14:paraId="4F2A1884" w14:textId="0B58EDD6" w:rsidR="00941CAF" w:rsidRDefault="002D45FC">
          <w:pPr>
            <w:pStyle w:val="TOC1"/>
            <w:rPr>
              <w:rFonts w:eastAsiaTheme="minorEastAsia" w:cstheme="minorBidi"/>
              <w:b w:val="0"/>
              <w:bCs w:val="0"/>
              <w:iCs w:val="0"/>
              <w:color w:val="auto"/>
              <w:sz w:val="24"/>
              <w:lang w:eastAsia="en-GB"/>
            </w:rPr>
          </w:pPr>
          <w:hyperlink w:anchor="_Toc80021303" w:history="1">
            <w:r w:rsidR="00941CAF" w:rsidRPr="00E74044">
              <w:rPr>
                <w:rStyle w:val="Hyperlink"/>
                <w:rFonts w:eastAsia="Calibri"/>
                <w:lang w:eastAsia="en-US"/>
              </w:rPr>
              <w:t>Appendix 3</w:t>
            </w:r>
            <w:r w:rsidR="00941CAF">
              <w:rPr>
                <w:webHidden/>
              </w:rPr>
              <w:tab/>
            </w:r>
            <w:r w:rsidR="00941CAF">
              <w:rPr>
                <w:webHidden/>
              </w:rPr>
              <w:fldChar w:fldCharType="begin"/>
            </w:r>
            <w:r w:rsidR="00941CAF">
              <w:rPr>
                <w:webHidden/>
              </w:rPr>
              <w:instrText xml:space="preserve"> PAGEREF _Toc80021303 \h </w:instrText>
            </w:r>
            <w:r w:rsidR="00941CAF">
              <w:rPr>
                <w:webHidden/>
              </w:rPr>
            </w:r>
            <w:r w:rsidR="00941CAF">
              <w:rPr>
                <w:webHidden/>
              </w:rPr>
              <w:fldChar w:fldCharType="separate"/>
            </w:r>
            <w:r w:rsidR="00186B33">
              <w:rPr>
                <w:webHidden/>
              </w:rPr>
              <w:t>31</w:t>
            </w:r>
            <w:r w:rsidR="00941CAF">
              <w:rPr>
                <w:webHidden/>
              </w:rPr>
              <w:fldChar w:fldCharType="end"/>
            </w:r>
          </w:hyperlink>
        </w:p>
        <w:p w14:paraId="1CFB58E5" w14:textId="55BD2F2F" w:rsidR="00941CAF" w:rsidRDefault="002D45FC">
          <w:pPr>
            <w:pStyle w:val="TOC2"/>
            <w:tabs>
              <w:tab w:val="right" w:leader="dot" w:pos="9016"/>
            </w:tabs>
            <w:rPr>
              <w:rFonts w:eastAsiaTheme="minorEastAsia" w:cstheme="minorBidi"/>
              <w:bCs w:val="0"/>
              <w:noProof/>
              <w:sz w:val="24"/>
              <w:szCs w:val="24"/>
              <w:lang w:eastAsia="en-GB"/>
            </w:rPr>
          </w:pPr>
          <w:hyperlink w:anchor="_Toc80021304" w:history="1">
            <w:r w:rsidR="00941CAF" w:rsidRPr="00E74044">
              <w:rPr>
                <w:rStyle w:val="Hyperlink"/>
                <w:rFonts w:eastAsia="Calibri"/>
                <w:noProof/>
                <w:lang w:eastAsia="en-US"/>
              </w:rPr>
              <w:t>Summary of state and territory interview responses</w:t>
            </w:r>
            <w:r w:rsidR="00941CAF">
              <w:rPr>
                <w:noProof/>
                <w:webHidden/>
              </w:rPr>
              <w:tab/>
            </w:r>
            <w:r w:rsidR="00941CAF">
              <w:rPr>
                <w:noProof/>
                <w:webHidden/>
              </w:rPr>
              <w:fldChar w:fldCharType="begin"/>
            </w:r>
            <w:r w:rsidR="00941CAF">
              <w:rPr>
                <w:noProof/>
                <w:webHidden/>
              </w:rPr>
              <w:instrText xml:space="preserve"> PAGEREF _Toc80021304 \h </w:instrText>
            </w:r>
            <w:r w:rsidR="00941CAF">
              <w:rPr>
                <w:noProof/>
                <w:webHidden/>
              </w:rPr>
            </w:r>
            <w:r w:rsidR="00941CAF">
              <w:rPr>
                <w:noProof/>
                <w:webHidden/>
              </w:rPr>
              <w:fldChar w:fldCharType="separate"/>
            </w:r>
            <w:r w:rsidR="00186B33">
              <w:rPr>
                <w:noProof/>
                <w:webHidden/>
              </w:rPr>
              <w:t>31</w:t>
            </w:r>
            <w:r w:rsidR="00941CAF">
              <w:rPr>
                <w:noProof/>
                <w:webHidden/>
              </w:rPr>
              <w:fldChar w:fldCharType="end"/>
            </w:r>
          </w:hyperlink>
        </w:p>
        <w:p w14:paraId="718E13F8" w14:textId="56CC61B9" w:rsidR="00941CAF" w:rsidRDefault="002D45FC">
          <w:pPr>
            <w:pStyle w:val="TOC3"/>
            <w:tabs>
              <w:tab w:val="right" w:leader="dot" w:pos="9016"/>
            </w:tabs>
            <w:rPr>
              <w:rFonts w:eastAsiaTheme="minorEastAsia" w:cstheme="minorBidi"/>
              <w:noProof/>
              <w:sz w:val="24"/>
              <w:szCs w:val="24"/>
              <w:lang w:eastAsia="en-GB"/>
            </w:rPr>
          </w:pPr>
          <w:hyperlink w:anchor="_Toc80021305" w:history="1">
            <w:r w:rsidR="00941CAF" w:rsidRPr="00E74044">
              <w:rPr>
                <w:rStyle w:val="Hyperlink"/>
                <w:rFonts w:eastAsia="Calibri"/>
                <w:noProof/>
                <w:lang w:eastAsia="en-US"/>
              </w:rPr>
              <w:t>New South Wales (July 2019)</w:t>
            </w:r>
            <w:r w:rsidR="00941CAF">
              <w:rPr>
                <w:noProof/>
                <w:webHidden/>
              </w:rPr>
              <w:tab/>
            </w:r>
            <w:r w:rsidR="00941CAF">
              <w:rPr>
                <w:noProof/>
                <w:webHidden/>
              </w:rPr>
              <w:fldChar w:fldCharType="begin"/>
            </w:r>
            <w:r w:rsidR="00941CAF">
              <w:rPr>
                <w:noProof/>
                <w:webHidden/>
              </w:rPr>
              <w:instrText xml:space="preserve"> PAGEREF _Toc80021305 \h </w:instrText>
            </w:r>
            <w:r w:rsidR="00941CAF">
              <w:rPr>
                <w:noProof/>
                <w:webHidden/>
              </w:rPr>
            </w:r>
            <w:r w:rsidR="00941CAF">
              <w:rPr>
                <w:noProof/>
                <w:webHidden/>
              </w:rPr>
              <w:fldChar w:fldCharType="separate"/>
            </w:r>
            <w:r w:rsidR="00186B33">
              <w:rPr>
                <w:noProof/>
                <w:webHidden/>
              </w:rPr>
              <w:t>31</w:t>
            </w:r>
            <w:r w:rsidR="00941CAF">
              <w:rPr>
                <w:noProof/>
                <w:webHidden/>
              </w:rPr>
              <w:fldChar w:fldCharType="end"/>
            </w:r>
          </w:hyperlink>
        </w:p>
        <w:p w14:paraId="72A0F592" w14:textId="5D9669F4" w:rsidR="00941CAF" w:rsidRDefault="002D45FC">
          <w:pPr>
            <w:pStyle w:val="TOC3"/>
            <w:tabs>
              <w:tab w:val="right" w:leader="dot" w:pos="9016"/>
            </w:tabs>
            <w:rPr>
              <w:rFonts w:eastAsiaTheme="minorEastAsia" w:cstheme="minorBidi"/>
              <w:noProof/>
              <w:sz w:val="24"/>
              <w:szCs w:val="24"/>
              <w:lang w:eastAsia="en-GB"/>
            </w:rPr>
          </w:pPr>
          <w:hyperlink w:anchor="_Toc80021306" w:history="1">
            <w:r w:rsidR="00941CAF" w:rsidRPr="00E74044">
              <w:rPr>
                <w:rStyle w:val="Hyperlink"/>
                <w:noProof/>
              </w:rPr>
              <w:t>Victoria (August 2019)</w:t>
            </w:r>
            <w:r w:rsidR="00941CAF">
              <w:rPr>
                <w:noProof/>
                <w:webHidden/>
              </w:rPr>
              <w:tab/>
            </w:r>
            <w:r w:rsidR="00941CAF">
              <w:rPr>
                <w:noProof/>
                <w:webHidden/>
              </w:rPr>
              <w:fldChar w:fldCharType="begin"/>
            </w:r>
            <w:r w:rsidR="00941CAF">
              <w:rPr>
                <w:noProof/>
                <w:webHidden/>
              </w:rPr>
              <w:instrText xml:space="preserve"> PAGEREF _Toc80021306 \h </w:instrText>
            </w:r>
            <w:r w:rsidR="00941CAF">
              <w:rPr>
                <w:noProof/>
                <w:webHidden/>
              </w:rPr>
            </w:r>
            <w:r w:rsidR="00941CAF">
              <w:rPr>
                <w:noProof/>
                <w:webHidden/>
              </w:rPr>
              <w:fldChar w:fldCharType="separate"/>
            </w:r>
            <w:r w:rsidR="00186B33">
              <w:rPr>
                <w:noProof/>
                <w:webHidden/>
              </w:rPr>
              <w:t>32</w:t>
            </w:r>
            <w:r w:rsidR="00941CAF">
              <w:rPr>
                <w:noProof/>
                <w:webHidden/>
              </w:rPr>
              <w:fldChar w:fldCharType="end"/>
            </w:r>
          </w:hyperlink>
        </w:p>
        <w:p w14:paraId="23F9D235" w14:textId="19E98BA4" w:rsidR="00941CAF" w:rsidRDefault="002D45FC">
          <w:pPr>
            <w:pStyle w:val="TOC3"/>
            <w:tabs>
              <w:tab w:val="right" w:leader="dot" w:pos="9016"/>
            </w:tabs>
            <w:rPr>
              <w:rFonts w:eastAsiaTheme="minorEastAsia" w:cstheme="minorBidi"/>
              <w:noProof/>
              <w:sz w:val="24"/>
              <w:szCs w:val="24"/>
              <w:lang w:eastAsia="en-GB"/>
            </w:rPr>
          </w:pPr>
          <w:hyperlink w:anchor="_Toc80021307" w:history="1">
            <w:r w:rsidR="00941CAF" w:rsidRPr="00E74044">
              <w:rPr>
                <w:rStyle w:val="Hyperlink"/>
                <w:noProof/>
              </w:rPr>
              <w:t>Queensland (July 2019)</w:t>
            </w:r>
            <w:r w:rsidR="00941CAF">
              <w:rPr>
                <w:noProof/>
                <w:webHidden/>
              </w:rPr>
              <w:tab/>
            </w:r>
            <w:r w:rsidR="00941CAF">
              <w:rPr>
                <w:noProof/>
                <w:webHidden/>
              </w:rPr>
              <w:fldChar w:fldCharType="begin"/>
            </w:r>
            <w:r w:rsidR="00941CAF">
              <w:rPr>
                <w:noProof/>
                <w:webHidden/>
              </w:rPr>
              <w:instrText xml:space="preserve"> PAGEREF _Toc80021307 \h </w:instrText>
            </w:r>
            <w:r w:rsidR="00941CAF">
              <w:rPr>
                <w:noProof/>
                <w:webHidden/>
              </w:rPr>
            </w:r>
            <w:r w:rsidR="00941CAF">
              <w:rPr>
                <w:noProof/>
                <w:webHidden/>
              </w:rPr>
              <w:fldChar w:fldCharType="separate"/>
            </w:r>
            <w:r w:rsidR="00186B33">
              <w:rPr>
                <w:noProof/>
                <w:webHidden/>
              </w:rPr>
              <w:t>34</w:t>
            </w:r>
            <w:r w:rsidR="00941CAF">
              <w:rPr>
                <w:noProof/>
                <w:webHidden/>
              </w:rPr>
              <w:fldChar w:fldCharType="end"/>
            </w:r>
          </w:hyperlink>
        </w:p>
        <w:p w14:paraId="420211F2" w14:textId="42EF9F32" w:rsidR="00941CAF" w:rsidRDefault="002D45FC">
          <w:pPr>
            <w:pStyle w:val="TOC3"/>
            <w:tabs>
              <w:tab w:val="right" w:leader="dot" w:pos="9016"/>
            </w:tabs>
            <w:rPr>
              <w:rFonts w:eastAsiaTheme="minorEastAsia" w:cstheme="minorBidi"/>
              <w:noProof/>
              <w:sz w:val="24"/>
              <w:szCs w:val="24"/>
              <w:lang w:eastAsia="en-GB"/>
            </w:rPr>
          </w:pPr>
          <w:hyperlink w:anchor="_Toc80021308" w:history="1">
            <w:r w:rsidR="00941CAF" w:rsidRPr="00E74044">
              <w:rPr>
                <w:rStyle w:val="Hyperlink"/>
                <w:noProof/>
              </w:rPr>
              <w:t>Tasmania (July 2019)</w:t>
            </w:r>
            <w:r w:rsidR="00941CAF">
              <w:rPr>
                <w:noProof/>
                <w:webHidden/>
              </w:rPr>
              <w:tab/>
            </w:r>
            <w:r w:rsidR="00941CAF">
              <w:rPr>
                <w:noProof/>
                <w:webHidden/>
              </w:rPr>
              <w:fldChar w:fldCharType="begin"/>
            </w:r>
            <w:r w:rsidR="00941CAF">
              <w:rPr>
                <w:noProof/>
                <w:webHidden/>
              </w:rPr>
              <w:instrText xml:space="preserve"> PAGEREF _Toc80021308 \h </w:instrText>
            </w:r>
            <w:r w:rsidR="00941CAF">
              <w:rPr>
                <w:noProof/>
                <w:webHidden/>
              </w:rPr>
            </w:r>
            <w:r w:rsidR="00941CAF">
              <w:rPr>
                <w:noProof/>
                <w:webHidden/>
              </w:rPr>
              <w:fldChar w:fldCharType="separate"/>
            </w:r>
            <w:r w:rsidR="00186B33">
              <w:rPr>
                <w:noProof/>
                <w:webHidden/>
              </w:rPr>
              <w:t>36</w:t>
            </w:r>
            <w:r w:rsidR="00941CAF">
              <w:rPr>
                <w:noProof/>
                <w:webHidden/>
              </w:rPr>
              <w:fldChar w:fldCharType="end"/>
            </w:r>
          </w:hyperlink>
        </w:p>
        <w:p w14:paraId="647750D2" w14:textId="553A5D30" w:rsidR="00941CAF" w:rsidRDefault="002D45FC">
          <w:pPr>
            <w:pStyle w:val="TOC3"/>
            <w:tabs>
              <w:tab w:val="right" w:leader="dot" w:pos="9016"/>
            </w:tabs>
            <w:rPr>
              <w:rFonts w:eastAsiaTheme="minorEastAsia" w:cstheme="minorBidi"/>
              <w:noProof/>
              <w:sz w:val="24"/>
              <w:szCs w:val="24"/>
              <w:lang w:eastAsia="en-GB"/>
            </w:rPr>
          </w:pPr>
          <w:hyperlink w:anchor="_Toc80021309" w:history="1">
            <w:r w:rsidR="00941CAF" w:rsidRPr="00E74044">
              <w:rPr>
                <w:rStyle w:val="Hyperlink"/>
                <w:noProof/>
              </w:rPr>
              <w:t>Northern Territory (July 2019)</w:t>
            </w:r>
            <w:r w:rsidR="00941CAF">
              <w:rPr>
                <w:noProof/>
                <w:webHidden/>
              </w:rPr>
              <w:tab/>
            </w:r>
            <w:r w:rsidR="00941CAF">
              <w:rPr>
                <w:noProof/>
                <w:webHidden/>
              </w:rPr>
              <w:fldChar w:fldCharType="begin"/>
            </w:r>
            <w:r w:rsidR="00941CAF">
              <w:rPr>
                <w:noProof/>
                <w:webHidden/>
              </w:rPr>
              <w:instrText xml:space="preserve"> PAGEREF _Toc80021309 \h </w:instrText>
            </w:r>
            <w:r w:rsidR="00941CAF">
              <w:rPr>
                <w:noProof/>
                <w:webHidden/>
              </w:rPr>
            </w:r>
            <w:r w:rsidR="00941CAF">
              <w:rPr>
                <w:noProof/>
                <w:webHidden/>
              </w:rPr>
              <w:fldChar w:fldCharType="separate"/>
            </w:r>
            <w:r w:rsidR="00186B33">
              <w:rPr>
                <w:noProof/>
                <w:webHidden/>
              </w:rPr>
              <w:t>39</w:t>
            </w:r>
            <w:r w:rsidR="00941CAF">
              <w:rPr>
                <w:noProof/>
                <w:webHidden/>
              </w:rPr>
              <w:fldChar w:fldCharType="end"/>
            </w:r>
          </w:hyperlink>
        </w:p>
        <w:p w14:paraId="44D7A989" w14:textId="36B5AB61" w:rsidR="0077603C" w:rsidRPr="00941CAF" w:rsidRDefault="007676EC" w:rsidP="00941CAF">
          <w:pPr>
            <w:pStyle w:val="TOCHeading"/>
            <w:rPr>
              <w:rFonts w:cstheme="minorHAnsi"/>
              <w:sz w:val="20"/>
              <w:szCs w:val="20"/>
            </w:rPr>
          </w:pPr>
          <w:r>
            <w:fldChar w:fldCharType="end"/>
          </w:r>
        </w:p>
      </w:sdtContent>
    </w:sdt>
    <w:p w14:paraId="189A260C" w14:textId="4AE7B3EE" w:rsidR="00865932" w:rsidRPr="0077603C" w:rsidRDefault="00865932" w:rsidP="0077603C">
      <w:pPr>
        <w:tabs>
          <w:tab w:val="left" w:pos="3018"/>
        </w:tabs>
        <w:sectPr w:rsidR="00865932" w:rsidRPr="0077603C" w:rsidSect="000A4C01">
          <w:headerReference w:type="even" r:id="rId19"/>
          <w:headerReference w:type="default" r:id="rId20"/>
          <w:footerReference w:type="default" r:id="rId21"/>
          <w:headerReference w:type="first" r:id="rId22"/>
          <w:pgSz w:w="11906" w:h="16838"/>
          <w:pgMar w:top="1440" w:right="1440" w:bottom="1440" w:left="1440" w:header="708" w:footer="708" w:gutter="0"/>
          <w:pgNumType w:start="1"/>
          <w:cols w:space="708"/>
          <w:docGrid w:linePitch="360"/>
        </w:sectPr>
      </w:pPr>
    </w:p>
    <w:p w14:paraId="363C6495" w14:textId="3E64589E" w:rsidR="0004041C" w:rsidRPr="00D51F66" w:rsidRDefault="00EA48A0" w:rsidP="00D51F66">
      <w:pPr>
        <w:pStyle w:val="Heading1"/>
      </w:pPr>
      <w:bookmarkStart w:id="8" w:name="_Toc80021267"/>
      <w:bookmarkEnd w:id="2"/>
      <w:bookmarkEnd w:id="3"/>
      <w:bookmarkEnd w:id="4"/>
      <w:bookmarkEnd w:id="5"/>
      <w:bookmarkEnd w:id="6"/>
      <w:r w:rsidRPr="00D51F66">
        <w:lastRenderedPageBreak/>
        <w:t>Preface</w:t>
      </w:r>
      <w:bookmarkEnd w:id="8"/>
    </w:p>
    <w:p w14:paraId="45EB850A" w14:textId="4EDD677D" w:rsidR="0004041C" w:rsidRDefault="0004041C" w:rsidP="0004041C">
      <w:r>
        <w:t xml:space="preserve">Data for this report is drawn from incidents that occurred </w:t>
      </w:r>
      <w:r w:rsidR="00EA48A0">
        <w:t>with</w:t>
      </w:r>
      <w:r>
        <w:t xml:space="preserve">in </w:t>
      </w:r>
      <w:r w:rsidR="00EA48A0">
        <w:t xml:space="preserve">state and territory </w:t>
      </w:r>
      <w:r>
        <w:t>health services</w:t>
      </w:r>
      <w:r w:rsidR="00EA48A0">
        <w:t xml:space="preserve"> during the period</w:t>
      </w:r>
      <w:r>
        <w:t xml:space="preserve"> July 2016 through June 2017. Whil</w:t>
      </w:r>
      <w:r w:rsidR="00EA48A0">
        <w:t>st</w:t>
      </w:r>
      <w:r>
        <w:t xml:space="preserve"> time has passed since the</w:t>
      </w:r>
      <w:r w:rsidR="00EA48A0">
        <w:t xml:space="preserve"> reporting of the</w:t>
      </w:r>
      <w:r>
        <w:t>se incidents, the lessons remain pertinent for clinical practice today. Safe use and management of anticoagulants continues to be challenging for health services across the country.</w:t>
      </w:r>
    </w:p>
    <w:p w14:paraId="775BB376" w14:textId="30908B79" w:rsidR="0004041C" w:rsidRDefault="00EE771C" w:rsidP="0004041C">
      <w:r>
        <w:t xml:space="preserve">The Commission has reviewed </w:t>
      </w:r>
      <w:r w:rsidR="00EA48A0">
        <w:t>four years</w:t>
      </w:r>
      <w:r w:rsidR="00773A4F">
        <w:t xml:space="preserve"> of</w:t>
      </w:r>
      <w:r w:rsidR="00EA48A0">
        <w:t xml:space="preserve"> </w:t>
      </w:r>
      <w:r>
        <w:t>hospital acquired complications data</w:t>
      </w:r>
      <w:r w:rsidR="00773A4F">
        <w:t xml:space="preserve"> from</w:t>
      </w:r>
      <w:r>
        <w:t xml:space="preserve"> 2017 </w:t>
      </w:r>
      <w:r w:rsidR="00EA48A0">
        <w:t>to 2020</w:t>
      </w:r>
      <w:r w:rsidR="00773A4F">
        <w:t xml:space="preserve"> inclusive</w:t>
      </w:r>
      <w:r w:rsidR="00EA48A0">
        <w:t xml:space="preserve">, </w:t>
      </w:r>
      <w:r>
        <w:t>which indicate</w:t>
      </w:r>
      <w:r w:rsidR="00EA48A0">
        <w:t xml:space="preserve"> </w:t>
      </w:r>
      <w:r w:rsidR="0004041C">
        <w:t>that</w:t>
      </w:r>
      <w:r>
        <w:t xml:space="preserve"> the</w:t>
      </w:r>
      <w:r w:rsidR="0004041C">
        <w:t xml:space="preserve"> management of anticoagulants is improving. For </w:t>
      </w:r>
      <w:r>
        <w:t>instance,</w:t>
      </w:r>
      <w:r w:rsidR="0004041C">
        <w:t xml:space="preserve"> national venous thromboembolism (VTE) and pulmonary embolism rates have both declined</w:t>
      </w:r>
      <w:r w:rsidR="00EA48A0">
        <w:t xml:space="preserve"> during this period</w:t>
      </w:r>
      <w:r w:rsidR="0004041C">
        <w:t xml:space="preserve">. </w:t>
      </w:r>
      <w:r w:rsidR="00EA48A0">
        <w:t xml:space="preserve">In addition, </w:t>
      </w:r>
      <w:r w:rsidR="004A5191">
        <w:t>m</w:t>
      </w:r>
      <w:r w:rsidR="0004041C">
        <w:t xml:space="preserve">ultiple interventions have been developed and implemented </w:t>
      </w:r>
      <w:r w:rsidR="00EA48A0">
        <w:t>within</w:t>
      </w:r>
      <w:r w:rsidR="0004041C">
        <w:t xml:space="preserve"> health services </w:t>
      </w:r>
      <w:r w:rsidR="004A5191">
        <w:t xml:space="preserve">and many </w:t>
      </w:r>
      <w:r w:rsidR="0004041C">
        <w:t>preventive strategies operationalised. National and international discussion on VTE</w:t>
      </w:r>
      <w:r w:rsidR="004A5191">
        <w:t>, in particular,</w:t>
      </w:r>
      <w:r w:rsidR="0004041C">
        <w:t xml:space="preserve"> has also increased clinicians’ awareness of both the scale of the issue and its preventability.</w:t>
      </w:r>
    </w:p>
    <w:p w14:paraId="1400A61D" w14:textId="526BFA4A" w:rsidR="0004041C" w:rsidRDefault="0004041C" w:rsidP="0004041C">
      <w:r>
        <w:t>A</w:t>
      </w:r>
      <w:r w:rsidR="004A5191">
        <w:t>ppropriate use of a</w:t>
      </w:r>
      <w:r>
        <w:t xml:space="preserve">nticoagulant medicines </w:t>
      </w:r>
      <w:r w:rsidR="004A5191">
        <w:t>is</w:t>
      </w:r>
      <w:r>
        <w:t xml:space="preserve"> essential </w:t>
      </w:r>
      <w:r w:rsidR="004A5191">
        <w:t>in</w:t>
      </w:r>
      <w:r>
        <w:t xml:space="preserve"> support</w:t>
      </w:r>
      <w:r w:rsidR="004A5191">
        <w:t>ing</w:t>
      </w:r>
      <w:r>
        <w:t xml:space="preserve"> the downward trend in these clotting events</w:t>
      </w:r>
      <w:r w:rsidR="004A5191">
        <w:t>.</w:t>
      </w:r>
      <w:r>
        <w:t xml:space="preserve"> </w:t>
      </w:r>
      <w:r w:rsidR="004A5191">
        <w:t>However, risks remain around their use and management</w:t>
      </w:r>
      <w:r w:rsidR="00173010">
        <w:t>. W</w:t>
      </w:r>
      <w:r w:rsidR="004A5191">
        <w:t>hilst i</w:t>
      </w:r>
      <w:r>
        <w:t xml:space="preserve">nterventions have been developed to support detection </w:t>
      </w:r>
      <w:r w:rsidR="004A5191">
        <w:t xml:space="preserve">and mitigation </w:t>
      </w:r>
      <w:r>
        <w:t xml:space="preserve">of </w:t>
      </w:r>
      <w:r w:rsidR="004A5191">
        <w:t>these risks, h</w:t>
      </w:r>
      <w:r>
        <w:t>ealth service</w:t>
      </w:r>
      <w:r w:rsidR="00173010">
        <w:t>s</w:t>
      </w:r>
      <w:r>
        <w:t xml:space="preserve"> </w:t>
      </w:r>
      <w:r w:rsidR="00173010">
        <w:t>remain</w:t>
      </w:r>
      <w:r w:rsidR="004A5191">
        <w:t xml:space="preserve"> challenged</w:t>
      </w:r>
      <w:r w:rsidR="00173010">
        <w:t xml:space="preserve"> by the c</w:t>
      </w:r>
      <w:r>
        <w:t>omplex requirements for managing these medicines</w:t>
      </w:r>
      <w:r w:rsidR="00173010">
        <w:t xml:space="preserve"> and the need for better system integration</w:t>
      </w:r>
      <w:r>
        <w:t xml:space="preserve"> and </w:t>
      </w:r>
      <w:r w:rsidR="00173010">
        <w:t xml:space="preserve">useability. </w:t>
      </w:r>
    </w:p>
    <w:p w14:paraId="77F15DE7" w14:textId="392BC844" w:rsidR="0004041C" w:rsidRDefault="00173010" w:rsidP="0004041C">
      <w:r>
        <w:t>For example,</w:t>
      </w:r>
      <w:r w:rsidR="00773A4F">
        <w:t xml:space="preserve"> a recent coroner’s report has investigated how a patient</w:t>
      </w:r>
      <w:r w:rsidR="0004041C">
        <w:t xml:space="preserve"> had inadvertently been administered two anticoagulants, one </w:t>
      </w:r>
      <w:r w:rsidR="00003B12">
        <w:t>of which</w:t>
      </w:r>
      <w:r w:rsidR="003A13DA">
        <w:t>, enoxaparin,</w:t>
      </w:r>
      <w:r w:rsidR="00003B12">
        <w:t xml:space="preserve"> is </w:t>
      </w:r>
      <w:r w:rsidR="0004041C">
        <w:t xml:space="preserve">commonly used to prevent VTE. </w:t>
      </w:r>
      <w:r w:rsidR="00003B12">
        <w:t>Both</w:t>
      </w:r>
      <w:r w:rsidR="0004041C">
        <w:t xml:space="preserve"> anticoagulant medicines were prescribed </w:t>
      </w:r>
      <w:r w:rsidR="00003B12">
        <w:t>via</w:t>
      </w:r>
      <w:r w:rsidR="0004041C">
        <w:t xml:space="preserve"> an </w:t>
      </w:r>
      <w:r w:rsidR="00003B12">
        <w:t>e</w:t>
      </w:r>
      <w:r w:rsidR="0004041C">
        <w:t xml:space="preserve">lectronic </w:t>
      </w:r>
      <w:r w:rsidR="00003B12">
        <w:t>m</w:t>
      </w:r>
      <w:r w:rsidR="0004041C">
        <w:t xml:space="preserve">edication </w:t>
      </w:r>
      <w:r w:rsidR="00003B12">
        <w:t>m</w:t>
      </w:r>
      <w:r w:rsidR="0004041C">
        <w:t>anagem</w:t>
      </w:r>
      <w:r w:rsidR="00682777">
        <w:t>ent (EMM) s</w:t>
      </w:r>
      <w:r w:rsidR="0004041C">
        <w:t>ystem. The coroner’s report</w:t>
      </w:r>
      <w:r w:rsidR="006C5B97">
        <w:t xml:space="preserve"> </w:t>
      </w:r>
      <w:r w:rsidR="0004041C">
        <w:t xml:space="preserve">highlighted the ongoing challenges of interventions to support safer anticoagulant use. </w:t>
      </w:r>
    </w:p>
    <w:p w14:paraId="01AC700A" w14:textId="35A8B013" w:rsidR="0004041C" w:rsidRDefault="0004041C" w:rsidP="0004041C">
      <w:r>
        <w:t>F</w:t>
      </w:r>
      <w:r w:rsidR="00773A4F">
        <w:t xml:space="preserve">indings within this Report confirm that </w:t>
      </w:r>
      <w:r>
        <w:t xml:space="preserve">duplicate anticoagulant therapy </w:t>
      </w:r>
      <w:r w:rsidR="00773A4F">
        <w:t>is</w:t>
      </w:r>
      <w:r>
        <w:t xml:space="preserve"> the most frequently occurring prescribing issue</w:t>
      </w:r>
      <w:r w:rsidR="00773A4F">
        <w:t xml:space="preserve"> for these types of medicines</w:t>
      </w:r>
      <w:r>
        <w:t xml:space="preserve">. Given the frequency with which anticoagulant medicines are prescribed to </w:t>
      </w:r>
      <w:r w:rsidRPr="004015BC">
        <w:rPr>
          <w:i/>
        </w:rPr>
        <w:t>prevent</w:t>
      </w:r>
      <w:r>
        <w:t xml:space="preserve"> clotting events, it will be important to ensure that information regarding interventions and safe practices for prescribing and administering</w:t>
      </w:r>
      <w:r w:rsidR="00865CBA">
        <w:t xml:space="preserve"> these medicines</w:t>
      </w:r>
      <w:r>
        <w:t xml:space="preserve"> are shared and implemented to raise awareness and support</w:t>
      </w:r>
      <w:r w:rsidR="00003B12">
        <w:t xml:space="preserve"> ongoing system</w:t>
      </w:r>
      <w:r>
        <w:t xml:space="preserve"> improvements. </w:t>
      </w:r>
    </w:p>
    <w:p w14:paraId="7FE8D8AC" w14:textId="77777777" w:rsidR="0004041C" w:rsidRDefault="0004041C">
      <w:pPr>
        <w:spacing w:after="80"/>
      </w:pPr>
      <w:r>
        <w:br w:type="page"/>
      </w:r>
    </w:p>
    <w:p w14:paraId="208FCDBB" w14:textId="6CE84648" w:rsidR="004B0EE4" w:rsidRPr="00780371" w:rsidRDefault="004B0EE4" w:rsidP="001620C5">
      <w:pPr>
        <w:pStyle w:val="Heading1"/>
      </w:pPr>
      <w:bookmarkStart w:id="9" w:name="_Toc80021268"/>
      <w:r w:rsidRPr="00780371">
        <w:lastRenderedPageBreak/>
        <w:t xml:space="preserve">Executive </w:t>
      </w:r>
      <w:r w:rsidR="00794242">
        <w:t>s</w:t>
      </w:r>
      <w:r w:rsidRPr="00780371">
        <w:t>ummary</w:t>
      </w:r>
      <w:bookmarkEnd w:id="9"/>
    </w:p>
    <w:p w14:paraId="47D4340F" w14:textId="65C09EBA" w:rsidR="004B0EE4" w:rsidRPr="00780371" w:rsidRDefault="00A3234F" w:rsidP="004B0EE4">
      <w:r>
        <w:t>In 2017, t</w:t>
      </w:r>
      <w:r w:rsidR="004B0EE4" w:rsidRPr="00780371">
        <w:t xml:space="preserve">he Australian Commission on Safety and Quality in Health Care’s (the Commission) Health Services Medication Expert Advisory Group members and other stakeholders raised concerns that incidents involving anticoagulant medicines </w:t>
      </w:r>
      <w:r w:rsidR="000F1E43">
        <w:t>were</w:t>
      </w:r>
      <w:r w:rsidR="004B0EE4" w:rsidRPr="00780371">
        <w:t xml:space="preserve"> </w:t>
      </w:r>
      <w:r w:rsidR="004B0EE4">
        <w:t>rising</w:t>
      </w:r>
      <w:r w:rsidR="004B0EE4" w:rsidRPr="00780371">
        <w:t>. Of particular concern</w:t>
      </w:r>
      <w:r w:rsidR="000F1E43">
        <w:t>,</w:t>
      </w:r>
      <w:r w:rsidR="004B0EE4" w:rsidRPr="00780371">
        <w:t xml:space="preserve"> the inappropriate concomitant prescribing (and administration) of heparins and direct oral anticoagulants (DOACs).</w:t>
      </w:r>
      <w:r w:rsidR="00773A4F">
        <w:t xml:space="preserve"> A</w:t>
      </w:r>
      <w:r w:rsidR="004B0EE4" w:rsidRPr="00780371">
        <w:t>nticoagulant medicines</w:t>
      </w:r>
      <w:r w:rsidR="00773A4F">
        <w:t xml:space="preserve"> not being identified</w:t>
      </w:r>
      <w:r w:rsidR="004B0EE4" w:rsidRPr="00780371">
        <w:t xml:space="preserve"> within the DOAC group </w:t>
      </w:r>
      <w:r w:rsidR="00EB3E6F">
        <w:t xml:space="preserve">was </w:t>
      </w:r>
      <w:r w:rsidR="004B0EE4" w:rsidRPr="00780371">
        <w:t>anecdotally described as a contributing factor to this</w:t>
      </w:r>
      <w:r w:rsidR="005B0433">
        <w:t> </w:t>
      </w:r>
      <w:r w:rsidR="004B0EE4" w:rsidRPr="00780371">
        <w:t>problem.</w:t>
      </w:r>
    </w:p>
    <w:p w14:paraId="32DDF4F9" w14:textId="3F9A0E06" w:rsidR="004B0EE4" w:rsidRPr="00780371" w:rsidRDefault="004B0EE4" w:rsidP="004B0EE4">
      <w:r w:rsidRPr="00780371">
        <w:t>This report describes and quantifies incidents that have involved anticoagulants. Incidents have been captured from healthcare settings (primarily hospitals) in states a</w:t>
      </w:r>
      <w:r w:rsidR="00EB3E6F">
        <w:t>nd territories across Australia.</w:t>
      </w:r>
      <w:r w:rsidRPr="00780371">
        <w:t xml:space="preserve"> </w:t>
      </w:r>
    </w:p>
    <w:p w14:paraId="080BBFEA" w14:textId="681E2327" w:rsidR="004B0EE4" w:rsidRPr="00780371" w:rsidRDefault="004B0EE4" w:rsidP="00260C12">
      <w:r w:rsidRPr="00780371">
        <w:t xml:space="preserve">Data received </w:t>
      </w:r>
      <w:r>
        <w:t>by</w:t>
      </w:r>
      <w:r w:rsidRPr="00780371">
        <w:t xml:space="preserve"> the Commission</w:t>
      </w:r>
      <w:r w:rsidR="00EB3E6F">
        <w:t xml:space="preserve"> for the period July 2016 to June 2017</w:t>
      </w:r>
      <w:r w:rsidRPr="00780371">
        <w:t xml:space="preserve"> was reviewed and classified </w:t>
      </w:r>
      <w:r w:rsidRPr="00260C12">
        <w:t>according</w:t>
      </w:r>
      <w:r w:rsidRPr="00780371">
        <w:t xml:space="preserve"> to:</w:t>
      </w:r>
    </w:p>
    <w:p w14:paraId="45CE241D" w14:textId="77777777" w:rsidR="004B0EE4" w:rsidRPr="00260C12" w:rsidRDefault="004B0EE4" w:rsidP="00FC6ABE">
      <w:pPr>
        <w:pStyle w:val="ListParagraph"/>
        <w:numPr>
          <w:ilvl w:val="0"/>
          <w:numId w:val="14"/>
        </w:numPr>
      </w:pPr>
      <w:r>
        <w:t>M</w:t>
      </w:r>
      <w:r w:rsidRPr="00780371">
        <w:t xml:space="preserve">edicine </w:t>
      </w:r>
      <w:r w:rsidRPr="00260C12">
        <w:t>group (Direct oral anticoagulant {DOAC}, Heparin, Low Molecular Weight Heparin {LMWH}, Vitamin K antagonist and Factor Xa Inhibitor</w:t>
      </w:r>
      <w:r w:rsidRPr="00260C12">
        <w:rPr>
          <w:vertAlign w:val="superscript"/>
        </w:rPr>
        <w:footnoteReference w:id="1"/>
      </w:r>
      <w:r w:rsidRPr="00260C12">
        <w:t>)</w:t>
      </w:r>
    </w:p>
    <w:p w14:paraId="104C378B" w14:textId="77777777" w:rsidR="004B0EE4" w:rsidRPr="00260C12" w:rsidRDefault="004B0EE4" w:rsidP="00FC6ABE">
      <w:pPr>
        <w:pStyle w:val="ListParagraph"/>
        <w:numPr>
          <w:ilvl w:val="0"/>
          <w:numId w:val="14"/>
        </w:numPr>
      </w:pPr>
      <w:r w:rsidRPr="00260C12">
        <w:t xml:space="preserve">The medication management process in which the incident occurred (for example prescribing or administration) </w:t>
      </w:r>
    </w:p>
    <w:p w14:paraId="08D6C7E7" w14:textId="2E672518" w:rsidR="004B0EE4" w:rsidRPr="00780371" w:rsidRDefault="004B0EE4" w:rsidP="00FC6ABE">
      <w:pPr>
        <w:pStyle w:val="ListParagraph"/>
        <w:numPr>
          <w:ilvl w:val="0"/>
          <w:numId w:val="14"/>
        </w:numPr>
      </w:pPr>
      <w:r w:rsidRPr="00260C12">
        <w:t>Incident type</w:t>
      </w:r>
      <w:r>
        <w:t>.</w:t>
      </w:r>
    </w:p>
    <w:p w14:paraId="32BF9354" w14:textId="04F40F1F" w:rsidR="004B0EE4" w:rsidRPr="0017622D" w:rsidRDefault="004B0EE4" w:rsidP="004B0EE4">
      <w:r w:rsidRPr="00780371">
        <w:t xml:space="preserve">A total </w:t>
      </w:r>
      <w:r w:rsidRPr="0017622D">
        <w:t>of 3,58</w:t>
      </w:r>
      <w:r w:rsidR="00C76F54" w:rsidRPr="0017622D">
        <w:t>0</w:t>
      </w:r>
      <w:r w:rsidRPr="0017622D">
        <w:t xml:space="preserve"> incidents were submitted by states and territories. A random sample of 350 incidents was selected for analysis.</w:t>
      </w:r>
      <w:r w:rsidR="002D2E45">
        <w:t xml:space="preserve"> </w:t>
      </w:r>
      <w:r w:rsidRPr="0017622D">
        <w:t>Two of these incidents were excluded due to insufficient or irrelevant information.</w:t>
      </w:r>
      <w:r w:rsidR="002D2E45">
        <w:t xml:space="preserve"> </w:t>
      </w:r>
      <w:r w:rsidRPr="0017622D">
        <w:t>Western Australia (WA) Health provided a comprehensive report on anticoagulants for the reporting period and the Clinical Excellence Commission,</w:t>
      </w:r>
      <w:r w:rsidR="00773A4F">
        <w:t xml:space="preserve"> </w:t>
      </w:r>
      <w:r w:rsidRPr="0017622D">
        <w:t>provided a summary report for the 2013</w:t>
      </w:r>
      <w:r w:rsidR="00260C12">
        <w:t>–</w:t>
      </w:r>
      <w:r w:rsidRPr="0017622D">
        <w:t>2014 period</w:t>
      </w:r>
      <w:r w:rsidR="00773A4F">
        <w:t xml:space="preserve"> in addition to a data set</w:t>
      </w:r>
      <w:r w:rsidRPr="0017622D">
        <w:t xml:space="preserve">. </w:t>
      </w:r>
    </w:p>
    <w:p w14:paraId="7A83D002" w14:textId="7C7DFFC1" w:rsidR="004B0EE4" w:rsidRDefault="004B0EE4" w:rsidP="004B0EE4">
      <w:r w:rsidRPr="0017622D">
        <w:t>The Therapeutic Goods Administration (TGA) also provided information on anticoagulants at the Commission’s request. This data was analysed qualitatively as a separate cohort of incidents. Thirty of the reports were included for this analysis.</w:t>
      </w:r>
    </w:p>
    <w:p w14:paraId="2DCFDC68" w14:textId="21F4DBC6" w:rsidR="004568D1" w:rsidRDefault="00C21888" w:rsidP="004B0EE4">
      <w:r>
        <w:t xml:space="preserve">For prescribers, duplicate therapy was revealed as the most frequently occurring incident. For nursing staff however, omitted dose followed by </w:t>
      </w:r>
      <w:r w:rsidRPr="00AE5F73">
        <w:t>incorrect rate of administration were the two most frequent incident types respectively.</w:t>
      </w:r>
      <w:r w:rsidR="005B0433">
        <w:t xml:space="preserve"> </w:t>
      </w:r>
      <w:r w:rsidR="0093101A" w:rsidRPr="0017622D">
        <w:t>Following</w:t>
      </w:r>
      <w:r w:rsidR="009F1DCC" w:rsidRPr="0017622D">
        <w:t xml:space="preserve"> </w:t>
      </w:r>
      <w:r w:rsidR="0093101A" w:rsidRPr="0017622D">
        <w:t>completion of</w:t>
      </w:r>
      <w:r w:rsidR="009F1DCC" w:rsidRPr="0017622D">
        <w:t xml:space="preserve"> the analysis,</w:t>
      </w:r>
      <w:r w:rsidR="002671D3" w:rsidRPr="0017622D">
        <w:t xml:space="preserve"> the </w:t>
      </w:r>
      <w:r w:rsidR="000C2216" w:rsidRPr="0017622D">
        <w:t xml:space="preserve">preliminary </w:t>
      </w:r>
      <w:r w:rsidR="009F1DCC" w:rsidRPr="0017622D">
        <w:t>findings</w:t>
      </w:r>
      <w:r w:rsidR="009F1DCC">
        <w:t xml:space="preserve"> </w:t>
      </w:r>
      <w:r w:rsidR="004568D1">
        <w:t xml:space="preserve">were presented </w:t>
      </w:r>
      <w:r w:rsidR="002671D3">
        <w:t xml:space="preserve">and </w:t>
      </w:r>
      <w:r w:rsidR="00B34073">
        <w:t xml:space="preserve">potential recommendations </w:t>
      </w:r>
      <w:r w:rsidR="004568D1">
        <w:t>discussed at meetings 41 (June 2019) and 44 (March 2020) of the Health Services Medication Expert Advisory Group (HSMEAG). In addition,</w:t>
      </w:r>
      <w:r w:rsidR="00B162E8">
        <w:t xml:space="preserve"> during </w:t>
      </w:r>
      <w:r w:rsidR="00965524">
        <w:t xml:space="preserve">2018 and </w:t>
      </w:r>
      <w:r w:rsidR="00B162E8">
        <w:t>2019</w:t>
      </w:r>
      <w:r w:rsidR="0073333A">
        <w:t xml:space="preserve"> candidate </w:t>
      </w:r>
      <w:r w:rsidR="0016708A">
        <w:t>anticoagulant stewardship</w:t>
      </w:r>
      <w:r w:rsidR="0073333A">
        <w:t xml:space="preserve"> strategies were proposed</w:t>
      </w:r>
      <w:r w:rsidR="0016708A">
        <w:t>,</w:t>
      </w:r>
      <w:r w:rsidR="0073333A">
        <w:t xml:space="preserve"> and</w:t>
      </w:r>
      <w:r w:rsidR="004568D1">
        <w:t xml:space="preserve"> HSMEAG state and territory representatives were individually interviewed regarding the current situation relating to:</w:t>
      </w:r>
    </w:p>
    <w:p w14:paraId="1A47490A" w14:textId="49A007A8" w:rsidR="0093101A" w:rsidRDefault="00773A4F" w:rsidP="00FC6ABE">
      <w:pPr>
        <w:pStyle w:val="ListParagraph"/>
        <w:numPr>
          <w:ilvl w:val="0"/>
          <w:numId w:val="9"/>
        </w:numPr>
      </w:pPr>
      <w:r>
        <w:t>t</w:t>
      </w:r>
      <w:r w:rsidR="0093101A">
        <w:t>he proposed recommendations</w:t>
      </w:r>
    </w:p>
    <w:p w14:paraId="3BC9D482" w14:textId="1B5291DF" w:rsidR="004568D1" w:rsidRDefault="00773A4F" w:rsidP="00FC6ABE">
      <w:pPr>
        <w:pStyle w:val="ListParagraph"/>
        <w:numPr>
          <w:ilvl w:val="0"/>
          <w:numId w:val="9"/>
        </w:numPr>
      </w:pPr>
      <w:r>
        <w:t>o</w:t>
      </w:r>
      <w:r w:rsidR="004568D1">
        <w:t>ngoing incidence and nature of incidents involving</w:t>
      </w:r>
      <w:r w:rsidR="004568D1" w:rsidRPr="004568D1">
        <w:t xml:space="preserve"> </w:t>
      </w:r>
      <w:r w:rsidR="004568D1">
        <w:t>anticoagulant medicines</w:t>
      </w:r>
    </w:p>
    <w:p w14:paraId="48EA4AD4" w14:textId="49B2E9AF" w:rsidR="004568D1" w:rsidRDefault="00773A4F" w:rsidP="00FC6ABE">
      <w:pPr>
        <w:pStyle w:val="ListParagraph"/>
        <w:numPr>
          <w:ilvl w:val="0"/>
          <w:numId w:val="9"/>
        </w:numPr>
      </w:pPr>
      <w:r>
        <w:t>d</w:t>
      </w:r>
      <w:r w:rsidR="004568D1">
        <w:t>evelopment of resources or</w:t>
      </w:r>
      <w:r w:rsidR="00965524">
        <w:t xml:space="preserve"> implementation of</w:t>
      </w:r>
      <w:r w:rsidR="004568D1">
        <w:t xml:space="preserve"> initiatives to support safe prescribing</w:t>
      </w:r>
      <w:r w:rsidR="000C2216">
        <w:t xml:space="preserve"> and management</w:t>
      </w:r>
      <w:r w:rsidR="004568D1">
        <w:t xml:space="preserve"> of anticoagulant medicines</w:t>
      </w:r>
      <w:r w:rsidR="0093101A">
        <w:t>, including stewardship programs</w:t>
      </w:r>
    </w:p>
    <w:p w14:paraId="5F458B6B" w14:textId="6FBBB7F6" w:rsidR="004568D1" w:rsidRDefault="00773A4F" w:rsidP="00FC6ABE">
      <w:pPr>
        <w:pStyle w:val="ListParagraph"/>
        <w:numPr>
          <w:ilvl w:val="0"/>
          <w:numId w:val="9"/>
        </w:numPr>
      </w:pPr>
      <w:r>
        <w:t>c</w:t>
      </w:r>
      <w:r w:rsidR="004568D1">
        <w:t>hallenges faced with implementation or uptake of local or national initiatives.</w:t>
      </w:r>
    </w:p>
    <w:p w14:paraId="0A027100" w14:textId="0F8D4CF5" w:rsidR="009F1DCC" w:rsidRDefault="004568D1" w:rsidP="00260C12">
      <w:r>
        <w:lastRenderedPageBreak/>
        <w:t>F</w:t>
      </w:r>
      <w:r w:rsidR="002671D3">
        <w:t>eedback from</w:t>
      </w:r>
      <w:r w:rsidR="009F1DCC">
        <w:t xml:space="preserve"> </w:t>
      </w:r>
      <w:r>
        <w:t xml:space="preserve">HSMEAG along with state and territory interviews has been </w:t>
      </w:r>
      <w:r w:rsidR="00C119C5">
        <w:t xml:space="preserve">incorporated and summarised. The information within </w:t>
      </w:r>
      <w:r w:rsidR="00C119C5" w:rsidRPr="006E367B">
        <w:rPr>
          <w:b/>
        </w:rPr>
        <w:t>A</w:t>
      </w:r>
      <w:r w:rsidR="003668F9" w:rsidRPr="006E367B">
        <w:rPr>
          <w:b/>
        </w:rPr>
        <w:t xml:space="preserve">ppendix </w:t>
      </w:r>
      <w:r w:rsidR="00773A4F">
        <w:rPr>
          <w:b/>
        </w:rPr>
        <w:t>2</w:t>
      </w:r>
      <w:r w:rsidR="00C119C5">
        <w:t xml:space="preserve"> provides details of various resources and initiatives that </w:t>
      </w:r>
      <w:r w:rsidR="0093101A">
        <w:t xml:space="preserve">have been developed, and </w:t>
      </w:r>
      <w:r w:rsidR="00C119C5">
        <w:t xml:space="preserve">are available nationally as well as within the various states and territories. </w:t>
      </w:r>
      <w:r w:rsidR="00B162E8">
        <w:t>Relevant material collated on anticoagulants during the development of Australia’</w:t>
      </w:r>
      <w:r w:rsidR="003A32F9">
        <w:t>s</w:t>
      </w:r>
      <w:r w:rsidR="00B162E8">
        <w:t xml:space="preserve"> response to the </w:t>
      </w:r>
      <w:r w:rsidR="00B162E8" w:rsidRPr="00B85656">
        <w:rPr>
          <w:i/>
        </w:rPr>
        <w:t>WHO Global patient safety challenge: Medication without harm</w:t>
      </w:r>
      <w:r w:rsidR="00B162E8">
        <w:t xml:space="preserve"> has also been included. </w:t>
      </w:r>
      <w:r w:rsidR="00C119C5">
        <w:t xml:space="preserve">It was considered that these resources were </w:t>
      </w:r>
      <w:r w:rsidR="00B162E8">
        <w:t xml:space="preserve">all very </w:t>
      </w:r>
      <w:r w:rsidR="00C119C5">
        <w:t xml:space="preserve">useful </w:t>
      </w:r>
      <w:r w:rsidR="00B162E8">
        <w:t>in</w:t>
      </w:r>
      <w:r w:rsidR="00A3234F">
        <w:t xml:space="preserve"> support</w:t>
      </w:r>
      <w:r w:rsidR="00B162E8">
        <w:t>ing</w:t>
      </w:r>
      <w:r w:rsidR="00A3234F">
        <w:t xml:space="preserve"> local anticoagulant stewardship efforts.</w:t>
      </w:r>
      <w:r w:rsidR="00B162E8">
        <w:t xml:space="preserve"> </w:t>
      </w:r>
    </w:p>
    <w:p w14:paraId="1AB5BA69" w14:textId="77777777" w:rsidR="000D0969" w:rsidRDefault="00C119C5" w:rsidP="005A1CED">
      <w:r>
        <w:t xml:space="preserve">Some of the main themes </w:t>
      </w:r>
      <w:r w:rsidR="000C2216">
        <w:t>identified that could</w:t>
      </w:r>
      <w:r>
        <w:t xml:space="preserve"> assist with mitigation of anticoagulant prescribing risks</w:t>
      </w:r>
      <w:r w:rsidR="000D0969">
        <w:t xml:space="preserve"> include:</w:t>
      </w:r>
    </w:p>
    <w:p w14:paraId="48BD0478" w14:textId="3ACE1EC2" w:rsidR="000C2216" w:rsidRDefault="00773A4F" w:rsidP="00FC6ABE">
      <w:pPr>
        <w:pStyle w:val="ListParagraph"/>
        <w:numPr>
          <w:ilvl w:val="0"/>
          <w:numId w:val="10"/>
        </w:numPr>
      </w:pPr>
      <w:r>
        <w:t>i</w:t>
      </w:r>
      <w:r w:rsidR="000C2216">
        <w:t>mplementation of electronic medication management (EMM)</w:t>
      </w:r>
      <w:r>
        <w:t xml:space="preserve"> systems</w:t>
      </w:r>
    </w:p>
    <w:p w14:paraId="16613D86" w14:textId="107EC475" w:rsidR="000C2216" w:rsidRDefault="00773A4F" w:rsidP="00FC6ABE">
      <w:pPr>
        <w:pStyle w:val="ListParagraph"/>
        <w:numPr>
          <w:ilvl w:val="0"/>
          <w:numId w:val="10"/>
        </w:numPr>
      </w:pPr>
      <w:r>
        <w:t>m</w:t>
      </w:r>
      <w:r w:rsidR="000C2216">
        <w:t>odification of the national standard medication charts to:</w:t>
      </w:r>
    </w:p>
    <w:p w14:paraId="2B81ED8F" w14:textId="308640B2" w:rsidR="000C2216" w:rsidRDefault="005A1CED" w:rsidP="00FC6ABE">
      <w:pPr>
        <w:pStyle w:val="ListParagraph"/>
        <w:numPr>
          <w:ilvl w:val="1"/>
          <w:numId w:val="10"/>
        </w:numPr>
      </w:pPr>
      <w:r>
        <w:t>a</w:t>
      </w:r>
      <w:r w:rsidR="000C2216">
        <w:t>ccommodate an anticoagulant management section, or</w:t>
      </w:r>
    </w:p>
    <w:p w14:paraId="32836369" w14:textId="48A1473B" w:rsidR="000C2216" w:rsidRDefault="005A1CED" w:rsidP="00FC6ABE">
      <w:pPr>
        <w:pStyle w:val="ListParagraph"/>
        <w:numPr>
          <w:ilvl w:val="1"/>
          <w:numId w:val="10"/>
        </w:numPr>
      </w:pPr>
      <w:r>
        <w:t>d</w:t>
      </w:r>
      <w:r w:rsidR="000C2216">
        <w:t>evelop a separate anticoagulant chart</w:t>
      </w:r>
    </w:p>
    <w:p w14:paraId="75899286" w14:textId="6A437705" w:rsidR="000C2216" w:rsidRDefault="00773A4F" w:rsidP="00FC6ABE">
      <w:pPr>
        <w:pStyle w:val="ListParagraph"/>
        <w:numPr>
          <w:ilvl w:val="0"/>
          <w:numId w:val="10"/>
        </w:numPr>
      </w:pPr>
      <w:r>
        <w:t>i</w:t>
      </w:r>
      <w:r w:rsidR="000C2216">
        <w:t>ntroduction of an anticoagulant stewardship program</w:t>
      </w:r>
    </w:p>
    <w:p w14:paraId="39C727A6" w14:textId="3939F5B3" w:rsidR="000C2216" w:rsidRDefault="00773A4F" w:rsidP="00FC6ABE">
      <w:pPr>
        <w:pStyle w:val="ListParagraph"/>
        <w:numPr>
          <w:ilvl w:val="0"/>
          <w:numId w:val="10"/>
        </w:numPr>
      </w:pPr>
      <w:r>
        <w:t>s</w:t>
      </w:r>
      <w:r w:rsidR="000C2216">
        <w:t>upport and guidance regarding suitable indicators.</w:t>
      </w:r>
    </w:p>
    <w:p w14:paraId="2848E6A5" w14:textId="2B1DA5E8" w:rsidR="00C119C5" w:rsidRDefault="00A3234F" w:rsidP="005A1CED">
      <w:r>
        <w:t>Whilst it was noted t</w:t>
      </w:r>
      <w:r w:rsidR="000C2216">
        <w:t>hat EMM</w:t>
      </w:r>
      <w:r>
        <w:t xml:space="preserve"> was being implemented or in use in </w:t>
      </w:r>
      <w:r w:rsidR="000D0969">
        <w:t>many</w:t>
      </w:r>
      <w:r>
        <w:t xml:space="preserve"> states and territories</w:t>
      </w:r>
      <w:r w:rsidR="000C2216">
        <w:t xml:space="preserve"> already</w:t>
      </w:r>
      <w:r>
        <w:t>,</w:t>
      </w:r>
      <w:r w:rsidR="00773A4F">
        <w:t xml:space="preserve"> </w:t>
      </w:r>
      <w:r w:rsidR="0093101A">
        <w:t>WA and Tasmania</w:t>
      </w:r>
      <w:r w:rsidR="00F61536">
        <w:t xml:space="preserve"> </w:t>
      </w:r>
      <w:r w:rsidR="00674D75">
        <w:t>expressed the need for a localised solution involving a paper-based chart</w:t>
      </w:r>
      <w:r w:rsidRPr="00155DFF">
        <w:t>.</w:t>
      </w:r>
      <w:r w:rsidR="002D2E45">
        <w:t xml:space="preserve"> </w:t>
      </w:r>
      <w:r w:rsidR="00155DFF" w:rsidRPr="00155DFF">
        <w:t>WA reported that they developed and have been using their own specialised paper-based medication chart for the prescribing of anticoagulants since 2011</w:t>
      </w:r>
      <w:r>
        <w:t>. Tasmania advised that they will continue using the National Inpatient Medication Chart (NIMC) for the foreseeable future</w:t>
      </w:r>
      <w:r w:rsidR="00674D75">
        <w:t>.</w:t>
      </w:r>
      <w:r>
        <w:t xml:space="preserve"> </w:t>
      </w:r>
    </w:p>
    <w:p w14:paraId="53C60FB5" w14:textId="2DF70417" w:rsidR="00740F0C" w:rsidRDefault="00740F0C" w:rsidP="005A1CED">
      <w:pPr>
        <w:spacing w:after="240"/>
      </w:pPr>
      <w:r>
        <w:t>As a result of the incident analysis and other findings</w:t>
      </w:r>
      <w:r w:rsidR="003A32F9">
        <w:t>,</w:t>
      </w:r>
      <w:r>
        <w:t xml:space="preserve"> the following recommendations have been made:</w:t>
      </w:r>
    </w:p>
    <w:p w14:paraId="536E882E" w14:textId="0648EDAB" w:rsidR="00740F0C" w:rsidRPr="00740F0C" w:rsidRDefault="00740F0C" w:rsidP="00FC6ABE">
      <w:pPr>
        <w:pStyle w:val="ListParagraph"/>
        <w:numPr>
          <w:ilvl w:val="0"/>
          <w:numId w:val="15"/>
        </w:numPr>
        <w:ind w:left="2551" w:hanging="2194"/>
        <w:contextualSpacing w:val="0"/>
      </w:pPr>
      <w:r w:rsidRPr="005A1CED">
        <w:rPr>
          <w:bCs/>
        </w:rPr>
        <w:t>Review and implement education programs for clinicians on incident management systems and the importance of data quality</w:t>
      </w:r>
    </w:p>
    <w:p w14:paraId="36D26D1F" w14:textId="506397F9" w:rsidR="00740F0C" w:rsidRPr="00740F0C" w:rsidRDefault="00740F0C" w:rsidP="00FC6ABE">
      <w:pPr>
        <w:pStyle w:val="ListParagraph"/>
        <w:numPr>
          <w:ilvl w:val="0"/>
          <w:numId w:val="15"/>
        </w:numPr>
        <w:ind w:left="2551" w:hanging="2194"/>
        <w:contextualSpacing w:val="0"/>
      </w:pPr>
      <w:r w:rsidRPr="00740F0C">
        <w:t xml:space="preserve">Implement </w:t>
      </w:r>
      <w:r w:rsidR="00674D75">
        <w:t>m</w:t>
      </w:r>
      <w:r w:rsidRPr="00740F0C">
        <w:t xml:space="preserve">edication </w:t>
      </w:r>
      <w:r w:rsidR="00674D75">
        <w:t>r</w:t>
      </w:r>
      <w:r w:rsidRPr="00740F0C">
        <w:t>eview as outlined in</w:t>
      </w:r>
      <w:r w:rsidR="00674D75">
        <w:t xml:space="preserve"> Action 4.10 of the</w:t>
      </w:r>
      <w:r w:rsidR="00F61536">
        <w:t xml:space="preserve"> </w:t>
      </w:r>
      <w:r w:rsidRPr="00740F0C">
        <w:t>N</w:t>
      </w:r>
      <w:r w:rsidR="00674D75">
        <w:t xml:space="preserve">ational </w:t>
      </w:r>
      <w:r w:rsidRPr="00740F0C">
        <w:t>S</w:t>
      </w:r>
      <w:r w:rsidR="00674D75">
        <w:t xml:space="preserve">afety and </w:t>
      </w:r>
      <w:r w:rsidRPr="00740F0C">
        <w:t>Q</w:t>
      </w:r>
      <w:r w:rsidR="00674D75">
        <w:t xml:space="preserve">uality </w:t>
      </w:r>
      <w:r w:rsidRPr="00740F0C">
        <w:t>H</w:t>
      </w:r>
      <w:r w:rsidR="00674D75">
        <w:t xml:space="preserve">ealth </w:t>
      </w:r>
      <w:r w:rsidRPr="00740F0C">
        <w:t>S</w:t>
      </w:r>
      <w:r w:rsidR="00674D75">
        <w:t>ervice</w:t>
      </w:r>
      <w:r w:rsidRPr="00740F0C">
        <w:t xml:space="preserve"> Medication Safety Standard</w:t>
      </w:r>
      <w:r w:rsidR="002F5AD6">
        <w:t xml:space="preserve"> </w:t>
      </w:r>
      <w:r w:rsidR="00BE2B85" w:rsidRPr="005A1CED">
        <w:rPr>
          <w:color w:val="000000"/>
          <w:szCs w:val="20"/>
        </w:rPr>
        <w:t xml:space="preserve">and enhance local or state/territory resources </w:t>
      </w:r>
      <w:r w:rsidR="00340250" w:rsidRPr="005A1CED">
        <w:rPr>
          <w:color w:val="000000"/>
          <w:szCs w:val="20"/>
        </w:rPr>
        <w:t>reflecting on case studies and</w:t>
      </w:r>
      <w:r w:rsidR="00BE2B85" w:rsidRPr="005A1CED">
        <w:rPr>
          <w:color w:val="000000"/>
          <w:szCs w:val="20"/>
        </w:rPr>
        <w:t xml:space="preserve"> lessons learned</w:t>
      </w:r>
    </w:p>
    <w:p w14:paraId="3E6EEBE7" w14:textId="77777777" w:rsidR="003F234E" w:rsidRDefault="00740F0C" w:rsidP="00FC6ABE">
      <w:pPr>
        <w:pStyle w:val="ListParagraph"/>
        <w:numPr>
          <w:ilvl w:val="0"/>
          <w:numId w:val="15"/>
        </w:numPr>
        <w:ind w:left="2551" w:hanging="2194"/>
        <w:contextualSpacing w:val="0"/>
      </w:pPr>
      <w:r>
        <w:t>Continue to implement and optimise</w:t>
      </w:r>
      <w:r w:rsidRPr="00740F0C">
        <w:t xml:space="preserve"> electronic medication management systems to facilitate the identification and prevention of missed doses, incorrect doses and duplicate therapy orders</w:t>
      </w:r>
    </w:p>
    <w:p w14:paraId="2DEF7A8B" w14:textId="13B5BF0C" w:rsidR="00740F0C" w:rsidRPr="00780371" w:rsidRDefault="00740F0C" w:rsidP="00FC6ABE">
      <w:pPr>
        <w:pStyle w:val="ListParagraph"/>
        <w:numPr>
          <w:ilvl w:val="0"/>
          <w:numId w:val="15"/>
        </w:numPr>
        <w:ind w:left="2551" w:hanging="2194"/>
        <w:contextualSpacing w:val="0"/>
      </w:pPr>
      <w:r>
        <w:t>Commission to partner with Tasmania on a suitable hard-copy solution, including potential modification of the National Inpatient Medication Chart (NIMC).</w:t>
      </w:r>
    </w:p>
    <w:p w14:paraId="0FC50B88" w14:textId="77777777" w:rsidR="00B34073" w:rsidRDefault="00B34073">
      <w:pPr>
        <w:spacing w:after="80"/>
        <w:rPr>
          <w:rFonts w:cs="Arial"/>
          <w:b/>
          <w:iCs/>
          <w:color w:val="1178A2"/>
          <w:kern w:val="28"/>
          <w:sz w:val="36"/>
          <w:szCs w:val="28"/>
        </w:rPr>
      </w:pPr>
      <w:r>
        <w:rPr>
          <w:sz w:val="36"/>
        </w:rPr>
        <w:br w:type="page"/>
      </w:r>
    </w:p>
    <w:p w14:paraId="15580DBE" w14:textId="5FB72873" w:rsidR="00EE6269" w:rsidRPr="00395C61" w:rsidRDefault="00EE6269" w:rsidP="00395C61">
      <w:pPr>
        <w:pStyle w:val="Heading1"/>
      </w:pPr>
      <w:bookmarkStart w:id="10" w:name="_Toc80021269"/>
      <w:r w:rsidRPr="00395C61">
        <w:lastRenderedPageBreak/>
        <w:t>Incident data analysis</w:t>
      </w:r>
      <w:bookmarkEnd w:id="10"/>
    </w:p>
    <w:p w14:paraId="6E13E160" w14:textId="5138360F" w:rsidR="004B0EE4" w:rsidRPr="001A43EC" w:rsidRDefault="00395C61" w:rsidP="00395C61">
      <w:pPr>
        <w:pStyle w:val="Heading2"/>
      </w:pPr>
      <w:bookmarkStart w:id="11" w:name="_Toc80021270"/>
      <w:r>
        <w:t xml:space="preserve">1. </w:t>
      </w:r>
      <w:r w:rsidR="005F03A5">
        <w:t>Summary of f</w:t>
      </w:r>
      <w:r w:rsidR="004B0EE4" w:rsidRPr="001A43EC">
        <w:t>indings</w:t>
      </w:r>
      <w:bookmarkEnd w:id="11"/>
    </w:p>
    <w:p w14:paraId="0BBA184A" w14:textId="1359675C" w:rsidR="004B0EE4" w:rsidRPr="001A43EC" w:rsidRDefault="004B0EE4" w:rsidP="009D143F">
      <w:pPr>
        <w:pStyle w:val="Heading3"/>
      </w:pPr>
      <w:bookmarkStart w:id="12" w:name="_Toc80021271"/>
      <w:r>
        <w:t xml:space="preserve">National (state </w:t>
      </w:r>
      <w:r w:rsidR="009D143F">
        <w:t>and</w:t>
      </w:r>
      <w:r>
        <w:t xml:space="preserve"> territory)</w:t>
      </w:r>
      <w:r w:rsidRPr="001A43EC">
        <w:t xml:space="preserve"> incident data</w:t>
      </w:r>
      <w:bookmarkEnd w:id="12"/>
    </w:p>
    <w:p w14:paraId="7D427E75" w14:textId="6C825034" w:rsidR="004B0EE4" w:rsidRPr="00E93A21" w:rsidRDefault="004B0EE4" w:rsidP="00FC6ABE">
      <w:pPr>
        <w:pStyle w:val="ListParagraph"/>
        <w:numPr>
          <w:ilvl w:val="0"/>
          <w:numId w:val="16"/>
        </w:numPr>
      </w:pPr>
      <w:r>
        <w:t>O</w:t>
      </w:r>
      <w:r w:rsidRPr="00780371">
        <w:t xml:space="preserve">mitted dose </w:t>
      </w:r>
      <w:r w:rsidRPr="00E93A21">
        <w:t>was the most frequently reported incident type (72 incidents out of 348) followed by incorrect dose (24 incidents out of 348) and duplicate therapy (23</w:t>
      </w:r>
      <w:r w:rsidR="00F54D9A">
        <w:t> </w:t>
      </w:r>
      <w:r w:rsidRPr="00E93A21">
        <w:t>incidents out of 348)</w:t>
      </w:r>
    </w:p>
    <w:p w14:paraId="7AFA5BD1" w14:textId="482E4719" w:rsidR="004B0EE4" w:rsidRPr="00E93A21" w:rsidRDefault="004B0EE4" w:rsidP="00FC6ABE">
      <w:pPr>
        <w:pStyle w:val="ListParagraph"/>
        <w:numPr>
          <w:ilvl w:val="0"/>
          <w:numId w:val="16"/>
        </w:numPr>
      </w:pPr>
      <w:r w:rsidRPr="00E93A21">
        <w:t>Duplicate therapy was the top prescribing</w:t>
      </w:r>
      <w:r w:rsidRPr="00E93A21">
        <w:rPr>
          <w:b/>
        </w:rPr>
        <w:t xml:space="preserve"> </w:t>
      </w:r>
      <w:r w:rsidRPr="00E93A21">
        <w:t>incident reported nationally (2</w:t>
      </w:r>
      <w:r w:rsidR="006E367B" w:rsidRPr="00E93A21">
        <w:t>2 incidents out of 115</w:t>
      </w:r>
      <w:r w:rsidRPr="00E93A21">
        <w:t>) with 13 of the 2</w:t>
      </w:r>
      <w:r w:rsidR="006E367B" w:rsidRPr="00E93A21">
        <w:t>2</w:t>
      </w:r>
      <w:r w:rsidRPr="00E93A21">
        <w:t xml:space="preserve"> prescribing incidents involving a DOAC with heparin or enoxaparin. Eleven of these incidents involved subsequent administration to the</w:t>
      </w:r>
      <w:r w:rsidR="00827C89">
        <w:t> </w:t>
      </w:r>
      <w:r w:rsidRPr="00E93A21">
        <w:t>patient</w:t>
      </w:r>
    </w:p>
    <w:p w14:paraId="71A150F1" w14:textId="401142AE" w:rsidR="004B0EE4" w:rsidRPr="00E93A21" w:rsidRDefault="004B0EE4" w:rsidP="00FC6ABE">
      <w:pPr>
        <w:pStyle w:val="ListParagraph"/>
        <w:numPr>
          <w:ilvl w:val="0"/>
          <w:numId w:val="16"/>
        </w:numPr>
      </w:pPr>
      <w:r w:rsidRPr="00E93A21">
        <w:t xml:space="preserve">Rivaroxaban was implicated in </w:t>
      </w:r>
      <w:r w:rsidR="005E652F" w:rsidRPr="00E93A21">
        <w:t xml:space="preserve">half </w:t>
      </w:r>
      <w:r w:rsidRPr="00E93A21">
        <w:t>of</w:t>
      </w:r>
      <w:r w:rsidR="005E652F" w:rsidRPr="00E93A21">
        <w:t xml:space="preserve"> all</w:t>
      </w:r>
      <w:r w:rsidRPr="00E93A21">
        <w:t xml:space="preserve"> incidents involving DOACs (25 incidents out of 50), closely followed by apixaban (23 incidents out of 50). The most common incident involving DOACs was inappropriate concomitant prescribing with another anticoagulant (15 incidents out of 50), typically heparin or enoxaparin</w:t>
      </w:r>
    </w:p>
    <w:p w14:paraId="54AB1CAB" w14:textId="77777777" w:rsidR="004B0EE4" w:rsidRPr="00780371" w:rsidRDefault="004B0EE4" w:rsidP="00FC6ABE">
      <w:pPr>
        <w:pStyle w:val="ListParagraph"/>
        <w:numPr>
          <w:ilvl w:val="0"/>
          <w:numId w:val="16"/>
        </w:numPr>
      </w:pPr>
      <w:r w:rsidRPr="00E93A21">
        <w:t>Data quality in these reports was problematic. Importantly, ‘unclear’ was assigned to 11 of the 348 incidents analysed. This number represents missed opportunities for meaningful additions to the collective knowledge</w:t>
      </w:r>
      <w:r w:rsidRPr="00780371">
        <w:t xml:space="preserve"> and understanding of anticoagulant incidents and how problems involving th</w:t>
      </w:r>
      <w:r>
        <w:t>ese medicines may be addressed</w:t>
      </w:r>
    </w:p>
    <w:p w14:paraId="4377B459" w14:textId="77777777" w:rsidR="004B0EE4" w:rsidRDefault="004B0EE4" w:rsidP="00FC6ABE">
      <w:pPr>
        <w:pStyle w:val="ListParagraph"/>
        <w:numPr>
          <w:ilvl w:val="0"/>
          <w:numId w:val="16"/>
        </w:numPr>
      </w:pPr>
      <w:r w:rsidRPr="00751271">
        <w:t>‘Near miss’</w:t>
      </w:r>
      <w:r>
        <w:rPr>
          <w:rStyle w:val="FootnoteReference"/>
        </w:rPr>
        <w:footnoteReference w:id="2"/>
      </w:r>
      <w:r>
        <w:t xml:space="preserve"> </w:t>
      </w:r>
      <w:r w:rsidRPr="00751271">
        <w:t>incidents were not clearly articulated in the data limiting opportunities for prospective solutions to be implemented and mitigate known risks</w:t>
      </w:r>
    </w:p>
    <w:p w14:paraId="624E8735" w14:textId="77777777" w:rsidR="004B0EE4" w:rsidRPr="00751271" w:rsidRDefault="004B0EE4" w:rsidP="00FC6ABE">
      <w:pPr>
        <w:pStyle w:val="ListParagraph"/>
        <w:numPr>
          <w:ilvl w:val="0"/>
          <w:numId w:val="16"/>
        </w:numPr>
      </w:pPr>
      <w:r w:rsidRPr="00E93A21">
        <w:t>Heparins were the largest group of medicines implicated in incidents analysed for this report (115 incidents out of 348). Upon</w:t>
      </w:r>
      <w:r>
        <w:t xml:space="preserve"> review of the information entered, it is clear that medication management processes around use of unfractionated heparin are many and complicated and these are easily confused. Clear and consistent communication is required to accurately prescribe, monitor and administer heparins. Workflows relating to administration and documentation need to be addressed to improve medicines safety.</w:t>
      </w:r>
    </w:p>
    <w:p w14:paraId="79A5E407" w14:textId="01D5C406" w:rsidR="004B0EE4" w:rsidRDefault="004B0EE4" w:rsidP="00FB495E">
      <w:r w:rsidRPr="00780371">
        <w:t>While potential causative/contributing factors were considered during data analysis, the paucity of information did not allow these results to be included with the degree of confidence required for this report. However, a report provided by WA Health identified the top three causative/contributing factors: not checking properly (ensures application of medic</w:t>
      </w:r>
      <w:r>
        <w:t xml:space="preserve">ation administration ‘rights’); </w:t>
      </w:r>
      <w:r w:rsidRPr="00780371">
        <w:t>poor documentation</w:t>
      </w:r>
      <w:r>
        <w:t>;</w:t>
      </w:r>
      <w:r w:rsidRPr="00780371">
        <w:t xml:space="preserve"> and lack of clinical handover.</w:t>
      </w:r>
      <w:r w:rsidR="002D2E45">
        <w:t xml:space="preserve"> </w:t>
      </w:r>
      <w:r w:rsidRPr="00780371">
        <w:t xml:space="preserve">Although these </w:t>
      </w:r>
      <w:r>
        <w:t>findings</w:t>
      </w:r>
      <w:r w:rsidRPr="00780371">
        <w:t xml:space="preserve"> are not </w:t>
      </w:r>
      <w:r>
        <w:t xml:space="preserve">derived from </w:t>
      </w:r>
      <w:r w:rsidRPr="00780371">
        <w:t>national</w:t>
      </w:r>
      <w:r>
        <w:t xml:space="preserve"> data</w:t>
      </w:r>
      <w:r w:rsidRPr="00780371">
        <w:t xml:space="preserve">, they provide sound indication of what can be seen at </w:t>
      </w:r>
      <w:r w:rsidR="00EB3E6F">
        <w:t xml:space="preserve">a </w:t>
      </w:r>
      <w:r w:rsidRPr="00780371">
        <w:t>national level.</w:t>
      </w:r>
      <w:r w:rsidR="002D2E45">
        <w:t xml:space="preserve"> </w:t>
      </w:r>
    </w:p>
    <w:p w14:paraId="6C29D055" w14:textId="259BC9B4" w:rsidR="004B0EE4" w:rsidRPr="001A43EC" w:rsidRDefault="004B0EE4" w:rsidP="00627A2F">
      <w:pPr>
        <w:pStyle w:val="Heading3"/>
      </w:pPr>
      <w:bookmarkStart w:id="13" w:name="_Toc80021272"/>
      <w:r w:rsidRPr="001A43EC">
        <w:t>TGA adverse event data</w:t>
      </w:r>
      <w:bookmarkEnd w:id="13"/>
    </w:p>
    <w:p w14:paraId="1B2A4D62" w14:textId="77777777" w:rsidR="002B4671" w:rsidRDefault="004B0EE4" w:rsidP="00C41DB0">
      <w:r w:rsidRPr="00780371">
        <w:t>Information supplied by the TGA detailed adverse events experienced by patients</w:t>
      </w:r>
      <w:r>
        <w:t>. This</w:t>
      </w:r>
      <w:r w:rsidRPr="00780371">
        <w:t xml:space="preserve"> included severe if not fatal bleeding-related outcomes</w:t>
      </w:r>
      <w:r>
        <w:t xml:space="preserve"> such as</w:t>
      </w:r>
      <w:r w:rsidRPr="00780371">
        <w:t xml:space="preserve"> sub-arachnoid haemorrhaging, gastro-intestinal haemorrhaging, epistaxis and haematomas. Other outcomes for patients included increased bleeding risks </w:t>
      </w:r>
      <w:r>
        <w:t>due to</w:t>
      </w:r>
      <w:r w:rsidRPr="00780371">
        <w:t xml:space="preserve"> high International Normalised </w:t>
      </w:r>
      <w:r>
        <w:t>Ratios (INR) when on warfarin, heparin-induced thrombocytopenia</w:t>
      </w:r>
      <w:r w:rsidRPr="00780371">
        <w:t xml:space="preserve"> and pruritic rashes. </w:t>
      </w:r>
    </w:p>
    <w:p w14:paraId="09BB1ACD" w14:textId="4E2E1AF8" w:rsidR="005F03A5" w:rsidRPr="002B4671" w:rsidRDefault="004B0EE4" w:rsidP="00C41DB0">
      <w:r w:rsidRPr="00780371">
        <w:lastRenderedPageBreak/>
        <w:t>Given the limited descriptions and complexity of the cases reported, it was not possible or appropriate to classify this information in the manner applied to state</w:t>
      </w:r>
      <w:r>
        <w:t xml:space="preserve"> and territory</w:t>
      </w:r>
      <w:r w:rsidRPr="00780371">
        <w:t xml:space="preserve">-based </w:t>
      </w:r>
      <w:r>
        <w:t>data</w:t>
      </w:r>
      <w:r w:rsidRPr="00780371">
        <w:t>. The TGA reports highlight</w:t>
      </w:r>
      <w:r w:rsidR="00EB3E6F">
        <w:t>ed</w:t>
      </w:r>
      <w:r w:rsidRPr="00780371">
        <w:t xml:space="preserve"> the complex nature of care for some patients and the severity of the potential risks involved. </w:t>
      </w:r>
    </w:p>
    <w:p w14:paraId="31B8751E" w14:textId="586E3AB3" w:rsidR="00F34D63" w:rsidRPr="00C41DB0" w:rsidRDefault="00C41DB0" w:rsidP="00C41DB0">
      <w:pPr>
        <w:pStyle w:val="Heading2"/>
      </w:pPr>
      <w:bookmarkStart w:id="14" w:name="_Toc80021273"/>
      <w:r>
        <w:t xml:space="preserve">2. </w:t>
      </w:r>
      <w:r w:rsidR="0003162D" w:rsidRPr="00C41DB0">
        <w:t>Context and background</w:t>
      </w:r>
      <w:bookmarkEnd w:id="14"/>
    </w:p>
    <w:p w14:paraId="0C71CF8D" w14:textId="6DCD7D51" w:rsidR="0093101A" w:rsidRPr="0093101A" w:rsidRDefault="0093101A" w:rsidP="0093101A">
      <w:r w:rsidRPr="0093101A">
        <w:t>Anticoagulants are considered high</w:t>
      </w:r>
      <w:r w:rsidR="003F7C81">
        <w:t>-</w:t>
      </w:r>
      <w:r w:rsidRPr="0093101A">
        <w:t>risk medicines, and are included in the high</w:t>
      </w:r>
      <w:r w:rsidR="003F7C81">
        <w:t>-</w:t>
      </w:r>
      <w:r w:rsidRPr="0093101A">
        <w:t>risk medicines framework referred to under the acronym ‘APINCH</w:t>
      </w:r>
      <w:r w:rsidR="002C2F47">
        <w:t>S</w:t>
      </w:r>
      <w:r w:rsidRPr="0093101A">
        <w:t>’</w:t>
      </w:r>
      <w:r w:rsidR="007132DC">
        <w:t>: Heparins and other anticoagulants</w:t>
      </w:r>
      <w:r w:rsidRPr="0093101A">
        <w:t>.</w:t>
      </w:r>
    </w:p>
    <w:p w14:paraId="05340AED" w14:textId="249DF0E6" w:rsidR="0093101A" w:rsidRPr="0093101A" w:rsidRDefault="0093101A" w:rsidP="0093101A">
      <w:r w:rsidRPr="0093101A">
        <w:t>The Commission has received</w:t>
      </w:r>
      <w:r w:rsidR="00674D75">
        <w:t xml:space="preserve"> anecdotal cases</w:t>
      </w:r>
      <w:r w:rsidRPr="0093101A">
        <w:t xml:space="preserve"> from hospitals implicating direct acting oral anticoagulants (DOACs) in adverse events, particularly concomitant prescribing of anticoagulants. DOACs include apixiban, dabigitran and rivaroxiban.</w:t>
      </w:r>
    </w:p>
    <w:p w14:paraId="41A4BF6D" w14:textId="5A2F7853" w:rsidR="007109FE" w:rsidRDefault="007109FE" w:rsidP="007109FE">
      <w:r>
        <w:t>While medicines of the same type can sometimes be prescribed together to enhance their effect, in the case of anticoagulants, unintentional and inappropriate prescribing can increase</w:t>
      </w:r>
      <w:r w:rsidR="00674D75">
        <w:t xml:space="preserve"> the</w:t>
      </w:r>
      <w:r>
        <w:t xml:space="preserve"> risk of adverse effects for patients.</w:t>
      </w:r>
      <w:r w:rsidR="002D2E45">
        <w:t xml:space="preserve"> </w:t>
      </w:r>
    </w:p>
    <w:p w14:paraId="18BE88B8" w14:textId="640E0B9C" w:rsidR="0093101A" w:rsidRPr="0093101A" w:rsidRDefault="00CD5265" w:rsidP="0093101A">
      <w:r>
        <w:t>Since these data were sourced, m</w:t>
      </w:r>
      <w:r w:rsidR="007132DC">
        <w:t>ost</w:t>
      </w:r>
      <w:r w:rsidR="007132DC" w:rsidRPr="0093101A">
        <w:t xml:space="preserve"> </w:t>
      </w:r>
      <w:r w:rsidR="0093101A" w:rsidRPr="0093101A">
        <w:t xml:space="preserve">jurisdictions and health care organisations have independently </w:t>
      </w:r>
      <w:r w:rsidR="000C3F9B">
        <w:t xml:space="preserve">identified, </w:t>
      </w:r>
      <w:r w:rsidR="0093101A" w:rsidRPr="0093101A">
        <w:t xml:space="preserve">developed and implemented </w:t>
      </w:r>
      <w:r w:rsidR="000C3F9B">
        <w:t xml:space="preserve">a number of ‘stewardship’ </w:t>
      </w:r>
      <w:r w:rsidR="0093101A" w:rsidRPr="0093101A">
        <w:t>strategies</w:t>
      </w:r>
      <w:r w:rsidR="007132DC">
        <w:t xml:space="preserve"> for safe and appropriate use of </w:t>
      </w:r>
      <w:r w:rsidR="007132DC" w:rsidRPr="0093101A">
        <w:t>anticoagulant</w:t>
      </w:r>
      <w:r w:rsidR="007132DC">
        <w:t>s</w:t>
      </w:r>
      <w:r w:rsidR="000C3F9B">
        <w:t>, including</w:t>
      </w:r>
      <w:r w:rsidR="0093101A" w:rsidRPr="0093101A">
        <w:t>:</w:t>
      </w:r>
    </w:p>
    <w:p w14:paraId="608FB2D0" w14:textId="318E1D61" w:rsidR="0093101A" w:rsidRPr="00C41DB0" w:rsidRDefault="004724F0" w:rsidP="00FC6ABE">
      <w:pPr>
        <w:pStyle w:val="ListParagraph"/>
        <w:numPr>
          <w:ilvl w:val="0"/>
          <w:numId w:val="17"/>
        </w:numPr>
      </w:pPr>
      <w:r w:rsidRPr="00C41DB0">
        <w:t xml:space="preserve">Modification of the </w:t>
      </w:r>
      <w:r w:rsidR="0093101A" w:rsidRPr="00C41DB0">
        <w:t xml:space="preserve">National Standard Medication Chart (NSMC) </w:t>
      </w:r>
      <w:r w:rsidR="00554850" w:rsidRPr="00C41DB0">
        <w:t>or development of a specialised chart</w:t>
      </w:r>
    </w:p>
    <w:p w14:paraId="03CBC9B5" w14:textId="6FE4E92B" w:rsidR="0093101A" w:rsidRPr="00C41DB0" w:rsidRDefault="00554333" w:rsidP="00FC6ABE">
      <w:pPr>
        <w:pStyle w:val="ListParagraph"/>
        <w:numPr>
          <w:ilvl w:val="0"/>
          <w:numId w:val="17"/>
        </w:numPr>
      </w:pPr>
      <w:r w:rsidRPr="00C41DB0">
        <w:t>Local a</w:t>
      </w:r>
      <w:r w:rsidR="0093101A" w:rsidRPr="00C41DB0">
        <w:t>nticoagulant incident data analysis</w:t>
      </w:r>
    </w:p>
    <w:p w14:paraId="3C05C6B2" w14:textId="45FCAB82" w:rsidR="0093101A" w:rsidRPr="00C41DB0" w:rsidRDefault="0093101A" w:rsidP="00FC6ABE">
      <w:pPr>
        <w:pStyle w:val="ListParagraph"/>
        <w:numPr>
          <w:ilvl w:val="0"/>
          <w:numId w:val="17"/>
        </w:numPr>
      </w:pPr>
      <w:r w:rsidRPr="00C41DB0">
        <w:t>Electronic medication management (EMM)</w:t>
      </w:r>
    </w:p>
    <w:p w14:paraId="44A47F5E" w14:textId="094C8048" w:rsidR="0093101A" w:rsidRPr="00C41DB0" w:rsidRDefault="0093101A" w:rsidP="00FC6ABE">
      <w:pPr>
        <w:pStyle w:val="ListParagraph"/>
        <w:numPr>
          <w:ilvl w:val="0"/>
          <w:numId w:val="17"/>
        </w:numPr>
      </w:pPr>
      <w:r w:rsidRPr="00C41DB0">
        <w:t>Education strategies</w:t>
      </w:r>
    </w:p>
    <w:p w14:paraId="75B717C8" w14:textId="7822203D" w:rsidR="0093101A" w:rsidRPr="00C41DB0" w:rsidRDefault="0093101A" w:rsidP="00FC6ABE">
      <w:pPr>
        <w:pStyle w:val="ListParagraph"/>
        <w:numPr>
          <w:ilvl w:val="0"/>
          <w:numId w:val="17"/>
        </w:numPr>
      </w:pPr>
      <w:r w:rsidRPr="00C41DB0">
        <w:t>Venous Thromboembolism (VTE) Clinical Care Standard</w:t>
      </w:r>
      <w:r w:rsidR="00554333" w:rsidRPr="00C41DB0">
        <w:t xml:space="preserve"> implementation</w:t>
      </w:r>
    </w:p>
    <w:p w14:paraId="0C183D4F" w14:textId="557B08B9" w:rsidR="0093101A" w:rsidRPr="00C41DB0" w:rsidRDefault="0093101A" w:rsidP="00FC6ABE">
      <w:pPr>
        <w:pStyle w:val="ListParagraph"/>
        <w:numPr>
          <w:ilvl w:val="0"/>
          <w:numId w:val="17"/>
        </w:numPr>
      </w:pPr>
      <w:r w:rsidRPr="00C41DB0">
        <w:t>Alerts, notifications and advisories relating to anticoagulants</w:t>
      </w:r>
    </w:p>
    <w:p w14:paraId="18F4B7AC" w14:textId="373A1641" w:rsidR="0093101A" w:rsidRPr="004724F0" w:rsidRDefault="0093101A" w:rsidP="00FC6ABE">
      <w:pPr>
        <w:pStyle w:val="ListParagraph"/>
        <w:numPr>
          <w:ilvl w:val="0"/>
          <w:numId w:val="17"/>
        </w:numPr>
      </w:pPr>
      <w:r w:rsidRPr="00C41DB0">
        <w:t>Assessment, indicators and audit</w:t>
      </w:r>
      <w:r w:rsidR="00B91460" w:rsidRPr="00C41DB0">
        <w:t xml:space="preserve"> of appropriate use</w:t>
      </w:r>
      <w:r w:rsidR="004724F0">
        <w:t>.</w:t>
      </w:r>
    </w:p>
    <w:p w14:paraId="7E5145A4" w14:textId="7CCD96F2" w:rsidR="00EE7C06" w:rsidRDefault="00EE7C06" w:rsidP="00EE7C06">
      <w:r w:rsidRPr="00D0594E">
        <w:t>Th</w:t>
      </w:r>
      <w:r w:rsidR="00B00029">
        <w:t>e</w:t>
      </w:r>
      <w:r w:rsidRPr="00D0594E">
        <w:t xml:space="preserve"> aim</w:t>
      </w:r>
      <w:r>
        <w:t xml:space="preserve"> of this project</w:t>
      </w:r>
      <w:r w:rsidR="00B00029">
        <w:t xml:space="preserve"> was</w:t>
      </w:r>
      <w:r w:rsidRPr="00D0594E">
        <w:t xml:space="preserve"> to describe and quantify incidents that have involved anticoagulants</w:t>
      </w:r>
      <w:r w:rsidR="00D70F69">
        <w:t>,</w:t>
      </w:r>
      <w:r w:rsidRPr="00D0594E">
        <w:t xml:space="preserve"> nationally.</w:t>
      </w:r>
      <w:r>
        <w:t xml:space="preserve"> These incidents </w:t>
      </w:r>
      <w:r w:rsidR="0093101A">
        <w:t>were</w:t>
      </w:r>
      <w:r>
        <w:t xml:space="preserve"> captured from</w:t>
      </w:r>
      <w:r w:rsidR="00D70F69">
        <w:t xml:space="preserve"> healthcare</w:t>
      </w:r>
      <w:r>
        <w:t xml:space="preserve"> settings</w:t>
      </w:r>
      <w:r w:rsidR="00B00029">
        <w:t xml:space="preserve"> (primarily hospitals)</w:t>
      </w:r>
      <w:r>
        <w:t xml:space="preserve"> in states and territories across Australia.</w:t>
      </w:r>
      <w:r w:rsidR="002D2E45">
        <w:t xml:space="preserve"> </w:t>
      </w:r>
      <w:r>
        <w:t xml:space="preserve">In the first instance, the </w:t>
      </w:r>
      <w:r w:rsidR="004B0EE4">
        <w:t>analysis focuses</w:t>
      </w:r>
      <w:r>
        <w:t xml:space="preserve"> on concomitant use of anticoagulants, that is, inappropriate therapeutic duplication of anticoagulants involving DOAC and heparin-based medicines.</w:t>
      </w:r>
    </w:p>
    <w:p w14:paraId="79A36467" w14:textId="77777777" w:rsidR="00EA54D1" w:rsidRDefault="0093101A" w:rsidP="00EA54D1">
      <w:r>
        <w:t>Preliminary f</w:t>
      </w:r>
      <w:r w:rsidR="00EE7C06">
        <w:t xml:space="preserve">indings from this project </w:t>
      </w:r>
      <w:r>
        <w:t xml:space="preserve">were </w:t>
      </w:r>
      <w:r w:rsidR="00EE7C06">
        <w:t xml:space="preserve">used to provide an evidence-base for formulating </w:t>
      </w:r>
      <w:r w:rsidR="004724F0" w:rsidRPr="00B85656">
        <w:t>proposed</w:t>
      </w:r>
      <w:r w:rsidRPr="00B85656">
        <w:t xml:space="preserve"> </w:t>
      </w:r>
      <w:r w:rsidR="00EE7C06" w:rsidRPr="00B85656">
        <w:t>targeted interventions</w:t>
      </w:r>
      <w:r w:rsidR="00EE7C06">
        <w:t xml:space="preserve"> in healthcare settings.</w:t>
      </w:r>
      <w:r w:rsidR="00EE7C06" w:rsidRPr="00D0594E">
        <w:t xml:space="preserve"> </w:t>
      </w:r>
    </w:p>
    <w:p w14:paraId="36070B86" w14:textId="5B712B0C" w:rsidR="0003162D" w:rsidRDefault="00C41DB0" w:rsidP="00C41DB0">
      <w:pPr>
        <w:pStyle w:val="Heading2"/>
      </w:pPr>
      <w:bookmarkStart w:id="15" w:name="_Toc80021274"/>
      <w:r>
        <w:t xml:space="preserve">3. </w:t>
      </w:r>
      <w:r w:rsidR="0003162D">
        <w:t>Scope</w:t>
      </w:r>
      <w:bookmarkEnd w:id="15"/>
    </w:p>
    <w:p w14:paraId="4751D9D0" w14:textId="1BBBA968" w:rsidR="00EE7C06" w:rsidRDefault="001E0AD9" w:rsidP="0003162D">
      <w:r>
        <w:t>Th</w:t>
      </w:r>
      <w:r w:rsidR="00EE7C06">
        <w:t xml:space="preserve">is </w:t>
      </w:r>
      <w:r w:rsidR="00DB2147">
        <w:t>report</w:t>
      </w:r>
      <w:r w:rsidR="00EE7C06">
        <w:t xml:space="preserve"> </w:t>
      </w:r>
      <w:r w:rsidR="00DB2147">
        <w:t>draws</w:t>
      </w:r>
      <w:r w:rsidR="00EE7C06">
        <w:t xml:space="preserve"> on </w:t>
      </w:r>
      <w:r w:rsidR="00B22515">
        <w:t>2016</w:t>
      </w:r>
      <w:r w:rsidR="00C41DB0">
        <w:t>–</w:t>
      </w:r>
      <w:r w:rsidR="00B22515">
        <w:t xml:space="preserve">17 </w:t>
      </w:r>
      <w:r w:rsidR="00EE7C06">
        <w:t>data</w:t>
      </w:r>
      <w:r w:rsidR="00B00029">
        <w:t xml:space="preserve"> and collated reports provided to the Commission by states and</w:t>
      </w:r>
      <w:r w:rsidR="00EE7C06">
        <w:t xml:space="preserve"> territories</w:t>
      </w:r>
      <w:r w:rsidR="00A22EF1">
        <w:t xml:space="preserve">. In addition, a sub-analysis of </w:t>
      </w:r>
      <w:r w:rsidR="00B00029">
        <w:t>adverse event reports provided by the</w:t>
      </w:r>
      <w:r w:rsidR="00EE7C06">
        <w:t xml:space="preserve"> TGA</w:t>
      </w:r>
      <w:r w:rsidR="00A22EF1">
        <w:t xml:space="preserve"> have been included </w:t>
      </w:r>
      <w:r w:rsidR="006400C2">
        <w:t>as a</w:t>
      </w:r>
      <w:r w:rsidR="00A22EF1">
        <w:t xml:space="preserve"> qualitative assessment.</w:t>
      </w:r>
      <w:r w:rsidR="00EE7C06">
        <w:t xml:space="preserve"> </w:t>
      </w:r>
    </w:p>
    <w:p w14:paraId="2A1DDB01" w14:textId="095EC20B" w:rsidR="003D1767" w:rsidRDefault="009C2524" w:rsidP="0003162D">
      <w:r>
        <w:t>Severity Assessment Code (SAC) ratings</w:t>
      </w:r>
      <w:r w:rsidR="00DB2147">
        <w:t xml:space="preserve"> were not</w:t>
      </w:r>
      <w:r w:rsidR="00340B3B">
        <w:t xml:space="preserve"> part of the Commission’s original data request to states and territories</w:t>
      </w:r>
      <w:r w:rsidR="00674D75">
        <w:t xml:space="preserve">, therefore </w:t>
      </w:r>
      <w:r w:rsidR="00340B3B">
        <w:t>analyses of SAC ratings have not been included in this report.</w:t>
      </w:r>
      <w:r w:rsidR="00B22515">
        <w:t xml:space="preserve"> In addition, incident causation could not be established</w:t>
      </w:r>
      <w:r w:rsidR="003668F9">
        <w:t xml:space="preserve"> from a national perspective</w:t>
      </w:r>
      <w:r w:rsidR="00B22515">
        <w:t>.</w:t>
      </w:r>
      <w:r>
        <w:t xml:space="preserve"> </w:t>
      </w:r>
    </w:p>
    <w:p w14:paraId="62F9C8BD" w14:textId="685FE66D" w:rsidR="0084765E" w:rsidRDefault="00B22515" w:rsidP="000A514C">
      <w:pPr>
        <w:sectPr w:rsidR="0084765E" w:rsidSect="006803BA">
          <w:pgSz w:w="11906" w:h="16838"/>
          <w:pgMar w:top="1440" w:right="1440" w:bottom="1440" w:left="1440" w:header="708" w:footer="708" w:gutter="0"/>
          <w:cols w:space="708"/>
          <w:docGrid w:linePitch="360"/>
        </w:sectPr>
      </w:pPr>
      <w:r>
        <w:t>F</w:t>
      </w:r>
      <w:r w:rsidR="003D1767">
        <w:t>eedback from states and territories</w:t>
      </w:r>
      <w:r>
        <w:t xml:space="preserve"> was sought on the preliminary findings and recommendations, and also to confirm existing strategies and resources in place to support safe and appropriate use of anticoagulants</w:t>
      </w:r>
      <w:r w:rsidR="00B85656">
        <w:t xml:space="preserve">. </w:t>
      </w:r>
    </w:p>
    <w:p w14:paraId="481A85DD" w14:textId="4F4FC57D" w:rsidR="003553E3" w:rsidRPr="00B174C8" w:rsidRDefault="003553E3" w:rsidP="004429C5">
      <w:pPr>
        <w:pStyle w:val="Heading3"/>
      </w:pPr>
      <w:bookmarkStart w:id="16" w:name="_Toc80021275"/>
      <w:r w:rsidRPr="00B174C8">
        <w:lastRenderedPageBreak/>
        <w:t>Data sources</w:t>
      </w:r>
      <w:bookmarkEnd w:id="16"/>
    </w:p>
    <w:p w14:paraId="3C8E3C16" w14:textId="15CD2676" w:rsidR="00714C65" w:rsidRDefault="003553E3" w:rsidP="00EE7C06">
      <w:r>
        <w:t>A request was circulated</w:t>
      </w:r>
      <w:r w:rsidR="00B174C8">
        <w:t xml:space="preserve"> via the Inter-Jurisdictional Committee </w:t>
      </w:r>
      <w:r w:rsidR="00714C65">
        <w:t>on 5 October 2017</w:t>
      </w:r>
      <w:r w:rsidR="00133FE9">
        <w:t xml:space="preserve">, </w:t>
      </w:r>
      <w:r w:rsidR="00B174C8">
        <w:t xml:space="preserve">to provide </w:t>
      </w:r>
      <w:r w:rsidR="008B5A68">
        <w:t xml:space="preserve">state and territory </w:t>
      </w:r>
      <w:r w:rsidR="00B174C8">
        <w:t xml:space="preserve">de-identified </w:t>
      </w:r>
      <w:r w:rsidR="00B162E8">
        <w:t xml:space="preserve">retrospective </w:t>
      </w:r>
      <w:r w:rsidR="00B174C8">
        <w:t>anticoagulant incident data for the 12</w:t>
      </w:r>
      <w:r w:rsidR="005B0433">
        <w:noBreakHyphen/>
      </w:r>
      <w:r w:rsidR="00B174C8">
        <w:t xml:space="preserve">month period </w:t>
      </w:r>
      <w:r w:rsidR="00B162E8">
        <w:t xml:space="preserve">from </w:t>
      </w:r>
      <w:r w:rsidR="00B174C8">
        <w:t xml:space="preserve">July 2016 </w:t>
      </w:r>
      <w:r w:rsidR="00B162E8">
        <w:t>to</w:t>
      </w:r>
      <w:r w:rsidR="00B174C8">
        <w:t xml:space="preserve"> June 2017. </w:t>
      </w:r>
      <w:r w:rsidR="00714C65">
        <w:t xml:space="preserve">This request was also circulated to the </w:t>
      </w:r>
      <w:r w:rsidR="00AF4CCF">
        <w:t>TGA</w:t>
      </w:r>
      <w:r w:rsidR="00133FE9">
        <w:t xml:space="preserve"> at the same time</w:t>
      </w:r>
      <w:r w:rsidR="00714C65">
        <w:t>.</w:t>
      </w:r>
    </w:p>
    <w:p w14:paraId="37A3F8CD" w14:textId="0D044253" w:rsidR="00B174C8" w:rsidRDefault="00781A28" w:rsidP="00EE7C06">
      <w:r>
        <w:t>D</w:t>
      </w:r>
      <w:r w:rsidR="00714C65">
        <w:t xml:space="preserve">ata </w:t>
      </w:r>
      <w:r>
        <w:t xml:space="preserve">and information </w:t>
      </w:r>
      <w:r w:rsidR="00714C65">
        <w:t>supplied for analysis</w:t>
      </w:r>
      <w:r>
        <w:t xml:space="preserve"> are summarised in </w:t>
      </w:r>
      <w:r w:rsidRPr="00CC61F8">
        <w:rPr>
          <w:b/>
        </w:rPr>
        <w:t>Table 1</w:t>
      </w:r>
      <w:r>
        <w:t>.</w:t>
      </w:r>
    </w:p>
    <w:p w14:paraId="7D4E9F26" w14:textId="40D1BCE9" w:rsidR="00996B73" w:rsidRDefault="00996B73" w:rsidP="00996B73">
      <w:pPr>
        <w:pStyle w:val="Caption"/>
      </w:pPr>
      <w:r>
        <w:t xml:space="preserve">Table </w:t>
      </w:r>
      <w:r w:rsidR="002D45FC">
        <w:fldChar w:fldCharType="begin"/>
      </w:r>
      <w:r w:rsidR="002D45FC">
        <w:instrText xml:space="preserve"> SEQ Table \* ARABIC </w:instrText>
      </w:r>
      <w:r w:rsidR="002D45FC">
        <w:fldChar w:fldCharType="separate"/>
      </w:r>
      <w:r w:rsidR="00FA0B70">
        <w:rPr>
          <w:noProof/>
        </w:rPr>
        <w:t>1</w:t>
      </w:r>
      <w:r w:rsidR="002D45FC">
        <w:rPr>
          <w:noProof/>
        </w:rPr>
        <w:fldChar w:fldCharType="end"/>
      </w:r>
      <w:r>
        <w:t xml:space="preserve">: </w:t>
      </w:r>
      <w:r w:rsidRPr="00BC09B4">
        <w:t>Summary of data and information provided for analysis</w:t>
      </w:r>
    </w:p>
    <w:tbl>
      <w:tblPr>
        <w:tblStyle w:val="TableGrid"/>
        <w:tblW w:w="5000" w:type="pct"/>
        <w:tblLook w:val="0660" w:firstRow="1" w:lastRow="1" w:firstColumn="0" w:lastColumn="0" w:noHBand="1" w:noVBand="1"/>
        <w:tblDescription w:val="Table 1: Summary of data and information provided for analysis"/>
      </w:tblPr>
      <w:tblGrid>
        <w:gridCol w:w="4129"/>
        <w:gridCol w:w="4887"/>
      </w:tblGrid>
      <w:tr w:rsidR="00B174C8" w:rsidRPr="004429C5" w14:paraId="02977F9F" w14:textId="77777777" w:rsidTr="00A07821">
        <w:trPr>
          <w:cnfStyle w:val="100000000000" w:firstRow="1" w:lastRow="0" w:firstColumn="0" w:lastColumn="0" w:oddVBand="0" w:evenVBand="0" w:oddHBand="0" w:evenHBand="0" w:firstRowFirstColumn="0" w:firstRowLastColumn="0" w:lastRowFirstColumn="0" w:lastRowLastColumn="0"/>
          <w:trHeight w:val="407"/>
          <w:tblHeader/>
        </w:trPr>
        <w:tc>
          <w:tcPr>
            <w:tcW w:w="2290" w:type="pct"/>
          </w:tcPr>
          <w:p w14:paraId="288C9E06" w14:textId="04946DDA" w:rsidR="00B174C8" w:rsidRPr="004429C5" w:rsidRDefault="0001333D" w:rsidP="004429C5">
            <w:r w:rsidRPr="004429C5">
              <w:t>Data and i</w:t>
            </w:r>
            <w:r w:rsidR="008B5A68" w:rsidRPr="004429C5">
              <w:t>nformation provided by</w:t>
            </w:r>
          </w:p>
        </w:tc>
        <w:tc>
          <w:tcPr>
            <w:tcW w:w="2710" w:type="pct"/>
          </w:tcPr>
          <w:p w14:paraId="359725F2" w14:textId="1F395C8C" w:rsidR="00B174C8" w:rsidRPr="004429C5" w:rsidRDefault="008B5A68" w:rsidP="004429C5">
            <w:r w:rsidRPr="004429C5">
              <w:t>Type of</w:t>
            </w:r>
            <w:r w:rsidR="0001333D" w:rsidRPr="004429C5">
              <w:t xml:space="preserve"> data or</w:t>
            </w:r>
            <w:r w:rsidRPr="004429C5">
              <w:t xml:space="preserve"> i</w:t>
            </w:r>
            <w:r w:rsidR="00714C65" w:rsidRPr="004429C5">
              <w:t>nformation provided</w:t>
            </w:r>
          </w:p>
        </w:tc>
      </w:tr>
      <w:tr w:rsidR="00B174C8" w:rsidRPr="004429C5" w14:paraId="0C9D2A1B" w14:textId="77777777" w:rsidTr="00A07821">
        <w:trPr>
          <w:trHeight w:val="407"/>
        </w:trPr>
        <w:tc>
          <w:tcPr>
            <w:tcW w:w="2290" w:type="pct"/>
          </w:tcPr>
          <w:p w14:paraId="51A7AD0A" w14:textId="77777777" w:rsidR="00B174C8" w:rsidRPr="004429C5" w:rsidRDefault="00B174C8" w:rsidP="004429C5">
            <w:r w:rsidRPr="004429C5">
              <w:t>NSW</w:t>
            </w:r>
          </w:p>
        </w:tc>
        <w:tc>
          <w:tcPr>
            <w:tcW w:w="2710" w:type="pct"/>
          </w:tcPr>
          <w:p w14:paraId="28A63DCA" w14:textId="56B33421" w:rsidR="00B174C8" w:rsidRPr="004429C5" w:rsidRDefault="00714C65" w:rsidP="004429C5">
            <w:r w:rsidRPr="004429C5">
              <w:t>Raw data</w:t>
            </w:r>
            <w:r w:rsidR="00996B73">
              <w:rPr>
                <w:rStyle w:val="FootnoteReference"/>
              </w:rPr>
              <w:footnoteReference w:id="3"/>
            </w:r>
            <w:r w:rsidR="00B85656" w:rsidRPr="004429C5">
              <w:t xml:space="preserve"> </w:t>
            </w:r>
            <w:r w:rsidR="0053430D" w:rsidRPr="004429C5">
              <w:t>+ Summary anticoagulant incident report, 2013</w:t>
            </w:r>
            <w:r w:rsidR="005A3DCC">
              <w:t>–</w:t>
            </w:r>
            <w:r w:rsidR="0053430D" w:rsidRPr="004429C5">
              <w:t>2014</w:t>
            </w:r>
          </w:p>
        </w:tc>
      </w:tr>
      <w:tr w:rsidR="004A774E" w:rsidRPr="004429C5" w14:paraId="13EEEF2D" w14:textId="77777777" w:rsidTr="00773A4F">
        <w:trPr>
          <w:trHeight w:val="407"/>
        </w:trPr>
        <w:tc>
          <w:tcPr>
            <w:tcW w:w="2290" w:type="pct"/>
          </w:tcPr>
          <w:p w14:paraId="75CDB89F" w14:textId="77777777" w:rsidR="004A774E" w:rsidRPr="004429C5" w:rsidRDefault="004A774E" w:rsidP="00773A4F">
            <w:r w:rsidRPr="004429C5">
              <w:t>V</w:t>
            </w:r>
            <w:r>
              <w:t>ic</w:t>
            </w:r>
          </w:p>
        </w:tc>
        <w:tc>
          <w:tcPr>
            <w:tcW w:w="2710" w:type="pct"/>
          </w:tcPr>
          <w:p w14:paraId="70309C74" w14:textId="77777777" w:rsidR="004A774E" w:rsidRPr="004429C5" w:rsidRDefault="004A774E" w:rsidP="00773A4F">
            <w:r w:rsidRPr="004429C5">
              <w:t xml:space="preserve">Not available </w:t>
            </w:r>
          </w:p>
        </w:tc>
      </w:tr>
      <w:tr w:rsidR="00B174C8" w:rsidRPr="004429C5" w14:paraId="5CE78797" w14:textId="77777777" w:rsidTr="00A07821">
        <w:trPr>
          <w:trHeight w:val="407"/>
        </w:trPr>
        <w:tc>
          <w:tcPr>
            <w:tcW w:w="2290" w:type="pct"/>
          </w:tcPr>
          <w:p w14:paraId="47D901E6" w14:textId="796B94BB" w:rsidR="00B174C8" w:rsidRPr="004429C5" w:rsidRDefault="00B174C8" w:rsidP="004429C5">
            <w:r w:rsidRPr="004429C5">
              <w:t>Q</w:t>
            </w:r>
            <w:r w:rsidR="004A774E">
              <w:t>ld</w:t>
            </w:r>
          </w:p>
        </w:tc>
        <w:tc>
          <w:tcPr>
            <w:tcW w:w="2710" w:type="pct"/>
          </w:tcPr>
          <w:p w14:paraId="6B2A9D75" w14:textId="510379F4" w:rsidR="00B174C8" w:rsidRPr="004429C5" w:rsidRDefault="00714C65" w:rsidP="004429C5">
            <w:r w:rsidRPr="004429C5">
              <w:t>Raw data</w:t>
            </w:r>
            <w:r w:rsidR="00EE2D5C">
              <w:rPr>
                <w:vertAlign w:val="superscript"/>
              </w:rPr>
              <w:t>3</w:t>
            </w:r>
          </w:p>
        </w:tc>
      </w:tr>
      <w:tr w:rsidR="004A774E" w:rsidRPr="004429C5" w14:paraId="3439087C" w14:textId="77777777" w:rsidTr="00773A4F">
        <w:trPr>
          <w:trHeight w:val="407"/>
        </w:trPr>
        <w:tc>
          <w:tcPr>
            <w:tcW w:w="2290" w:type="pct"/>
          </w:tcPr>
          <w:p w14:paraId="0A32C33F" w14:textId="77777777" w:rsidR="004A774E" w:rsidRPr="004429C5" w:rsidRDefault="004A774E" w:rsidP="00773A4F">
            <w:r w:rsidRPr="004429C5">
              <w:t>SA</w:t>
            </w:r>
          </w:p>
        </w:tc>
        <w:tc>
          <w:tcPr>
            <w:tcW w:w="2710" w:type="pct"/>
          </w:tcPr>
          <w:p w14:paraId="5878FAC4" w14:textId="44370ADB" w:rsidR="004A774E" w:rsidRPr="004429C5" w:rsidRDefault="004A774E" w:rsidP="00773A4F">
            <w:r w:rsidRPr="004429C5">
              <w:t>Raw data</w:t>
            </w:r>
            <w:r w:rsidR="00EE2D5C">
              <w:rPr>
                <w:vertAlign w:val="superscript"/>
              </w:rPr>
              <w:t>3</w:t>
            </w:r>
          </w:p>
        </w:tc>
      </w:tr>
      <w:tr w:rsidR="004A774E" w:rsidRPr="004429C5" w14:paraId="7BCA95F5" w14:textId="77777777" w:rsidTr="00773A4F">
        <w:trPr>
          <w:trHeight w:val="407"/>
        </w:trPr>
        <w:tc>
          <w:tcPr>
            <w:tcW w:w="2290" w:type="pct"/>
          </w:tcPr>
          <w:p w14:paraId="71CA6C22" w14:textId="77777777" w:rsidR="004A774E" w:rsidRPr="004429C5" w:rsidRDefault="004A774E" w:rsidP="00773A4F">
            <w:r w:rsidRPr="004429C5">
              <w:t>WA</w:t>
            </w:r>
          </w:p>
        </w:tc>
        <w:tc>
          <w:tcPr>
            <w:tcW w:w="2710" w:type="pct"/>
          </w:tcPr>
          <w:p w14:paraId="7DA3463D" w14:textId="77777777" w:rsidR="004A774E" w:rsidRPr="004429C5" w:rsidRDefault="004A774E" w:rsidP="00773A4F">
            <w:r w:rsidRPr="004429C5">
              <w:t>Collated report and analysis</w:t>
            </w:r>
          </w:p>
        </w:tc>
      </w:tr>
      <w:tr w:rsidR="004A774E" w:rsidRPr="004429C5" w14:paraId="62C30504" w14:textId="77777777" w:rsidTr="00773A4F">
        <w:trPr>
          <w:trHeight w:val="407"/>
        </w:trPr>
        <w:tc>
          <w:tcPr>
            <w:tcW w:w="2290" w:type="pct"/>
          </w:tcPr>
          <w:p w14:paraId="1374536F" w14:textId="77777777" w:rsidR="004A774E" w:rsidRPr="004429C5" w:rsidRDefault="004A774E" w:rsidP="00773A4F">
            <w:r w:rsidRPr="004429C5">
              <w:t>T</w:t>
            </w:r>
            <w:r>
              <w:t>as</w:t>
            </w:r>
          </w:p>
        </w:tc>
        <w:tc>
          <w:tcPr>
            <w:tcW w:w="2710" w:type="pct"/>
          </w:tcPr>
          <w:p w14:paraId="70B1742E" w14:textId="6AF0053D" w:rsidR="004A774E" w:rsidRPr="004429C5" w:rsidRDefault="004A774E" w:rsidP="00773A4F">
            <w:r w:rsidRPr="004429C5">
              <w:t>Raw data</w:t>
            </w:r>
            <w:r w:rsidR="00EE2D5C">
              <w:rPr>
                <w:vertAlign w:val="superscript"/>
              </w:rPr>
              <w:t>3</w:t>
            </w:r>
          </w:p>
        </w:tc>
      </w:tr>
      <w:tr w:rsidR="004A774E" w:rsidRPr="004429C5" w14:paraId="3076E261" w14:textId="77777777" w:rsidTr="00773A4F">
        <w:trPr>
          <w:trHeight w:val="407"/>
        </w:trPr>
        <w:tc>
          <w:tcPr>
            <w:tcW w:w="2290" w:type="pct"/>
          </w:tcPr>
          <w:p w14:paraId="670B0C7E" w14:textId="77777777" w:rsidR="004A774E" w:rsidRPr="004429C5" w:rsidRDefault="004A774E" w:rsidP="00773A4F">
            <w:r w:rsidRPr="004429C5">
              <w:t>NT</w:t>
            </w:r>
          </w:p>
        </w:tc>
        <w:tc>
          <w:tcPr>
            <w:tcW w:w="2710" w:type="pct"/>
          </w:tcPr>
          <w:p w14:paraId="2DEB21A7" w14:textId="20638561" w:rsidR="004A774E" w:rsidRPr="004429C5" w:rsidRDefault="004A774E" w:rsidP="00773A4F">
            <w:r w:rsidRPr="004429C5">
              <w:t>Raw data</w:t>
            </w:r>
            <w:r w:rsidR="00EE2D5C">
              <w:rPr>
                <w:vertAlign w:val="superscript"/>
              </w:rPr>
              <w:t>3</w:t>
            </w:r>
            <w:r w:rsidRPr="004429C5">
              <w:t xml:space="preserve"> </w:t>
            </w:r>
          </w:p>
        </w:tc>
      </w:tr>
      <w:tr w:rsidR="004A774E" w:rsidRPr="004429C5" w14:paraId="567D7DDF" w14:textId="77777777" w:rsidTr="00773A4F">
        <w:trPr>
          <w:trHeight w:val="407"/>
        </w:trPr>
        <w:tc>
          <w:tcPr>
            <w:tcW w:w="2290" w:type="pct"/>
          </w:tcPr>
          <w:p w14:paraId="549522E4" w14:textId="77777777" w:rsidR="004A774E" w:rsidRPr="004429C5" w:rsidRDefault="004A774E" w:rsidP="00773A4F">
            <w:r w:rsidRPr="004429C5">
              <w:t>ACT</w:t>
            </w:r>
          </w:p>
        </w:tc>
        <w:tc>
          <w:tcPr>
            <w:tcW w:w="2710" w:type="pct"/>
          </w:tcPr>
          <w:p w14:paraId="78685B24" w14:textId="77777777" w:rsidR="004A774E" w:rsidRPr="004429C5" w:rsidRDefault="004A774E" w:rsidP="00773A4F">
            <w:r w:rsidRPr="004429C5">
              <w:t>Not available</w:t>
            </w:r>
          </w:p>
        </w:tc>
      </w:tr>
      <w:tr w:rsidR="008B5A68" w:rsidRPr="004429C5" w14:paraId="363AF25B" w14:textId="77777777" w:rsidTr="00A07821">
        <w:trPr>
          <w:trHeight w:val="407"/>
        </w:trPr>
        <w:tc>
          <w:tcPr>
            <w:tcW w:w="2290" w:type="pct"/>
          </w:tcPr>
          <w:p w14:paraId="3C46E97F" w14:textId="77777777" w:rsidR="008B5A68" w:rsidRPr="004429C5" w:rsidRDefault="008B5A68" w:rsidP="004429C5">
            <w:r w:rsidRPr="004429C5">
              <w:t>TGA</w:t>
            </w:r>
          </w:p>
        </w:tc>
        <w:tc>
          <w:tcPr>
            <w:tcW w:w="2710" w:type="pct"/>
          </w:tcPr>
          <w:p w14:paraId="07788961" w14:textId="77777777" w:rsidR="008B5A68" w:rsidRPr="004429C5" w:rsidRDefault="008B5A68" w:rsidP="004429C5">
            <w:r w:rsidRPr="004429C5">
              <w:t>Adverse event reports</w:t>
            </w:r>
          </w:p>
        </w:tc>
      </w:tr>
      <w:tr w:rsidR="00340B3B" w:rsidRPr="004429C5" w14:paraId="37065E2E" w14:textId="77777777" w:rsidTr="008C361D">
        <w:trPr>
          <w:cnfStyle w:val="010000000000" w:firstRow="0" w:lastRow="1" w:firstColumn="0" w:lastColumn="0" w:oddVBand="0" w:evenVBand="0" w:oddHBand="0" w:evenHBand="0" w:firstRowFirstColumn="0" w:firstRowLastColumn="0" w:lastRowFirstColumn="0" w:lastRowLastColumn="0"/>
          <w:trHeight w:val="407"/>
        </w:trPr>
        <w:tc>
          <w:tcPr>
            <w:tcW w:w="2290" w:type="pct"/>
          </w:tcPr>
          <w:p w14:paraId="7897A331" w14:textId="7F586814" w:rsidR="00340B3B" w:rsidRPr="004429C5" w:rsidRDefault="007059A8" w:rsidP="00794242">
            <w:pPr>
              <w:spacing w:after="180"/>
            </w:pPr>
            <w:r w:rsidRPr="004429C5">
              <w:t xml:space="preserve">Total number of incidents </w:t>
            </w:r>
            <w:r>
              <w:br/>
            </w:r>
            <w:r w:rsidRPr="004429C5">
              <w:t>(raw data</w:t>
            </w:r>
            <w:r w:rsidR="009B4A37">
              <w:rPr>
                <w:b w:val="0"/>
                <w:bCs/>
                <w:vertAlign w:val="superscript"/>
              </w:rPr>
              <w:t>3</w:t>
            </w:r>
            <w:r w:rsidR="00340B3B" w:rsidRPr="004429C5">
              <w:t>)</w:t>
            </w:r>
            <w:r w:rsidR="002D2E45" w:rsidRPr="004429C5">
              <w:t xml:space="preserve"> </w:t>
            </w:r>
            <w:r w:rsidRPr="004429C5">
              <w:t>submitted</w:t>
            </w:r>
          </w:p>
        </w:tc>
        <w:tc>
          <w:tcPr>
            <w:tcW w:w="2710" w:type="pct"/>
          </w:tcPr>
          <w:p w14:paraId="6C5C967E" w14:textId="10D9D5BD" w:rsidR="00340B3B" w:rsidRPr="004429C5" w:rsidRDefault="00340B3B" w:rsidP="008C361D">
            <w:r w:rsidRPr="004429C5">
              <w:t>3</w:t>
            </w:r>
            <w:r w:rsidR="007059A8">
              <w:t>,</w:t>
            </w:r>
            <w:r w:rsidRPr="004429C5">
              <w:t>58</w:t>
            </w:r>
            <w:r w:rsidR="00007967" w:rsidRPr="004429C5">
              <w:t>0</w:t>
            </w:r>
          </w:p>
        </w:tc>
      </w:tr>
    </w:tbl>
    <w:p w14:paraId="55176140" w14:textId="77777777" w:rsidR="00085574" w:rsidRDefault="00085574" w:rsidP="00C579B8">
      <w:pPr>
        <w:pStyle w:val="Heading3"/>
      </w:pPr>
      <w:r>
        <w:br w:type="page"/>
      </w:r>
    </w:p>
    <w:p w14:paraId="65A06CA8" w14:textId="17ACA3DF" w:rsidR="00B174C8" w:rsidRDefault="00B174C8" w:rsidP="00C579B8">
      <w:pPr>
        <w:pStyle w:val="Heading3"/>
      </w:pPr>
      <w:bookmarkStart w:id="17" w:name="_Toc80021276"/>
      <w:r>
        <w:lastRenderedPageBreak/>
        <w:t xml:space="preserve">Protocol for </w:t>
      </w:r>
      <w:r w:rsidRPr="00653BC2">
        <w:t>analysis</w:t>
      </w:r>
      <w:bookmarkEnd w:id="17"/>
    </w:p>
    <w:p w14:paraId="56755082" w14:textId="7A49471E" w:rsidR="00B00029" w:rsidRDefault="00340B3B" w:rsidP="00EE7C06">
      <w:r>
        <w:t>A protocol for analys</w:t>
      </w:r>
      <w:r w:rsidR="001305E4">
        <w:t>is of these data was designed</w:t>
      </w:r>
      <w:r w:rsidR="007B7CE1">
        <w:t>. The protocol</w:t>
      </w:r>
      <w:r w:rsidR="00B00029">
        <w:t xml:space="preserve"> </w:t>
      </w:r>
      <w:r w:rsidR="00A22EF1">
        <w:t xml:space="preserve">aligns closely </w:t>
      </w:r>
      <w:r w:rsidR="003553E3">
        <w:t>with methodology described in the collated anticoagulant incident report provided by</w:t>
      </w:r>
      <w:r w:rsidR="00674D75">
        <w:t xml:space="preserve"> the</w:t>
      </w:r>
      <w:r w:rsidR="003553E3">
        <w:t xml:space="preserve"> </w:t>
      </w:r>
      <w:r w:rsidR="005647AD">
        <w:t>Department of Health, Western Australia (WA Health)</w:t>
      </w:r>
      <w:r w:rsidR="00B00029">
        <w:t xml:space="preserve"> with minor modification to ensure</w:t>
      </w:r>
      <w:r w:rsidR="00A22EF1">
        <w:t xml:space="preserve"> its</w:t>
      </w:r>
      <w:r w:rsidR="00B00029">
        <w:t xml:space="preserve"> suitability </w:t>
      </w:r>
      <w:r w:rsidR="007B7CE1">
        <w:t>nationally</w:t>
      </w:r>
      <w:r w:rsidR="00B00029">
        <w:t xml:space="preserve">. </w:t>
      </w:r>
      <w:r w:rsidR="001305E4">
        <w:t xml:space="preserve">See </w:t>
      </w:r>
      <w:r w:rsidR="001305E4" w:rsidRPr="006B1B7B">
        <w:rPr>
          <w:b/>
        </w:rPr>
        <w:t xml:space="preserve">Appendix </w:t>
      </w:r>
      <w:r w:rsidR="00674D75">
        <w:rPr>
          <w:b/>
        </w:rPr>
        <w:t>1</w:t>
      </w:r>
      <w:r w:rsidR="001305E4" w:rsidRPr="006B1B7B">
        <w:rPr>
          <w:b/>
        </w:rPr>
        <w:t xml:space="preserve"> </w:t>
      </w:r>
      <w:r w:rsidR="001305E4" w:rsidRPr="006B1B7B">
        <w:t>for</w:t>
      </w:r>
      <w:r w:rsidR="001305E4">
        <w:t xml:space="preserve"> further information on the Anticoagulant Incident Review Protocol.</w:t>
      </w:r>
    </w:p>
    <w:p w14:paraId="6D9E5F25" w14:textId="09CF9207" w:rsidR="0046515B" w:rsidRDefault="00892AF5" w:rsidP="00EE7C06">
      <w:r>
        <w:t xml:space="preserve">Incident data (raw data) were collated for analysis. Given the large number of incidents provided </w:t>
      </w:r>
      <w:r w:rsidR="002636F2">
        <w:t xml:space="preserve">by states and territories </w:t>
      </w:r>
      <w:r>
        <w:t xml:space="preserve">and the </w:t>
      </w:r>
      <w:r w:rsidR="007E1C0E">
        <w:t xml:space="preserve">potential </w:t>
      </w:r>
      <w:r>
        <w:t>time</w:t>
      </w:r>
      <w:r w:rsidR="007E1C0E">
        <w:t xml:space="preserve"> requirements for review</w:t>
      </w:r>
      <w:r w:rsidR="00A22EF1">
        <w:t xml:space="preserve"> of all of these</w:t>
      </w:r>
      <w:r w:rsidR="007E1C0E">
        <w:t>,</w:t>
      </w:r>
      <w:r>
        <w:t xml:space="preserve"> a subset of 350 records were instead </w:t>
      </w:r>
      <w:r w:rsidR="00A22EF1">
        <w:t>randomly selected</w:t>
      </w:r>
      <w:r>
        <w:t xml:space="preserve"> for review.</w:t>
      </w:r>
      <w:r w:rsidR="00130FA4">
        <w:rPr>
          <w:rStyle w:val="FootnoteReference"/>
        </w:rPr>
        <w:footnoteReference w:id="4"/>
      </w:r>
      <w:r w:rsidR="00325A41">
        <w:t xml:space="preserve"> </w:t>
      </w:r>
      <w:r>
        <w:t>Analyses presented in this report are based on</w:t>
      </w:r>
      <w:r w:rsidR="00A22EF1">
        <w:t xml:space="preserve"> this subset of </w:t>
      </w:r>
      <w:r>
        <w:t>350 records</w:t>
      </w:r>
      <w:r w:rsidR="00A22EF1">
        <w:t>.</w:t>
      </w:r>
      <w:r>
        <w:t xml:space="preserve"> </w:t>
      </w:r>
      <w:r w:rsidR="00B612F4">
        <w:t>Two of the 350 records were excluded because they contained insufficient</w:t>
      </w:r>
      <w:r w:rsidR="00403FB3">
        <w:t xml:space="preserve"> information</w:t>
      </w:r>
      <w:r w:rsidR="00B612F4">
        <w:t xml:space="preserve"> </w:t>
      </w:r>
      <w:r w:rsidR="007E1C0E">
        <w:t xml:space="preserve">or were </w:t>
      </w:r>
      <w:r w:rsidR="00A22EF1">
        <w:t>apparently</w:t>
      </w:r>
      <w:r w:rsidR="007E1C0E">
        <w:t xml:space="preserve"> unrelated</w:t>
      </w:r>
      <w:r w:rsidR="00A22EF1">
        <w:t xml:space="preserve"> to the topic</w:t>
      </w:r>
      <w:r w:rsidR="00B612F4">
        <w:t>.</w:t>
      </w:r>
    </w:p>
    <w:p w14:paraId="6FB4F910" w14:textId="082D97D5" w:rsidR="00E87A2A" w:rsidRDefault="0046515B" w:rsidP="004A774E">
      <w:r>
        <w:t xml:space="preserve">Reports and information provided by the TGA, WA Health and the Clinical Excellence Commission </w:t>
      </w:r>
      <w:r w:rsidR="007B7CE1">
        <w:t>(Anticoagulant incident summary report, 2013</w:t>
      </w:r>
      <w:r w:rsidR="00024E37">
        <w:t>–</w:t>
      </w:r>
      <w:r w:rsidR="007B7CE1">
        <w:t xml:space="preserve">2014) </w:t>
      </w:r>
      <w:r>
        <w:t>have been</w:t>
      </w:r>
      <w:r w:rsidR="007E0E4B">
        <w:t xml:space="preserve"> analysed in parallel with</w:t>
      </w:r>
      <w:r>
        <w:t xml:space="preserve"> </w:t>
      </w:r>
      <w:r w:rsidR="00EB3E6F">
        <w:t xml:space="preserve">the </w:t>
      </w:r>
      <w:r w:rsidR="007B7CE1">
        <w:t>raw data</w:t>
      </w:r>
      <w:r>
        <w:t>.</w:t>
      </w:r>
      <w:r w:rsidR="002D2E45">
        <w:t xml:space="preserve"> </w:t>
      </w:r>
    </w:p>
    <w:p w14:paraId="0CC3C6F0" w14:textId="2B3FE7BC" w:rsidR="00E87A2A" w:rsidRDefault="00E87A2A" w:rsidP="00E87A2A">
      <w:r>
        <w:t xml:space="preserve">Medicines included in this review were classified </w:t>
      </w:r>
      <w:r w:rsidR="00740F0C">
        <w:t xml:space="preserve">as described below in </w:t>
      </w:r>
      <w:r w:rsidR="00740F0C" w:rsidRPr="00CC61F8">
        <w:rPr>
          <w:b/>
        </w:rPr>
        <w:t>Table 2</w:t>
      </w:r>
      <w:r w:rsidR="00740F0C">
        <w:t>.</w:t>
      </w:r>
      <w:r>
        <w:t xml:space="preserve"> </w:t>
      </w:r>
    </w:p>
    <w:p w14:paraId="46BF35BE" w14:textId="602C1BA8" w:rsidR="00024E37" w:rsidRDefault="00024E37" w:rsidP="00024E37">
      <w:pPr>
        <w:pStyle w:val="Caption"/>
      </w:pPr>
      <w:r>
        <w:t xml:space="preserve">Table </w:t>
      </w:r>
      <w:r w:rsidR="002D45FC">
        <w:fldChar w:fldCharType="begin"/>
      </w:r>
      <w:r w:rsidR="002D45FC">
        <w:instrText xml:space="preserve"> SEQ Table \* ARABIC </w:instrText>
      </w:r>
      <w:r w:rsidR="002D45FC">
        <w:fldChar w:fldCharType="separate"/>
      </w:r>
      <w:r w:rsidR="00FA0B70">
        <w:rPr>
          <w:noProof/>
        </w:rPr>
        <w:t>2</w:t>
      </w:r>
      <w:r w:rsidR="002D45FC">
        <w:rPr>
          <w:noProof/>
        </w:rPr>
        <w:fldChar w:fldCharType="end"/>
      </w:r>
      <w:r>
        <w:t xml:space="preserve">: </w:t>
      </w:r>
      <w:r w:rsidRPr="00716643">
        <w:t>Description of medicine classes included in this anticoagulant incident</w:t>
      </w:r>
      <w:r w:rsidR="0076088B">
        <w:t> </w:t>
      </w:r>
      <w:r w:rsidRPr="00716643">
        <w:t>analysis</w:t>
      </w:r>
    </w:p>
    <w:tbl>
      <w:tblPr>
        <w:tblStyle w:val="TableGrid"/>
        <w:tblW w:w="5000" w:type="pct"/>
        <w:tblLook w:val="0620" w:firstRow="1" w:lastRow="0" w:firstColumn="0" w:lastColumn="0" w:noHBand="1" w:noVBand="1"/>
        <w:tblDescription w:val="Table 2: Description of medicine classes included in this anticoagulant incident analysis"/>
      </w:tblPr>
      <w:tblGrid>
        <w:gridCol w:w="3823"/>
        <w:gridCol w:w="5193"/>
      </w:tblGrid>
      <w:tr w:rsidR="00E87A2A" w:rsidRPr="00024E37" w14:paraId="47CA163A" w14:textId="77777777" w:rsidTr="00CA3A99">
        <w:trPr>
          <w:cnfStyle w:val="100000000000" w:firstRow="1" w:lastRow="0" w:firstColumn="0" w:lastColumn="0" w:oddVBand="0" w:evenVBand="0" w:oddHBand="0" w:evenHBand="0" w:firstRowFirstColumn="0" w:firstRowLastColumn="0" w:lastRowFirstColumn="0" w:lastRowLastColumn="0"/>
          <w:tblHeader/>
        </w:trPr>
        <w:tc>
          <w:tcPr>
            <w:tcW w:w="2120" w:type="pct"/>
          </w:tcPr>
          <w:p w14:paraId="4DB39CDC" w14:textId="349DD2B2" w:rsidR="00E87A2A" w:rsidRPr="00024E37" w:rsidRDefault="00E87A2A" w:rsidP="00024E37">
            <w:r w:rsidRPr="00024E37">
              <w:t xml:space="preserve">Medicine </w:t>
            </w:r>
            <w:r w:rsidR="000E5F1E" w:rsidRPr="00024E37">
              <w:t>class</w:t>
            </w:r>
          </w:p>
        </w:tc>
        <w:tc>
          <w:tcPr>
            <w:tcW w:w="2880" w:type="pct"/>
          </w:tcPr>
          <w:p w14:paraId="7E957C2F" w14:textId="3026BBB2" w:rsidR="00E87A2A" w:rsidRPr="00024E37" w:rsidRDefault="00E87A2A" w:rsidP="00024E37">
            <w:r w:rsidRPr="00024E37">
              <w:t>Medicines with</w:t>
            </w:r>
            <w:r w:rsidR="007B7CE1" w:rsidRPr="00024E37">
              <w:t>in</w:t>
            </w:r>
            <w:r w:rsidRPr="00024E37">
              <w:t xml:space="preserve"> this </w:t>
            </w:r>
            <w:r w:rsidR="000E5F1E" w:rsidRPr="00024E37">
              <w:t xml:space="preserve">class </w:t>
            </w:r>
            <w:r w:rsidRPr="00024E37">
              <w:t>(trade name)</w:t>
            </w:r>
            <w:r w:rsidR="00024E37" w:rsidRPr="00024E37">
              <w:rPr>
                <w:rStyle w:val="FootnoteReference"/>
                <w:b w:val="0"/>
                <w:bCs/>
              </w:rPr>
              <w:footnoteReference w:id="5"/>
            </w:r>
          </w:p>
        </w:tc>
      </w:tr>
      <w:tr w:rsidR="00E87A2A" w:rsidRPr="00024E37" w14:paraId="62EE2F09" w14:textId="77777777" w:rsidTr="00024E37">
        <w:tc>
          <w:tcPr>
            <w:tcW w:w="2120" w:type="pct"/>
            <w:vMerge w:val="restart"/>
          </w:tcPr>
          <w:p w14:paraId="2EC3925A" w14:textId="77777777" w:rsidR="00E87A2A" w:rsidRPr="00024E37" w:rsidRDefault="00E87A2A" w:rsidP="00024E37">
            <w:r w:rsidRPr="00024E37">
              <w:t>Direct Oral Anticoagulant (DOAC)</w:t>
            </w:r>
          </w:p>
        </w:tc>
        <w:tc>
          <w:tcPr>
            <w:tcW w:w="2880" w:type="pct"/>
          </w:tcPr>
          <w:p w14:paraId="1FD25406" w14:textId="77777777" w:rsidR="00E87A2A" w:rsidRPr="00024E37" w:rsidRDefault="00E87A2A" w:rsidP="00024E37">
            <w:r w:rsidRPr="00024E37">
              <w:t>Apixaban (Eliquis)</w:t>
            </w:r>
          </w:p>
        </w:tc>
      </w:tr>
      <w:tr w:rsidR="00E87A2A" w:rsidRPr="00024E37" w14:paraId="1A9FBEED" w14:textId="77777777" w:rsidTr="00024E37">
        <w:trPr>
          <w:trHeight w:val="357"/>
        </w:trPr>
        <w:tc>
          <w:tcPr>
            <w:tcW w:w="2120" w:type="pct"/>
            <w:vMerge/>
          </w:tcPr>
          <w:p w14:paraId="668F69B3" w14:textId="77777777" w:rsidR="00E87A2A" w:rsidRPr="00024E37" w:rsidRDefault="00E87A2A" w:rsidP="00024E37"/>
        </w:tc>
        <w:tc>
          <w:tcPr>
            <w:tcW w:w="2880" w:type="pct"/>
          </w:tcPr>
          <w:p w14:paraId="26D6D46A" w14:textId="629A9086" w:rsidR="00E87A2A" w:rsidRPr="00024E37" w:rsidRDefault="00DD42C7" w:rsidP="00024E37">
            <w:r w:rsidRPr="00024E37">
              <w:t>D</w:t>
            </w:r>
            <w:r w:rsidR="00E87A2A" w:rsidRPr="00024E37">
              <w:t>abigatran (Pradaxa)</w:t>
            </w:r>
          </w:p>
        </w:tc>
      </w:tr>
      <w:tr w:rsidR="00E87A2A" w:rsidRPr="00024E37" w14:paraId="204291A3" w14:textId="77777777" w:rsidTr="00024E37">
        <w:tc>
          <w:tcPr>
            <w:tcW w:w="2120" w:type="pct"/>
            <w:vMerge/>
          </w:tcPr>
          <w:p w14:paraId="7D6C4A75" w14:textId="77777777" w:rsidR="00E87A2A" w:rsidRPr="00024E37" w:rsidRDefault="00E87A2A" w:rsidP="00024E37"/>
        </w:tc>
        <w:tc>
          <w:tcPr>
            <w:tcW w:w="2880" w:type="pct"/>
          </w:tcPr>
          <w:p w14:paraId="3E716BD5" w14:textId="77777777" w:rsidR="00E87A2A" w:rsidRPr="00024E37" w:rsidRDefault="00E87A2A" w:rsidP="00024E37">
            <w:r w:rsidRPr="00024E37">
              <w:t>Rivaroxaban (Xarelto)</w:t>
            </w:r>
          </w:p>
        </w:tc>
      </w:tr>
      <w:tr w:rsidR="00E87A2A" w:rsidRPr="00024E37" w14:paraId="50007E68" w14:textId="77777777" w:rsidTr="00024E37">
        <w:trPr>
          <w:trHeight w:val="271"/>
        </w:trPr>
        <w:tc>
          <w:tcPr>
            <w:tcW w:w="2120" w:type="pct"/>
            <w:vMerge w:val="restart"/>
          </w:tcPr>
          <w:p w14:paraId="34D9EA17" w14:textId="77777777" w:rsidR="00E87A2A" w:rsidRPr="00024E37" w:rsidRDefault="00E87A2A" w:rsidP="00024E37">
            <w:r w:rsidRPr="00024E37">
              <w:t>Heparins</w:t>
            </w:r>
          </w:p>
        </w:tc>
        <w:tc>
          <w:tcPr>
            <w:tcW w:w="2880" w:type="pct"/>
          </w:tcPr>
          <w:p w14:paraId="26F63FF6" w14:textId="77777777" w:rsidR="00E87A2A" w:rsidRPr="00024E37" w:rsidRDefault="00E87A2A" w:rsidP="00024E37">
            <w:r w:rsidRPr="00024E37">
              <w:t>Heparin [Unfractionated heparin]</w:t>
            </w:r>
          </w:p>
        </w:tc>
      </w:tr>
      <w:tr w:rsidR="00E87A2A" w:rsidRPr="00024E37" w14:paraId="6CE56911" w14:textId="77777777" w:rsidTr="00024E37">
        <w:trPr>
          <w:trHeight w:val="276"/>
        </w:trPr>
        <w:tc>
          <w:tcPr>
            <w:tcW w:w="2120" w:type="pct"/>
            <w:vMerge/>
          </w:tcPr>
          <w:p w14:paraId="3DFE44E8" w14:textId="77777777" w:rsidR="00E87A2A" w:rsidRPr="00024E37" w:rsidRDefault="00E87A2A" w:rsidP="00024E37"/>
        </w:tc>
        <w:tc>
          <w:tcPr>
            <w:tcW w:w="2880" w:type="pct"/>
          </w:tcPr>
          <w:p w14:paraId="2CC06B69" w14:textId="6A5564F1" w:rsidR="00E87A2A" w:rsidRPr="00024E37" w:rsidRDefault="00E87A2A" w:rsidP="00024E37">
            <w:r w:rsidRPr="00024E37">
              <w:t>Heparinised saline</w:t>
            </w:r>
          </w:p>
        </w:tc>
      </w:tr>
      <w:tr w:rsidR="00E87A2A" w:rsidRPr="00024E37" w14:paraId="695E7427" w14:textId="77777777" w:rsidTr="00024E37">
        <w:tc>
          <w:tcPr>
            <w:tcW w:w="2120" w:type="pct"/>
            <w:vMerge w:val="restart"/>
          </w:tcPr>
          <w:p w14:paraId="37FCADC8" w14:textId="77777777" w:rsidR="00E87A2A" w:rsidRPr="00024E37" w:rsidRDefault="00E87A2A" w:rsidP="00024E37">
            <w:r w:rsidRPr="00024E37">
              <w:t>Low Molecular Weight Heparins (LMWH)</w:t>
            </w:r>
          </w:p>
        </w:tc>
        <w:tc>
          <w:tcPr>
            <w:tcW w:w="2880" w:type="pct"/>
          </w:tcPr>
          <w:p w14:paraId="73A3AE31" w14:textId="77777777" w:rsidR="00E87A2A" w:rsidRPr="00024E37" w:rsidRDefault="00E87A2A" w:rsidP="00024E37">
            <w:r w:rsidRPr="00024E37">
              <w:t>Enoxaparin (Clexane)</w:t>
            </w:r>
          </w:p>
        </w:tc>
      </w:tr>
      <w:tr w:rsidR="00E87A2A" w:rsidRPr="00024E37" w14:paraId="457E8772" w14:textId="77777777" w:rsidTr="00024E37">
        <w:tc>
          <w:tcPr>
            <w:tcW w:w="2120" w:type="pct"/>
            <w:vMerge/>
          </w:tcPr>
          <w:p w14:paraId="679ADACD" w14:textId="77777777" w:rsidR="00E87A2A" w:rsidRPr="00024E37" w:rsidRDefault="00E87A2A" w:rsidP="00024E37"/>
        </w:tc>
        <w:tc>
          <w:tcPr>
            <w:tcW w:w="2880" w:type="pct"/>
          </w:tcPr>
          <w:p w14:paraId="3AC8D41F" w14:textId="77777777" w:rsidR="00E87A2A" w:rsidRPr="00024E37" w:rsidRDefault="00E87A2A" w:rsidP="00024E37">
            <w:r w:rsidRPr="00024E37">
              <w:t>Danaparoid (Orgaran)</w:t>
            </w:r>
          </w:p>
        </w:tc>
      </w:tr>
      <w:tr w:rsidR="00E87A2A" w:rsidRPr="00024E37" w14:paraId="0DCA46DF" w14:textId="77777777" w:rsidTr="00024E37">
        <w:tc>
          <w:tcPr>
            <w:tcW w:w="2120" w:type="pct"/>
            <w:vMerge/>
          </w:tcPr>
          <w:p w14:paraId="221F069E" w14:textId="77777777" w:rsidR="00E87A2A" w:rsidRPr="00024E37" w:rsidRDefault="00E87A2A" w:rsidP="00024E37"/>
        </w:tc>
        <w:tc>
          <w:tcPr>
            <w:tcW w:w="2880" w:type="pct"/>
          </w:tcPr>
          <w:p w14:paraId="1B4DABF3" w14:textId="77777777" w:rsidR="00E87A2A" w:rsidRPr="00024E37" w:rsidRDefault="00E87A2A" w:rsidP="00024E37">
            <w:r w:rsidRPr="00024E37">
              <w:t>Dalteparin (Fragmin)</w:t>
            </w:r>
          </w:p>
        </w:tc>
      </w:tr>
      <w:tr w:rsidR="00E87A2A" w:rsidRPr="00024E37" w14:paraId="76E87EBD" w14:textId="77777777" w:rsidTr="00024E37">
        <w:tc>
          <w:tcPr>
            <w:tcW w:w="2120" w:type="pct"/>
            <w:vMerge/>
          </w:tcPr>
          <w:p w14:paraId="240D9854" w14:textId="77777777" w:rsidR="00E87A2A" w:rsidRPr="00024E37" w:rsidRDefault="00E87A2A" w:rsidP="00024E37"/>
        </w:tc>
        <w:tc>
          <w:tcPr>
            <w:tcW w:w="2880" w:type="pct"/>
          </w:tcPr>
          <w:p w14:paraId="389994A6" w14:textId="77777777" w:rsidR="00E87A2A" w:rsidRPr="00024E37" w:rsidRDefault="00E87A2A" w:rsidP="00024E37">
            <w:r w:rsidRPr="00024E37">
              <w:t>Nadroparin (Fraxiparine)</w:t>
            </w:r>
          </w:p>
        </w:tc>
      </w:tr>
      <w:tr w:rsidR="00E87A2A" w:rsidRPr="00024E37" w14:paraId="1A2BDBB0" w14:textId="77777777" w:rsidTr="00024E37">
        <w:trPr>
          <w:trHeight w:val="371"/>
        </w:trPr>
        <w:tc>
          <w:tcPr>
            <w:tcW w:w="2120" w:type="pct"/>
          </w:tcPr>
          <w:p w14:paraId="50532214" w14:textId="77777777" w:rsidR="00E87A2A" w:rsidRPr="00024E37" w:rsidRDefault="00E87A2A" w:rsidP="00024E37">
            <w:r w:rsidRPr="00024E37">
              <w:t>Vitamin K antagonists</w:t>
            </w:r>
          </w:p>
        </w:tc>
        <w:tc>
          <w:tcPr>
            <w:tcW w:w="2880" w:type="pct"/>
          </w:tcPr>
          <w:p w14:paraId="204F3834" w14:textId="4D453724" w:rsidR="00E87A2A" w:rsidRPr="00024E37" w:rsidRDefault="00E87A2A" w:rsidP="00024E37">
            <w:r w:rsidRPr="00024E37">
              <w:t>Warfarin (Coumadin and Marevan)</w:t>
            </w:r>
          </w:p>
        </w:tc>
      </w:tr>
      <w:tr w:rsidR="00E87A2A" w:rsidRPr="00024E37" w14:paraId="1A2619D6" w14:textId="77777777" w:rsidTr="00024E37">
        <w:tc>
          <w:tcPr>
            <w:tcW w:w="2120" w:type="pct"/>
          </w:tcPr>
          <w:p w14:paraId="1F97BCA4" w14:textId="3C4145D6" w:rsidR="00E87A2A" w:rsidRPr="00024E37" w:rsidRDefault="00E87A2A" w:rsidP="00024E37">
            <w:r w:rsidRPr="00024E37">
              <w:t>Factor Xa Inhibitor</w:t>
            </w:r>
            <w:r w:rsidR="00904B54">
              <w:rPr>
                <w:rStyle w:val="FootnoteReference"/>
              </w:rPr>
              <w:footnoteReference w:id="6"/>
            </w:r>
          </w:p>
        </w:tc>
        <w:tc>
          <w:tcPr>
            <w:tcW w:w="2880" w:type="pct"/>
          </w:tcPr>
          <w:p w14:paraId="1B2CA0EB" w14:textId="77777777" w:rsidR="00E87A2A" w:rsidRPr="00024E37" w:rsidRDefault="00E87A2A" w:rsidP="00024E37">
            <w:r w:rsidRPr="00024E37">
              <w:t>Fondaparinux (Arixtra)</w:t>
            </w:r>
          </w:p>
        </w:tc>
      </w:tr>
    </w:tbl>
    <w:p w14:paraId="6A669C87" w14:textId="1F4238E2" w:rsidR="005802A0" w:rsidRPr="00447F21" w:rsidRDefault="00674D75" w:rsidP="00447F21">
      <w:pPr>
        <w:pStyle w:val="Heading2"/>
      </w:pPr>
      <w:bookmarkStart w:id="18" w:name="_Toc80021277"/>
      <w:r>
        <w:lastRenderedPageBreak/>
        <w:t>4.</w:t>
      </w:r>
      <w:r w:rsidR="00447F21">
        <w:t xml:space="preserve"> </w:t>
      </w:r>
      <w:r w:rsidR="005802A0" w:rsidRPr="00447F21">
        <w:t>Results</w:t>
      </w:r>
      <w:bookmarkEnd w:id="18"/>
      <w:r w:rsidR="005802A0" w:rsidRPr="00447F21">
        <w:t xml:space="preserve"> </w:t>
      </w:r>
    </w:p>
    <w:p w14:paraId="7D8FC586" w14:textId="52FB99D5" w:rsidR="005802A0" w:rsidRPr="001A43EC" w:rsidRDefault="005802A0" w:rsidP="00916433">
      <w:pPr>
        <w:pStyle w:val="Heading3"/>
      </w:pPr>
      <w:bookmarkStart w:id="19" w:name="_Toc80021278"/>
      <w:r>
        <w:t xml:space="preserve">National (state </w:t>
      </w:r>
      <w:r w:rsidR="00447F21">
        <w:t>and</w:t>
      </w:r>
      <w:r>
        <w:t xml:space="preserve"> territory)</w:t>
      </w:r>
      <w:r w:rsidRPr="001A43EC">
        <w:t xml:space="preserve"> incident data</w:t>
      </w:r>
      <w:bookmarkEnd w:id="19"/>
    </w:p>
    <w:p w14:paraId="2AEAA63D" w14:textId="7D7B0E97" w:rsidR="009162C9" w:rsidRDefault="007A0E1A" w:rsidP="009162C9">
      <w:pPr>
        <w:pStyle w:val="Heading4"/>
      </w:pPr>
      <w:r>
        <w:t>Anticoagulant medicine classes implicated</w:t>
      </w:r>
      <w:r w:rsidR="009162C9" w:rsidRPr="009162C9">
        <w:t xml:space="preserve"> </w:t>
      </w:r>
    </w:p>
    <w:p w14:paraId="79C40F7C" w14:textId="7BDE884C" w:rsidR="007A0E1A" w:rsidRDefault="006B1B7B" w:rsidP="009162C9">
      <w:r>
        <w:t>Across the five different anticoagulant medicine classes, the</w:t>
      </w:r>
      <w:r w:rsidR="00722826">
        <w:t xml:space="preserve"> classes</w:t>
      </w:r>
      <w:r>
        <w:t xml:space="preserve"> most commonly</w:t>
      </w:r>
      <w:r w:rsidR="003A2EAE">
        <w:t xml:space="preserve"> implicated </w:t>
      </w:r>
      <w:r>
        <w:t xml:space="preserve">were the </w:t>
      </w:r>
      <w:r w:rsidR="002C2F47">
        <w:t>h</w:t>
      </w:r>
      <w:r>
        <w:t xml:space="preserve">eparins </w:t>
      </w:r>
      <w:r w:rsidRPr="00447F21">
        <w:t>and</w:t>
      </w:r>
      <w:r>
        <w:t xml:space="preserve"> </w:t>
      </w:r>
      <w:r w:rsidR="002C2F47">
        <w:t>l</w:t>
      </w:r>
      <w:r>
        <w:t xml:space="preserve">ow </w:t>
      </w:r>
      <w:r w:rsidR="002C2F47">
        <w:t>m</w:t>
      </w:r>
      <w:r>
        <w:t xml:space="preserve">olecular </w:t>
      </w:r>
      <w:r w:rsidR="002C2F47">
        <w:t>w</w:t>
      </w:r>
      <w:r>
        <w:t xml:space="preserve">eight </w:t>
      </w:r>
      <w:r w:rsidR="002C2F47">
        <w:t>h</w:t>
      </w:r>
      <w:r>
        <w:t>eparin which accounted for just under two thirds of</w:t>
      </w:r>
      <w:r w:rsidR="00722826">
        <w:t xml:space="preserve"> all</w:t>
      </w:r>
      <w:r w:rsidR="003C79DE">
        <w:t xml:space="preserve"> incidents analysed, see</w:t>
      </w:r>
      <w:r w:rsidR="003A2EAE">
        <w:t xml:space="preserve"> </w:t>
      </w:r>
      <w:r w:rsidR="009162C9" w:rsidRPr="00916433">
        <w:rPr>
          <w:b/>
        </w:rPr>
        <w:t>Figure 1</w:t>
      </w:r>
      <w:r w:rsidR="003C79DE">
        <w:t xml:space="preserve"> below</w:t>
      </w:r>
      <w:r w:rsidR="009162C9">
        <w:t xml:space="preserve">. </w:t>
      </w:r>
    </w:p>
    <w:p w14:paraId="3794D725" w14:textId="3D880193" w:rsidR="00447F21" w:rsidRPr="00447F21" w:rsidRDefault="00447F21" w:rsidP="00447F21">
      <w:pPr>
        <w:pStyle w:val="Caption"/>
      </w:pPr>
      <w:r>
        <w:t xml:space="preserve">Figure </w:t>
      </w:r>
      <w:r w:rsidR="002D45FC">
        <w:fldChar w:fldCharType="begin"/>
      </w:r>
      <w:r w:rsidR="002D45FC">
        <w:instrText xml:space="preserve"> SEQ Figure \* ARABIC </w:instrText>
      </w:r>
      <w:r w:rsidR="002D45FC">
        <w:fldChar w:fldCharType="separate"/>
      </w:r>
      <w:r w:rsidR="00FA0B70">
        <w:rPr>
          <w:noProof/>
        </w:rPr>
        <w:t>1</w:t>
      </w:r>
      <w:r w:rsidR="002D45FC">
        <w:rPr>
          <w:noProof/>
        </w:rPr>
        <w:fldChar w:fldCharType="end"/>
      </w:r>
      <w:r>
        <w:t xml:space="preserve">: </w:t>
      </w:r>
      <w:r w:rsidRPr="004F33CA">
        <w:t>Describes the proportion of each anticoagulant medicine class involved across all incidents analysed</w:t>
      </w:r>
    </w:p>
    <w:p w14:paraId="05942B00" w14:textId="77777777" w:rsidR="007A0E1A" w:rsidRDefault="007A0E1A" w:rsidP="004C53F4">
      <w:bookmarkStart w:id="20" w:name="OLE_LINK1"/>
      <w:bookmarkStart w:id="21" w:name="OLE_LINK2"/>
      <w:r>
        <w:rPr>
          <w:noProof/>
        </w:rPr>
        <w:drawing>
          <wp:inline distT="0" distB="0" distL="0" distR="0" wp14:anchorId="6B643F72" wp14:editId="12419653">
            <wp:extent cx="5721350" cy="3455895"/>
            <wp:effectExtent l="0" t="0" r="6350" b="11430"/>
            <wp:docPr id="1" name="Chart 1" descr="Figure 1: Describes the proportion of each anticoagulant medicine class involved across all incidents analysed&#10;&#10;Proportion of each anticoagulant medicine class involved in incidents:&#10;14% Direct Oral Anticoagulant (DOAC)&#13;33% Heparins&#13;31% Low Molecular Weight Heparins (LMWH)&#13;22% Vitamin K antagonists&#13;0.3% Factor Xa inhibi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EDC63C" w14:textId="0E38A071" w:rsidR="007A0E1A" w:rsidRPr="00E93A21" w:rsidRDefault="007A0E1A" w:rsidP="0043763C">
      <w:pPr>
        <w:spacing w:before="240"/>
      </w:pPr>
      <w:r>
        <w:t xml:space="preserve">Of the 348 </w:t>
      </w:r>
      <w:bookmarkEnd w:id="20"/>
      <w:bookmarkEnd w:id="21"/>
      <w:r w:rsidRPr="00E93A21">
        <w:t xml:space="preserve">incidents analysed, 115 involved a heparin (heparin </w:t>
      </w:r>
      <w:r w:rsidR="009162C9" w:rsidRPr="00E93A21">
        <w:t xml:space="preserve">unfractionated </w:t>
      </w:r>
      <w:r w:rsidR="005E652F" w:rsidRPr="00E93A21">
        <w:t>or heparinised saline), and</w:t>
      </w:r>
      <w:r w:rsidR="00EB3E6F">
        <w:t xml:space="preserve"> </w:t>
      </w:r>
      <w:r w:rsidR="005E652F" w:rsidRPr="00E93A21">
        <w:t>106</w:t>
      </w:r>
      <w:r w:rsidR="00722826" w:rsidRPr="00E93A21">
        <w:t xml:space="preserve"> incidents involved</w:t>
      </w:r>
      <w:r w:rsidRPr="00E93A21">
        <w:t xml:space="preserve"> </w:t>
      </w:r>
      <w:r w:rsidR="002C2F47">
        <w:t>l</w:t>
      </w:r>
      <w:r w:rsidRPr="00E93A21">
        <w:t xml:space="preserve">ow </w:t>
      </w:r>
      <w:r w:rsidR="002C2F47">
        <w:t>m</w:t>
      </w:r>
      <w:r w:rsidRPr="00E93A21">
        <w:t xml:space="preserve">olecular </w:t>
      </w:r>
      <w:r w:rsidR="002C2F47">
        <w:t>w</w:t>
      </w:r>
      <w:r w:rsidRPr="00E93A21">
        <w:t xml:space="preserve">eight </w:t>
      </w:r>
      <w:r w:rsidR="002C2F47">
        <w:t>h</w:t>
      </w:r>
      <w:r w:rsidRPr="00E93A21">
        <w:t>eparins (LMWH)</w:t>
      </w:r>
      <w:r w:rsidR="00722826" w:rsidRPr="00E93A21">
        <w:t>.</w:t>
      </w:r>
      <w:r w:rsidRPr="00E93A21">
        <w:t xml:space="preserve"> </w:t>
      </w:r>
      <w:r w:rsidR="00722826" w:rsidRPr="00E93A21">
        <w:t xml:space="preserve">These proportions closely aligned with WA Health findings. </w:t>
      </w:r>
    </w:p>
    <w:p w14:paraId="7192F8F6" w14:textId="52EC92BC" w:rsidR="007A0E1A" w:rsidRPr="00E93A21" w:rsidRDefault="007A0E1A" w:rsidP="007A0E1A">
      <w:pPr>
        <w:pStyle w:val="Heading4"/>
      </w:pPr>
      <w:r w:rsidRPr="00E93A21">
        <w:t>Heparins</w:t>
      </w:r>
    </w:p>
    <w:p w14:paraId="2E65EB61" w14:textId="00F1C9BA" w:rsidR="007A0E1A" w:rsidRDefault="007A0E1A" w:rsidP="007A0E1A">
      <w:r w:rsidRPr="00E93A21">
        <w:t>Both heparinised saline and heparin (unfractionated) were included within the heparin group for this analysis, despite differences in their clinical application. Thirteen incidents involved heparinised saline. Use of heparin (unfractionated) for anticoagulation, and the complex prescribing, administration and monitoring processes to ensure this medicine</w:t>
      </w:r>
      <w:r w:rsidR="002D2E45">
        <w:t xml:space="preserve"> </w:t>
      </w:r>
      <w:r w:rsidRPr="00E93A21">
        <w:t>is managed safely, create a number of potential</w:t>
      </w:r>
      <w:r w:rsidR="00722826" w:rsidRPr="00E93A21">
        <w:t xml:space="preserve"> medication safety</w:t>
      </w:r>
      <w:r w:rsidRPr="00E93A21">
        <w:t xml:space="preserve"> risks. </w:t>
      </w:r>
      <w:r w:rsidR="0053430D" w:rsidRPr="00E93A21">
        <w:t xml:space="preserve">There were </w:t>
      </w:r>
      <w:r w:rsidRPr="00E93A21">
        <w:t xml:space="preserve">74 </w:t>
      </w:r>
      <w:r w:rsidR="0053430D" w:rsidRPr="00E93A21">
        <w:t xml:space="preserve">administration-related </w:t>
      </w:r>
      <w:r w:rsidRPr="00E93A21">
        <w:t>incidents</w:t>
      </w:r>
      <w:r w:rsidR="006B0E11" w:rsidRPr="00E93A21">
        <w:t xml:space="preserve"> with the leading type of incident being </w:t>
      </w:r>
      <w:r w:rsidR="005E652F" w:rsidRPr="00E93A21">
        <w:t>incorrect rate of administration</w:t>
      </w:r>
      <w:r w:rsidR="00404286" w:rsidRPr="00E93A21">
        <w:t xml:space="preserve"> (15</w:t>
      </w:r>
      <w:r w:rsidR="000B64B9">
        <w:t> </w:t>
      </w:r>
      <w:r w:rsidR="00404286" w:rsidRPr="00E93A21">
        <w:t>incidents)</w:t>
      </w:r>
      <w:r w:rsidR="0053430D" w:rsidRPr="00E93A21">
        <w:t xml:space="preserve"> and 29 incidents involving </w:t>
      </w:r>
      <w:r w:rsidRPr="00E93A21">
        <w:t>prescribing</w:t>
      </w:r>
      <w:r w:rsidR="0053430D" w:rsidRPr="00E93A21">
        <w:t xml:space="preserve"> processes.</w:t>
      </w:r>
      <w:r w:rsidR="006B0E11" w:rsidRPr="00E93A21">
        <w:t xml:space="preserve"> </w:t>
      </w:r>
      <w:r w:rsidR="00404286" w:rsidRPr="00E93A21">
        <w:t>Incident types were fairly evenly distributed across the prescribing responsibilities</w:t>
      </w:r>
      <w:r w:rsidR="002C2F47">
        <w:t>.</w:t>
      </w:r>
      <w:r w:rsidR="00404286" w:rsidRPr="00E93A21">
        <w:t xml:space="preserve"> </w:t>
      </w:r>
      <w:r w:rsidR="002C2F47">
        <w:t>T</w:t>
      </w:r>
      <w:r w:rsidR="006B0E11" w:rsidRPr="00E93A21">
        <w:t xml:space="preserve">he most common prescribing incident-type involving heparins was </w:t>
      </w:r>
      <w:r w:rsidR="00404286" w:rsidRPr="00E93A21">
        <w:t>incomplete prescription (</w:t>
      </w:r>
      <w:r w:rsidR="0043763C">
        <w:t>six</w:t>
      </w:r>
      <w:r w:rsidR="00404286" w:rsidRPr="00E93A21">
        <w:t xml:space="preserve"> incidents).</w:t>
      </w:r>
      <w:r w:rsidR="002D2E45">
        <w:t xml:space="preserve"> </w:t>
      </w:r>
    </w:p>
    <w:p w14:paraId="1703C561" w14:textId="1991A274" w:rsidR="007A0E1A" w:rsidRDefault="007A0E1A" w:rsidP="007A0E1A">
      <w:pPr>
        <w:pStyle w:val="Heading4"/>
      </w:pPr>
      <w:r>
        <w:lastRenderedPageBreak/>
        <w:t>Low Molecular Weight Heparins (LMWH)</w:t>
      </w:r>
    </w:p>
    <w:p w14:paraId="06B7C540" w14:textId="574C4DDA" w:rsidR="007A0E1A" w:rsidRPr="00E93A21" w:rsidRDefault="007A0E1A" w:rsidP="007A0E1A">
      <w:r>
        <w:t xml:space="preserve">LMWH were the second largest group of medicines </w:t>
      </w:r>
      <w:r w:rsidRPr="00E93A21">
        <w:t>inv</w:t>
      </w:r>
      <w:r w:rsidR="00BB22C3" w:rsidRPr="00E93A21">
        <w:t>olved in this incident analysis.</w:t>
      </w:r>
      <w:r w:rsidR="002D2E45">
        <w:t xml:space="preserve"> </w:t>
      </w:r>
      <w:r w:rsidRPr="00E93A21">
        <w:t>Enoxaparin was implicated in the vast m</w:t>
      </w:r>
      <w:r w:rsidR="00E3192E" w:rsidRPr="00E93A21">
        <w:t>ajority of these (101 out of 107</w:t>
      </w:r>
      <w:r w:rsidRPr="00E93A21">
        <w:t xml:space="preserve"> incidents). Administration was the leading medication management process involved </w:t>
      </w:r>
      <w:r w:rsidR="00E3192E" w:rsidRPr="00E93A21">
        <w:t>with the most common incident type</w:t>
      </w:r>
      <w:r w:rsidRPr="00E93A21">
        <w:t xml:space="preserve"> </w:t>
      </w:r>
      <w:r w:rsidR="006B0E11" w:rsidRPr="00E93A21">
        <w:t>being</w:t>
      </w:r>
      <w:r w:rsidR="0053430D" w:rsidRPr="00E93A21">
        <w:t xml:space="preserve"> </w:t>
      </w:r>
      <w:r w:rsidRPr="00E93A21">
        <w:t>omission of a dose</w:t>
      </w:r>
      <w:r w:rsidR="0053430D" w:rsidRPr="00E93A21">
        <w:t>.</w:t>
      </w:r>
      <w:r w:rsidR="002D2E45">
        <w:t xml:space="preserve"> </w:t>
      </w:r>
    </w:p>
    <w:p w14:paraId="5316E5C4" w14:textId="7C02F878" w:rsidR="007A0E1A" w:rsidRPr="00E93A21" w:rsidRDefault="007A0E1A" w:rsidP="007A0E1A">
      <w:pPr>
        <w:pStyle w:val="Heading4"/>
      </w:pPr>
      <w:r w:rsidRPr="00E93A21">
        <w:t>Warfarin</w:t>
      </w:r>
    </w:p>
    <w:p w14:paraId="30796EEA" w14:textId="775F8881" w:rsidR="007A0E1A" w:rsidRPr="00E93A21" w:rsidRDefault="00B23327" w:rsidP="007A0E1A">
      <w:r w:rsidRPr="00E93A21">
        <w:t>Warfarin was involved in 76</w:t>
      </w:r>
      <w:r w:rsidR="006B0E11" w:rsidRPr="00E93A21">
        <w:t xml:space="preserve"> incidents</w:t>
      </w:r>
      <w:r w:rsidR="00E3192E" w:rsidRPr="00E93A21">
        <w:t xml:space="preserve"> (22%)</w:t>
      </w:r>
      <w:r w:rsidRPr="00E93A21">
        <w:t xml:space="preserve"> of all incidents reviewed, the third most common anticoagulant to be involved.</w:t>
      </w:r>
      <w:r w:rsidR="00C91B79" w:rsidRPr="00E93A21">
        <w:t xml:space="preserve"> In over half of these cases, the incident </w:t>
      </w:r>
      <w:r w:rsidR="00E3192E" w:rsidRPr="00E93A21">
        <w:t>was implicated in the</w:t>
      </w:r>
      <w:r w:rsidR="00C91B79" w:rsidRPr="00E93A21">
        <w:t xml:space="preserve"> administration of the medicine (36 out of 76</w:t>
      </w:r>
      <w:r w:rsidR="00E3192E" w:rsidRPr="00E93A21">
        <w:t xml:space="preserve"> incidents</w:t>
      </w:r>
      <w:r w:rsidR="00C91B79" w:rsidRPr="00E93A21">
        <w:t>) and just under half involved prescribing (31 incidents). Omitted dose (24 incidents), documentation error</w:t>
      </w:r>
      <w:r w:rsidR="00247F60">
        <w:t xml:space="preserve"> – </w:t>
      </w:r>
      <w:r w:rsidR="00C91B79" w:rsidRPr="00E93A21">
        <w:t>no dose (10</w:t>
      </w:r>
      <w:r w:rsidR="00741BF3">
        <w:t> </w:t>
      </w:r>
      <w:r w:rsidR="00C91B79" w:rsidRPr="00E93A21">
        <w:t>incidents) and medication not prescribed (</w:t>
      </w:r>
      <w:r w:rsidR="00E72643">
        <w:t>nine</w:t>
      </w:r>
      <w:r w:rsidR="00C91B79" w:rsidRPr="00E93A21">
        <w:t xml:space="preserve"> incidents) were the top three incident types reported. </w:t>
      </w:r>
    </w:p>
    <w:p w14:paraId="3DA0D143" w14:textId="0DFB37FB" w:rsidR="007A0E1A" w:rsidRPr="00E93A21" w:rsidRDefault="007A0E1A" w:rsidP="007A0E1A">
      <w:pPr>
        <w:pStyle w:val="Heading4"/>
      </w:pPr>
      <w:r w:rsidRPr="00E93A21">
        <w:t>DOACs</w:t>
      </w:r>
    </w:p>
    <w:p w14:paraId="70F0282E" w14:textId="5E2DD75B" w:rsidR="002C1C5C" w:rsidRDefault="007A0E1A" w:rsidP="007A0E1A">
      <w:r w:rsidRPr="00E93A21">
        <w:t>DOAC</w:t>
      </w:r>
      <w:r w:rsidR="00674D75">
        <w:t>s</w:t>
      </w:r>
      <w:r w:rsidRPr="00E93A21">
        <w:t xml:space="preserve"> were involved in </w:t>
      </w:r>
      <w:r w:rsidR="006B0E11" w:rsidRPr="00E93A21">
        <w:t>50 incidents</w:t>
      </w:r>
      <w:r w:rsidR="00E3192E" w:rsidRPr="00E93A21">
        <w:t xml:space="preserve"> (14%)</w:t>
      </w:r>
      <w:r w:rsidRPr="00E93A21">
        <w:t xml:space="preserve"> of all incid</w:t>
      </w:r>
      <w:r w:rsidR="006B761E" w:rsidRPr="00E93A21">
        <w:t xml:space="preserve">ents reviewed. Of this group, </w:t>
      </w:r>
      <w:r w:rsidR="007C5FA0" w:rsidRPr="00E93A21">
        <w:t>rivaroxaban and apixaban were by far the most commonly implicated medicines (25</w:t>
      </w:r>
      <w:r w:rsidR="005B0433">
        <w:t> </w:t>
      </w:r>
      <w:r w:rsidR="007C5FA0" w:rsidRPr="00E93A21">
        <w:t>incidents and 23 incidents respectively).</w:t>
      </w:r>
      <w:r w:rsidR="002C1C5C" w:rsidRPr="00E93A21">
        <w:t xml:space="preserve"> </w:t>
      </w:r>
      <w:r w:rsidR="00EB3E6F">
        <w:t xml:space="preserve">In comparison with </w:t>
      </w:r>
      <w:r w:rsidR="002C1C5C" w:rsidRPr="00E93A21">
        <w:t>the other anticoagulant</w:t>
      </w:r>
      <w:r w:rsidR="00813D5C" w:rsidRPr="00E93A21">
        <w:t xml:space="preserve"> medicine</w:t>
      </w:r>
      <w:r w:rsidR="002C1C5C" w:rsidRPr="00E93A21">
        <w:t xml:space="preserve"> classes, the prescribing process was most commonly involved</w:t>
      </w:r>
      <w:r w:rsidR="00813D5C" w:rsidRPr="00E93A21">
        <w:t>. T</w:t>
      </w:r>
      <w:r w:rsidR="002C1C5C" w:rsidRPr="00E93A21">
        <w:t>he</w:t>
      </w:r>
      <w:r w:rsidR="00813D5C" w:rsidRPr="00E93A21">
        <w:t xml:space="preserve"> most frequent</w:t>
      </w:r>
      <w:r w:rsidR="002C1C5C" w:rsidRPr="00E93A21">
        <w:t xml:space="preserve"> incident type identified </w:t>
      </w:r>
      <w:r w:rsidR="00813D5C" w:rsidRPr="00E93A21">
        <w:t>w</w:t>
      </w:r>
      <w:r w:rsidR="002C1C5C" w:rsidRPr="00E93A21">
        <w:t>as duplicate therapy.</w:t>
      </w:r>
    </w:p>
    <w:p w14:paraId="42894D92" w14:textId="3563BB0D" w:rsidR="00E72643" w:rsidRDefault="00E72643" w:rsidP="00E72643">
      <w:pPr>
        <w:pStyle w:val="Caption"/>
      </w:pPr>
      <w:r>
        <w:t xml:space="preserve">Figure </w:t>
      </w:r>
      <w:r w:rsidR="002D45FC">
        <w:fldChar w:fldCharType="begin"/>
      </w:r>
      <w:r w:rsidR="002D45FC">
        <w:instrText xml:space="preserve"> SEQ Figure \* ARABIC </w:instrText>
      </w:r>
      <w:r w:rsidR="002D45FC">
        <w:fldChar w:fldCharType="separate"/>
      </w:r>
      <w:r w:rsidR="00FA0B70">
        <w:rPr>
          <w:noProof/>
        </w:rPr>
        <w:t>2</w:t>
      </w:r>
      <w:r w:rsidR="002D45FC">
        <w:rPr>
          <w:noProof/>
        </w:rPr>
        <w:fldChar w:fldCharType="end"/>
      </w:r>
      <w:r>
        <w:t xml:space="preserve">: </w:t>
      </w:r>
      <w:r w:rsidRPr="003E0451">
        <w:t>Describes the proportion of each DOAC medicine implicated across all incidents analysed</w:t>
      </w:r>
    </w:p>
    <w:p w14:paraId="64D642FE" w14:textId="57E7193B" w:rsidR="007A0E1A" w:rsidRDefault="00813D5C" w:rsidP="007A0E1A">
      <w:r w:rsidRPr="000B65D8">
        <w:rPr>
          <w:noProof/>
          <w:shd w:val="clear" w:color="auto" w:fill="404040" w:themeFill="text1" w:themeFillTint="BF"/>
        </w:rPr>
        <w:drawing>
          <wp:inline distT="0" distB="0" distL="0" distR="0" wp14:anchorId="57BFDD80" wp14:editId="166351DB">
            <wp:extent cx="5731510" cy="3725333"/>
            <wp:effectExtent l="0" t="0" r="8890" b="8890"/>
            <wp:docPr id="7" name="Chart 7" descr="Figure 2: Describes the proportion of each DOAC medicine implicated across all incidents analysed&#10;&#10;Type of DOAC involved in reported incidents:&#13;46% Apixaban&#13;4% Dabigatran&#13;50% Rivaroxaba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563FD2" w14:textId="77777777" w:rsidR="00D20018" w:rsidRDefault="00D20018" w:rsidP="00541351">
      <w:pPr>
        <w:rPr>
          <w:color w:val="404040" w:themeColor="text1" w:themeTint="BF"/>
          <w:sz w:val="26"/>
          <w:szCs w:val="26"/>
        </w:rPr>
      </w:pPr>
      <w:r>
        <w:br w:type="page"/>
      </w:r>
    </w:p>
    <w:p w14:paraId="42530911" w14:textId="2B481B4D" w:rsidR="001259EB" w:rsidRDefault="001259EB" w:rsidP="00E00E98">
      <w:pPr>
        <w:pStyle w:val="Heading4"/>
      </w:pPr>
      <w:r>
        <w:lastRenderedPageBreak/>
        <w:t xml:space="preserve">Medication management processes </w:t>
      </w:r>
    </w:p>
    <w:p w14:paraId="068FBA3B" w14:textId="1FAB979A" w:rsidR="001259EB" w:rsidRDefault="001259EB" w:rsidP="001259EB">
      <w:r>
        <w:t xml:space="preserve">There were ten medication management processes included in the </w:t>
      </w:r>
      <w:r w:rsidR="00E00E98">
        <w:t xml:space="preserve">Anticoagulant Incident </w:t>
      </w:r>
      <w:r w:rsidR="00E00E98" w:rsidRPr="00E93A21">
        <w:t>Review P</w:t>
      </w:r>
      <w:r w:rsidRPr="00E93A21">
        <w:t>rotocol</w:t>
      </w:r>
      <w:r w:rsidR="00E00E98" w:rsidRPr="00E93A21">
        <w:t xml:space="preserve"> (refer </w:t>
      </w:r>
      <w:r w:rsidR="00E00E98" w:rsidRPr="00E93A21">
        <w:rPr>
          <w:b/>
        </w:rPr>
        <w:t xml:space="preserve">Appendix </w:t>
      </w:r>
      <w:r w:rsidR="001577DE">
        <w:rPr>
          <w:b/>
        </w:rPr>
        <w:t>1</w:t>
      </w:r>
      <w:r w:rsidR="00E00E98" w:rsidRPr="00E93A21">
        <w:t>)</w:t>
      </w:r>
      <w:r w:rsidRPr="00E93A21">
        <w:t>. The majority of incidents related to administration of a medicine (20</w:t>
      </w:r>
      <w:r w:rsidR="00BB22C3" w:rsidRPr="00E93A21">
        <w:t>3</w:t>
      </w:r>
      <w:r w:rsidRPr="00E93A21">
        <w:t xml:space="preserve"> out of 348 incidents) and prescribing a </w:t>
      </w:r>
      <w:r w:rsidR="00A65A2B" w:rsidRPr="00E93A21">
        <w:t>medicine (11</w:t>
      </w:r>
      <w:r w:rsidR="00BB22C3" w:rsidRPr="00E93A21">
        <w:t>5</w:t>
      </w:r>
      <w:r w:rsidRPr="00E93A21">
        <w:t xml:space="preserve"> out of 348 incidents). Post monitoring was related to 14 incidents, </w:t>
      </w:r>
      <w:r w:rsidR="00EB3E6F">
        <w:t xml:space="preserve">with </w:t>
      </w:r>
      <w:r w:rsidRPr="00E93A21">
        <w:t>10 of these related to heparin monitoring</w:t>
      </w:r>
      <w:r w:rsidR="00EE129C" w:rsidRPr="00E93A21">
        <w:t xml:space="preserve"> specifically</w:t>
      </w:r>
      <w:r w:rsidR="00916433" w:rsidRPr="00E93A21">
        <w:t>. Comparative numbers for the top 10 management processes</w:t>
      </w:r>
      <w:r w:rsidR="00EE129C" w:rsidRPr="00E93A21">
        <w:t xml:space="preserve"> involved</w:t>
      </w:r>
      <w:r w:rsidR="00916433" w:rsidRPr="00E93A21">
        <w:t xml:space="preserve"> are displayed in </w:t>
      </w:r>
      <w:r w:rsidR="00916433" w:rsidRPr="00E93A21">
        <w:rPr>
          <w:b/>
        </w:rPr>
        <w:t xml:space="preserve">Figure </w:t>
      </w:r>
      <w:r w:rsidR="00F53F19" w:rsidRPr="00E93A21">
        <w:rPr>
          <w:b/>
        </w:rPr>
        <w:t>3</w:t>
      </w:r>
      <w:r w:rsidRPr="00E93A21">
        <w:t>.</w:t>
      </w:r>
    </w:p>
    <w:p w14:paraId="6F6AF74E" w14:textId="6C6E3E5A" w:rsidR="00E72643" w:rsidRDefault="00E72643" w:rsidP="00E72643">
      <w:pPr>
        <w:pStyle w:val="Caption"/>
      </w:pPr>
      <w:r>
        <w:t xml:space="preserve">Figure </w:t>
      </w:r>
      <w:r w:rsidR="002D45FC">
        <w:fldChar w:fldCharType="begin"/>
      </w:r>
      <w:r w:rsidR="002D45FC">
        <w:instrText xml:space="preserve"> SEQ Figure \* ARABIC </w:instrText>
      </w:r>
      <w:r w:rsidR="002D45FC">
        <w:fldChar w:fldCharType="separate"/>
      </w:r>
      <w:r w:rsidR="00FA0B70">
        <w:rPr>
          <w:noProof/>
        </w:rPr>
        <w:t>3</w:t>
      </w:r>
      <w:r w:rsidR="002D45FC">
        <w:rPr>
          <w:noProof/>
        </w:rPr>
        <w:fldChar w:fldCharType="end"/>
      </w:r>
      <w:r>
        <w:t xml:space="preserve">: </w:t>
      </w:r>
      <w:r w:rsidRPr="00131F38">
        <w:t>The top 10 medication management processes implicated across all incidents analysed</w:t>
      </w:r>
    </w:p>
    <w:p w14:paraId="52E80FDF" w14:textId="481CC2A1" w:rsidR="005C4B28" w:rsidRDefault="00D72C77" w:rsidP="004C53F4">
      <w:pPr>
        <w:jc w:val="right"/>
      </w:pPr>
      <w:r>
        <w:rPr>
          <w:noProof/>
        </w:rPr>
        <mc:AlternateContent>
          <mc:Choice Requires="wps">
            <w:drawing>
              <wp:anchor distT="45720" distB="45720" distL="114300" distR="114300" simplePos="0" relativeHeight="251661312" behindDoc="0" locked="0" layoutInCell="1" allowOverlap="1" wp14:anchorId="0EC41CD6" wp14:editId="6FE20340">
                <wp:simplePos x="0" y="0"/>
                <wp:positionH relativeFrom="column">
                  <wp:posOffset>3098800</wp:posOffset>
                </wp:positionH>
                <wp:positionV relativeFrom="paragraph">
                  <wp:posOffset>3643777</wp:posOffset>
                </wp:positionV>
                <wp:extent cx="1215563" cy="231140"/>
                <wp:effectExtent l="0" t="0" r="3810" b="0"/>
                <wp:wrapNone/>
                <wp:docPr id="217" name="Text Box 2" descr="Incident Cou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563" cy="231140"/>
                        </a:xfrm>
                        <a:prstGeom prst="rect">
                          <a:avLst/>
                        </a:prstGeom>
                        <a:solidFill>
                          <a:srgbClr val="FFFFFF"/>
                        </a:solidFill>
                        <a:ln w="9525">
                          <a:noFill/>
                          <a:miter lim="800000"/>
                          <a:headEnd/>
                          <a:tailEnd/>
                        </a:ln>
                      </wps:spPr>
                      <wps:txbx>
                        <w:txbxContent>
                          <w:p w14:paraId="3BBE18A2" w14:textId="5F6CE14D" w:rsidR="002F5AD6" w:rsidRPr="000B65D8" w:rsidRDefault="002F5AD6">
                            <w:pPr>
                              <w:rPr>
                                <w:color w:val="404040" w:themeColor="text1" w:themeTint="BF"/>
                                <w:sz w:val="18"/>
                                <w:szCs w:val="18"/>
                              </w:rPr>
                            </w:pPr>
                            <w:r w:rsidRPr="000B65D8">
                              <w:rPr>
                                <w:color w:val="404040" w:themeColor="text1" w:themeTint="BF"/>
                                <w:sz w:val="18"/>
                                <w:szCs w:val="18"/>
                              </w:rPr>
                              <w:t>Incident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41CD6" id="_x0000_t202" coordsize="21600,21600" o:spt="202" path="m,l,21600r21600,l21600,xe">
                <v:stroke joinstyle="miter"/>
                <v:path gradientshapeok="t" o:connecttype="rect"/>
              </v:shapetype>
              <v:shape id="Text Box 2" o:spid="_x0000_s1026" type="#_x0000_t202" alt="Incident Count" style="position:absolute;left:0;text-align:left;margin-left:244pt;margin-top:286.9pt;width:95.7pt;height:1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" stroked="f">
                <v:textbox>
                  <w:txbxContent>
                    <w:p w14:paraId="3BBE18A2" w14:textId="5F6CE14D" w:rsidR="002F5AD6" w:rsidRPr="000B65D8" w:rsidRDefault="002F5AD6">
                      <w:pPr>
                        <w:rPr>
                          <w:color w:val="404040" w:themeColor="text1" w:themeTint="BF"/>
                          <w:sz w:val="18"/>
                          <w:szCs w:val="18"/>
                        </w:rPr>
                      </w:pPr>
                      <w:r w:rsidRPr="000B65D8">
                        <w:rPr>
                          <w:color w:val="404040" w:themeColor="text1" w:themeTint="BF"/>
                          <w:sz w:val="18"/>
                          <w:szCs w:val="18"/>
                        </w:rPr>
                        <w:t>Incident Count</w:t>
                      </w:r>
                    </w:p>
                  </w:txbxContent>
                </v:textbox>
              </v:shape>
            </w:pict>
          </mc:Fallback>
        </mc:AlternateContent>
      </w:r>
      <w:r w:rsidR="00607E6D">
        <w:rPr>
          <w:noProof/>
        </w:rPr>
        <w:drawing>
          <wp:inline distT="0" distB="0" distL="0" distR="0" wp14:anchorId="097935AA" wp14:editId="19ED5ED2">
            <wp:extent cx="5861685" cy="3884624"/>
            <wp:effectExtent l="0" t="0" r="18415" b="14605"/>
            <wp:docPr id="6" name="Chart 6" descr="Figure 3: The top 10 medication management processes implicated across all incidents analysed&#10;&#10;Breakdown of incident process types for all anticoagulants:&#13;Incident Count:&#10;203 Administration&#13;2 Consumer advice and information&#13;3 Dispensing&#13;1 Documentation&#13;14 Post monitoring&#13;115 Prescribing&#13;4 Self-administration&#13;1 Storage&#13;5 Supply"/>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489289" w14:textId="01BCEEAB" w:rsidR="00780489" w:rsidRDefault="00780489" w:rsidP="00E02F61">
      <w:pPr>
        <w:pStyle w:val="Heading3"/>
      </w:pPr>
      <w:r>
        <w:br w:type="page"/>
      </w:r>
    </w:p>
    <w:p w14:paraId="2C8808E0" w14:textId="5285A645" w:rsidR="00BE0A17" w:rsidRDefault="00365A80" w:rsidP="00E02F61">
      <w:pPr>
        <w:pStyle w:val="Heading3"/>
      </w:pPr>
      <w:bookmarkStart w:id="22" w:name="_Toc80021279"/>
      <w:r>
        <w:lastRenderedPageBreak/>
        <w:t>A</w:t>
      </w:r>
      <w:r w:rsidR="005D2AB5">
        <w:t>nticoagulant incident types</w:t>
      </w:r>
      <w:bookmarkEnd w:id="22"/>
    </w:p>
    <w:p w14:paraId="23697D5B" w14:textId="7093A247" w:rsidR="00D66D0E" w:rsidRDefault="00F53F19" w:rsidP="00E72643">
      <w:r w:rsidRPr="00F53F19">
        <w:rPr>
          <w:b/>
        </w:rPr>
        <w:t>Figure 4</w:t>
      </w:r>
      <w:r>
        <w:t xml:space="preserve"> shows the top 10 </w:t>
      </w:r>
      <w:r w:rsidRPr="00E93A21">
        <w:t xml:space="preserve">incident types across all anticoagulants. </w:t>
      </w:r>
      <w:r w:rsidR="001259EB" w:rsidRPr="00E93A21">
        <w:t>The top three incident types nationally were omitted dose (72 incidents)</w:t>
      </w:r>
      <w:r w:rsidR="001577DE">
        <w:t xml:space="preserve"> </w:t>
      </w:r>
      <w:r w:rsidR="001259EB" w:rsidRPr="00E93A21">
        <w:t>followed by incorrect dose (24 incidents) and duplicate therapy (23 incidents)</w:t>
      </w:r>
      <w:r w:rsidR="00365A80" w:rsidRPr="00E93A21">
        <w:t>.</w:t>
      </w:r>
      <w:r w:rsidR="002D2E45">
        <w:t xml:space="preserve"> </w:t>
      </w:r>
    </w:p>
    <w:p w14:paraId="2D3B822E" w14:textId="09FC1EFD" w:rsidR="00E72643" w:rsidRDefault="00E72643" w:rsidP="00E72643">
      <w:pPr>
        <w:pStyle w:val="Caption"/>
      </w:pPr>
      <w:r>
        <w:t xml:space="preserve">Figure </w:t>
      </w:r>
      <w:r w:rsidR="002D45FC">
        <w:fldChar w:fldCharType="begin"/>
      </w:r>
      <w:r w:rsidR="002D45FC">
        <w:instrText xml:space="preserve"> SEQ Figure \* ARABIC </w:instrText>
      </w:r>
      <w:r w:rsidR="002D45FC">
        <w:fldChar w:fldCharType="separate"/>
      </w:r>
      <w:r w:rsidR="00FA0B70">
        <w:rPr>
          <w:noProof/>
        </w:rPr>
        <w:t>4</w:t>
      </w:r>
      <w:r w:rsidR="002D45FC">
        <w:rPr>
          <w:noProof/>
        </w:rPr>
        <w:fldChar w:fldCharType="end"/>
      </w:r>
      <w:r>
        <w:t xml:space="preserve">: </w:t>
      </w:r>
      <w:r w:rsidRPr="00B93085">
        <w:t>Top 10 incident types across all anticoagulant incidents</w:t>
      </w:r>
    </w:p>
    <w:p w14:paraId="3BE352A5" w14:textId="77777777" w:rsidR="001259EB" w:rsidRDefault="00365A80" w:rsidP="0088128D">
      <w:r>
        <w:rPr>
          <w:noProof/>
        </w:rPr>
        <w:drawing>
          <wp:inline distT="0" distB="0" distL="0" distR="0" wp14:anchorId="717E5DD4" wp14:editId="2EFFD074">
            <wp:extent cx="5841242" cy="3324225"/>
            <wp:effectExtent l="0" t="0" r="13970" b="15875"/>
            <wp:docPr id="5" name="Chart 5" descr="Figure 4: Top 10 incident types across all anticoagulant incidents&#10;&#10;Top 10 incidents types:&#13;Incident Count:&#10;72 Omitted dose&#13;24 Incorrect dose&#13;23 Duplicate therapy&#13;18 Duplicate dose&#13;18 Medication not prescribed&#13;16 Incomplete prescription&#13;16 Incorrect rate of administration&#13;13 Incorrect medication&#13;11 Unclear&#13;9 Failure to adminis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B469D6" w14:textId="5A4C9B0E" w:rsidR="00365A80" w:rsidRPr="00E93A21" w:rsidRDefault="002C2F47" w:rsidP="008D36C0">
      <w:pPr>
        <w:spacing w:before="240"/>
      </w:pPr>
      <w:r>
        <w:t>Eleven</w:t>
      </w:r>
      <w:r w:rsidR="009C1746" w:rsidRPr="00E93A21">
        <w:t xml:space="preserve"> incidents were assigned ’u</w:t>
      </w:r>
      <w:r w:rsidR="00365A80" w:rsidRPr="00E93A21">
        <w:t>nclear’</w:t>
      </w:r>
      <w:r w:rsidR="009C1746" w:rsidRPr="00E93A21">
        <w:t xml:space="preserve"> as there was insufficient information to classify them into an appropriate</w:t>
      </w:r>
      <w:r w:rsidR="00A65A2B" w:rsidRPr="00E93A21">
        <w:t xml:space="preserve"> ‘incident type’</w:t>
      </w:r>
      <w:r w:rsidR="009C1746" w:rsidRPr="00E93A21">
        <w:t xml:space="preserve"> category.</w:t>
      </w:r>
      <w:r w:rsidR="002D2E45">
        <w:t xml:space="preserve"> </w:t>
      </w:r>
    </w:p>
    <w:p w14:paraId="700F0B41" w14:textId="77777777" w:rsidR="00780489" w:rsidRDefault="00780489" w:rsidP="00E00E98">
      <w:pPr>
        <w:pStyle w:val="Heading4"/>
      </w:pPr>
      <w:r>
        <w:br w:type="page"/>
      </w:r>
    </w:p>
    <w:p w14:paraId="744CDDED" w14:textId="7399D862" w:rsidR="00851EFD" w:rsidRPr="00E93A21" w:rsidRDefault="00F45C10" w:rsidP="00E00E98">
      <w:pPr>
        <w:pStyle w:val="Heading4"/>
      </w:pPr>
      <w:r w:rsidRPr="00E93A21">
        <w:lastRenderedPageBreak/>
        <w:t>Administration of medicines</w:t>
      </w:r>
    </w:p>
    <w:p w14:paraId="43EACD3A" w14:textId="357F7162" w:rsidR="00180728" w:rsidRDefault="009D7181" w:rsidP="00851EFD">
      <w:r w:rsidRPr="00E93A21">
        <w:t xml:space="preserve">There were a total </w:t>
      </w:r>
      <w:r w:rsidR="00220BCA" w:rsidRPr="00E93A21">
        <w:t>20</w:t>
      </w:r>
      <w:r w:rsidR="002257A8" w:rsidRPr="00E93A21">
        <w:t>3</w:t>
      </w:r>
      <w:r w:rsidR="00220BCA" w:rsidRPr="00E93A21">
        <w:t xml:space="preserve"> incidents associated with the administration process. O</w:t>
      </w:r>
      <w:r w:rsidR="00A55D36" w:rsidRPr="00E93A21">
        <w:t>mitted doses account</w:t>
      </w:r>
      <w:r w:rsidR="002257A8" w:rsidRPr="00E93A21">
        <w:t>ed</w:t>
      </w:r>
      <w:r w:rsidR="00A55D36" w:rsidRPr="00E93A21">
        <w:t xml:space="preserve"> for</w:t>
      </w:r>
      <w:r w:rsidRPr="00E93A21">
        <w:t xml:space="preserve"> </w:t>
      </w:r>
      <w:r w:rsidR="002257A8" w:rsidRPr="00E93A21">
        <w:t>almost</w:t>
      </w:r>
      <w:r w:rsidR="00A55D36" w:rsidRPr="00E93A21">
        <w:t xml:space="preserve"> one third </w:t>
      </w:r>
      <w:r w:rsidR="00F45C10" w:rsidRPr="00E93A21">
        <w:t>of all administration-related incidents</w:t>
      </w:r>
      <w:r w:rsidRPr="00E93A21">
        <w:t xml:space="preserve"> (</w:t>
      </w:r>
      <w:r w:rsidR="002257A8" w:rsidRPr="00E93A21">
        <w:t>65</w:t>
      </w:r>
      <w:r w:rsidRPr="00E93A21">
        <w:t xml:space="preserve"> incidents)</w:t>
      </w:r>
      <w:r w:rsidR="00F45C10" w:rsidRPr="00E93A21">
        <w:t>. Incorrect rate of administration</w:t>
      </w:r>
      <w:r w:rsidRPr="00E93A21">
        <w:t xml:space="preserve"> was</w:t>
      </w:r>
      <w:r w:rsidR="00F45C10" w:rsidRPr="00E93A21">
        <w:t xml:space="preserve"> the second most frequent</w:t>
      </w:r>
      <w:r w:rsidR="0088128D" w:rsidRPr="00E93A21">
        <w:t>ly implicated incident</w:t>
      </w:r>
      <w:r w:rsidR="00F45C10" w:rsidRPr="00E93A21">
        <w:t xml:space="preserve"> type</w:t>
      </w:r>
      <w:r w:rsidRPr="00E93A21">
        <w:t xml:space="preserve"> (</w:t>
      </w:r>
      <w:r w:rsidR="006E5CDA" w:rsidRPr="00E93A21">
        <w:t>14</w:t>
      </w:r>
      <w:r w:rsidR="00FF3C5B">
        <w:t xml:space="preserve"> </w:t>
      </w:r>
      <w:r w:rsidRPr="00E93A21">
        <w:t>incidents</w:t>
      </w:r>
      <w:r w:rsidR="00406E45" w:rsidRPr="00E93A21">
        <w:t>)</w:t>
      </w:r>
      <w:r w:rsidR="001577DE">
        <w:t>,</w:t>
      </w:r>
      <w:r w:rsidR="00A87B25">
        <w:t xml:space="preserve"> </w:t>
      </w:r>
      <w:r w:rsidRPr="00E93A21">
        <w:t xml:space="preserve">all of </w:t>
      </w:r>
      <w:r w:rsidR="00A87B25">
        <w:t>which</w:t>
      </w:r>
      <w:r w:rsidRPr="00E93A21">
        <w:t xml:space="preserve"> </w:t>
      </w:r>
      <w:r w:rsidR="00274711" w:rsidRPr="00E93A21">
        <w:t>related to</w:t>
      </w:r>
      <w:r w:rsidRPr="00E93A21">
        <w:t xml:space="preserve"> heparin.</w:t>
      </w:r>
      <w:r w:rsidR="00686075" w:rsidRPr="00E93A21">
        <w:t xml:space="preserve"> Duplicate dose</w:t>
      </w:r>
      <w:r w:rsidR="00406E45" w:rsidRPr="00E93A21">
        <w:t xml:space="preserve"> </w:t>
      </w:r>
      <w:r w:rsidR="00F13297" w:rsidRPr="00E93A21">
        <w:t>and incorrect do</w:t>
      </w:r>
      <w:r w:rsidR="004C4855" w:rsidRPr="00E93A21">
        <w:t>se</w:t>
      </w:r>
      <w:r w:rsidR="00F13297" w:rsidRPr="00E93A21">
        <w:t xml:space="preserve"> were</w:t>
      </w:r>
      <w:r w:rsidR="004C4855" w:rsidRPr="00E93A21">
        <w:t xml:space="preserve"> tied as</w:t>
      </w:r>
      <w:r w:rsidR="00F13297" w:rsidRPr="00E93A21">
        <w:t xml:space="preserve"> </w:t>
      </w:r>
      <w:r w:rsidR="00686075" w:rsidRPr="00E93A21">
        <w:t>t</w:t>
      </w:r>
      <w:r w:rsidR="00220BCA" w:rsidRPr="00E93A21">
        <w:t>he third most frequent incident</w:t>
      </w:r>
      <w:r w:rsidR="00686075" w:rsidRPr="00E93A21">
        <w:t xml:space="preserve"> type</w:t>
      </w:r>
      <w:r w:rsidR="00220BCA" w:rsidRPr="00E93A21">
        <w:t xml:space="preserve"> </w:t>
      </w:r>
      <w:r w:rsidR="00406E45" w:rsidRPr="00E93A21">
        <w:t>(12</w:t>
      </w:r>
      <w:r w:rsidR="00220BCA" w:rsidRPr="00E93A21">
        <w:t xml:space="preserve"> incidents</w:t>
      </w:r>
      <w:r w:rsidR="00F13297" w:rsidRPr="00E93A21">
        <w:t xml:space="preserve"> each</w:t>
      </w:r>
      <w:r w:rsidR="00220BCA" w:rsidRPr="00E93A21">
        <w:t>)</w:t>
      </w:r>
      <w:r w:rsidR="006E5CDA" w:rsidRPr="00E93A21">
        <w:t xml:space="preserve">. </w:t>
      </w:r>
      <w:r w:rsidR="00F13297" w:rsidRPr="00E93A21">
        <w:t>Se</w:t>
      </w:r>
      <w:r w:rsidR="00F13297">
        <w:t xml:space="preserve">e </w:t>
      </w:r>
      <w:r w:rsidR="00483549" w:rsidRPr="00483549">
        <w:rPr>
          <w:b/>
        </w:rPr>
        <w:t xml:space="preserve">Figure </w:t>
      </w:r>
      <w:r w:rsidR="00F53F19">
        <w:rPr>
          <w:b/>
        </w:rPr>
        <w:t>5</w:t>
      </w:r>
      <w:r w:rsidR="00483549">
        <w:t>.</w:t>
      </w:r>
    </w:p>
    <w:p w14:paraId="4C3C9B3E" w14:textId="597CBDF8" w:rsidR="00CD30D6" w:rsidRPr="00CD30D6" w:rsidRDefault="00CD30D6" w:rsidP="00CD30D6">
      <w:pPr>
        <w:pStyle w:val="Caption"/>
      </w:pPr>
      <w:r>
        <w:t xml:space="preserve">Figure </w:t>
      </w:r>
      <w:r w:rsidR="002D45FC">
        <w:fldChar w:fldCharType="begin"/>
      </w:r>
      <w:r w:rsidR="002D45FC">
        <w:instrText xml:space="preserve"> SEQ Figure \* ARABIC </w:instrText>
      </w:r>
      <w:r w:rsidR="002D45FC">
        <w:fldChar w:fldCharType="separate"/>
      </w:r>
      <w:r w:rsidR="00FA0B70">
        <w:rPr>
          <w:noProof/>
        </w:rPr>
        <w:t>5</w:t>
      </w:r>
      <w:r w:rsidR="002D45FC">
        <w:rPr>
          <w:noProof/>
        </w:rPr>
        <w:fldChar w:fldCharType="end"/>
      </w:r>
      <w:r>
        <w:t xml:space="preserve">: </w:t>
      </w:r>
      <w:r w:rsidRPr="002905F3">
        <w:t>Top 10 administration incident types across all anticoagulant medicines</w:t>
      </w:r>
      <w:r w:rsidR="00CE2023">
        <w:t> </w:t>
      </w:r>
      <w:r w:rsidRPr="002905F3">
        <w:t>analysed</w:t>
      </w:r>
    </w:p>
    <w:p w14:paraId="21CFF4ED" w14:textId="2190BDDE" w:rsidR="00851EFD" w:rsidRDefault="00802507" w:rsidP="002257A8">
      <w:pPr>
        <w:jc w:val="center"/>
      </w:pPr>
      <w:r>
        <w:rPr>
          <w:noProof/>
        </w:rPr>
        <mc:AlternateContent>
          <mc:Choice Requires="wps">
            <w:drawing>
              <wp:anchor distT="45720" distB="45720" distL="114300" distR="114300" simplePos="0" relativeHeight="251663360" behindDoc="0" locked="0" layoutInCell="1" allowOverlap="1" wp14:anchorId="403D4EB7" wp14:editId="5D585229">
                <wp:simplePos x="0" y="0"/>
                <wp:positionH relativeFrom="column">
                  <wp:posOffset>2796540</wp:posOffset>
                </wp:positionH>
                <wp:positionV relativeFrom="paragraph">
                  <wp:posOffset>3160395</wp:posOffset>
                </wp:positionV>
                <wp:extent cx="1016000" cy="226695"/>
                <wp:effectExtent l="0" t="0" r="0" b="1905"/>
                <wp:wrapNone/>
                <wp:docPr id="2" name="Text Box 2" descr="Incident Cou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26695"/>
                        </a:xfrm>
                        <a:prstGeom prst="rect">
                          <a:avLst/>
                        </a:prstGeom>
                        <a:solidFill>
                          <a:srgbClr val="FFFFFF"/>
                        </a:solidFill>
                        <a:ln w="9525">
                          <a:noFill/>
                          <a:miter lim="800000"/>
                          <a:headEnd/>
                          <a:tailEnd/>
                        </a:ln>
                      </wps:spPr>
                      <wps:txbx>
                        <w:txbxContent>
                          <w:p w14:paraId="5F039AB6" w14:textId="24588173" w:rsidR="002F5AD6" w:rsidRPr="000B65D8" w:rsidRDefault="002F5AD6">
                            <w:pPr>
                              <w:rPr>
                                <w:color w:val="404040" w:themeColor="text1" w:themeTint="BF"/>
                                <w:sz w:val="18"/>
                                <w:szCs w:val="18"/>
                              </w:rPr>
                            </w:pPr>
                            <w:r w:rsidRPr="000B65D8">
                              <w:rPr>
                                <w:color w:val="404040" w:themeColor="text1" w:themeTint="BF"/>
                                <w:sz w:val="18"/>
                                <w:szCs w:val="18"/>
                              </w:rPr>
                              <w:t>Incident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D4EB7" id="_x0000_s1027" type="#_x0000_t202" alt="Incident Count" style="position:absolute;left:0;text-align:left;margin-left:220.2pt;margin-top:248.85pt;width:80pt;height:17.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" stroked="f">
                <v:textbox>
                  <w:txbxContent>
                    <w:p w14:paraId="5F039AB6" w14:textId="24588173" w:rsidR="002F5AD6" w:rsidRPr="000B65D8" w:rsidRDefault="002F5AD6">
                      <w:pPr>
                        <w:rPr>
                          <w:color w:val="404040" w:themeColor="text1" w:themeTint="BF"/>
                          <w:sz w:val="18"/>
                          <w:szCs w:val="18"/>
                        </w:rPr>
                      </w:pPr>
                      <w:r w:rsidRPr="000B65D8">
                        <w:rPr>
                          <w:color w:val="404040" w:themeColor="text1" w:themeTint="BF"/>
                          <w:sz w:val="18"/>
                          <w:szCs w:val="18"/>
                        </w:rPr>
                        <w:t>Incident Count</w:t>
                      </w:r>
                    </w:p>
                  </w:txbxContent>
                </v:textbox>
              </v:shape>
            </w:pict>
          </mc:Fallback>
        </mc:AlternateContent>
      </w:r>
      <w:r w:rsidR="009B443C">
        <w:rPr>
          <w:noProof/>
        </w:rPr>
        <w:drawing>
          <wp:inline distT="0" distB="0" distL="0" distR="0" wp14:anchorId="68D2F389" wp14:editId="27F6F792">
            <wp:extent cx="5745452" cy="3459480"/>
            <wp:effectExtent l="0" t="0" r="8255" b="7620"/>
            <wp:docPr id="12" name="Chart 12" descr="Figure 5: Top 10 administration incident types across all anticoagulant medicines analysed&#10;&#10;Top 10 administration incident types:&#10;Incident Count:&#10;64 Omitted dose&#10;14 Incorrect rate of administration&#10;12 Duplicate dose&#10;12 Incorrect dose&#10;9 Failure to administer&#10;8 Administered when should have been withheld&#10;8 Incorrect medication&#10;8 Premature dosing&#10;7 Incorrect dilution&#10;6 Administered but not sign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DEE9AF" w14:textId="753E2E73" w:rsidR="00EF3BD2" w:rsidRDefault="00636799" w:rsidP="00636799">
      <w:pPr>
        <w:pStyle w:val="Heading4"/>
      </w:pPr>
      <w:r>
        <w:t>Prescribing of medicines</w:t>
      </w:r>
    </w:p>
    <w:p w14:paraId="18AF4082" w14:textId="3488E156" w:rsidR="00625141" w:rsidRPr="00E93A21" w:rsidRDefault="009B443C" w:rsidP="00636799">
      <w:r>
        <w:t xml:space="preserve">There </w:t>
      </w:r>
      <w:r w:rsidRPr="00E93A21">
        <w:t>were 11</w:t>
      </w:r>
      <w:r w:rsidR="002257A8" w:rsidRPr="00E93A21">
        <w:t>5</w:t>
      </w:r>
      <w:r w:rsidRPr="00E93A21">
        <w:t xml:space="preserve"> prescribing incidents in this analysis</w:t>
      </w:r>
      <w:r w:rsidR="00274711" w:rsidRPr="00E93A21">
        <w:t>.</w:t>
      </w:r>
      <w:r w:rsidR="00625141" w:rsidRPr="00E93A21">
        <w:t xml:space="preserve"> </w:t>
      </w:r>
    </w:p>
    <w:p w14:paraId="13B7AE9A" w14:textId="1005217B" w:rsidR="00E42B02" w:rsidRPr="00E93A21" w:rsidRDefault="00625141" w:rsidP="00636799">
      <w:r w:rsidRPr="00E93A21">
        <w:rPr>
          <w:b/>
        </w:rPr>
        <w:t xml:space="preserve">Figure </w:t>
      </w:r>
      <w:r w:rsidR="00F53F19" w:rsidRPr="00E93A21">
        <w:rPr>
          <w:b/>
        </w:rPr>
        <w:t>6</w:t>
      </w:r>
      <w:r w:rsidRPr="00E93A21">
        <w:t xml:space="preserve"> shows the top 10 prescribing incident types across all anticoagulants. </w:t>
      </w:r>
      <w:r w:rsidR="006B23CB">
        <w:t>Twenty-two</w:t>
      </w:r>
      <w:r w:rsidR="00280FE8" w:rsidRPr="00E93A21">
        <w:t xml:space="preserve"> </w:t>
      </w:r>
      <w:r w:rsidR="009B443C" w:rsidRPr="00E93A21">
        <w:t xml:space="preserve">of these were related to duplicate therapy, whereby two anticoagulants had </w:t>
      </w:r>
      <w:r w:rsidR="00563B80" w:rsidRPr="00E93A21">
        <w:t>been</w:t>
      </w:r>
      <w:r w:rsidR="00280FE8" w:rsidRPr="00E93A21">
        <w:t xml:space="preserve"> inappropriately</w:t>
      </w:r>
      <w:r w:rsidR="00563B80" w:rsidRPr="00E93A21">
        <w:t xml:space="preserve"> prescribed for </w:t>
      </w:r>
      <w:r w:rsidR="006C0E60" w:rsidRPr="00E93A21">
        <w:t>each</w:t>
      </w:r>
      <w:r w:rsidR="008A0EF2" w:rsidRPr="00E93A21">
        <w:t xml:space="preserve"> </w:t>
      </w:r>
      <w:r w:rsidR="00563B80" w:rsidRPr="00E93A21">
        <w:t>patient</w:t>
      </w:r>
      <w:r w:rsidR="009B443C" w:rsidRPr="00E93A21">
        <w:t>.</w:t>
      </w:r>
      <w:r w:rsidR="00274711" w:rsidRPr="00E93A21">
        <w:t xml:space="preserve"> </w:t>
      </w:r>
      <w:r w:rsidR="00180728" w:rsidRPr="00E93A21">
        <w:t xml:space="preserve">All anticoagulant medicine </w:t>
      </w:r>
      <w:r w:rsidR="00483549" w:rsidRPr="00E93A21">
        <w:t>classes</w:t>
      </w:r>
      <w:r w:rsidR="00180728" w:rsidRPr="00E93A21">
        <w:t xml:space="preserve"> are represented in this cohort, except the Factor Xa Inhibi</w:t>
      </w:r>
      <w:r w:rsidR="006B761E" w:rsidRPr="00E93A21">
        <w:t>tor group (which contains</w:t>
      </w:r>
      <w:r w:rsidR="002257A8" w:rsidRPr="00E93A21">
        <w:t xml:space="preserve"> only</w:t>
      </w:r>
      <w:r w:rsidR="006B761E" w:rsidRPr="00E93A21">
        <w:t xml:space="preserve"> f</w:t>
      </w:r>
      <w:r w:rsidR="00180728" w:rsidRPr="00E93A21">
        <w:t>ondaparinux).</w:t>
      </w:r>
      <w:r w:rsidR="009474E6" w:rsidRPr="00E93A21">
        <w:t xml:space="preserve"> </w:t>
      </w:r>
      <w:r w:rsidR="008A0EF2" w:rsidRPr="00E93A21">
        <w:t>M</w:t>
      </w:r>
      <w:r w:rsidR="009474E6" w:rsidRPr="00E93A21">
        <w:t>edication</w:t>
      </w:r>
      <w:r w:rsidR="00513490" w:rsidRPr="00E93A21">
        <w:t xml:space="preserve"> not prescribed</w:t>
      </w:r>
      <w:r w:rsidR="009474E6" w:rsidRPr="00E93A21">
        <w:t xml:space="preserve"> </w:t>
      </w:r>
      <w:r w:rsidR="008A0EF2" w:rsidRPr="00E93A21">
        <w:t xml:space="preserve">occurred in </w:t>
      </w:r>
      <w:r w:rsidR="009474E6" w:rsidRPr="00E93A21">
        <w:t>1</w:t>
      </w:r>
      <w:r w:rsidR="006C0E60" w:rsidRPr="00E93A21">
        <w:t>7</w:t>
      </w:r>
      <w:r w:rsidR="008A0EF2" w:rsidRPr="00E93A21">
        <w:t xml:space="preserve"> of the 116</w:t>
      </w:r>
      <w:r w:rsidR="00A423E9">
        <w:t xml:space="preserve"> incidents</w:t>
      </w:r>
      <w:r w:rsidR="009474E6" w:rsidRPr="00E93A21">
        <w:t xml:space="preserve">. The third most frequent incident type, related to incomplete </w:t>
      </w:r>
      <w:r w:rsidR="00A423E9">
        <w:t xml:space="preserve">prescription or </w:t>
      </w:r>
      <w:r w:rsidR="009474E6" w:rsidRPr="00E93A21">
        <w:t>medicine</w:t>
      </w:r>
      <w:r w:rsidR="00A423E9">
        <w:t xml:space="preserve"> order</w:t>
      </w:r>
      <w:r w:rsidR="009474E6" w:rsidRPr="00E93A21">
        <w:t xml:space="preserve"> documented in the patient record (1</w:t>
      </w:r>
      <w:r w:rsidR="006C0E60" w:rsidRPr="00E93A21">
        <w:t>6</w:t>
      </w:r>
      <w:r w:rsidR="009474E6" w:rsidRPr="00E93A21">
        <w:t xml:space="preserve"> incidents).</w:t>
      </w:r>
      <w:r w:rsidR="002D2E45">
        <w:t xml:space="preserve"> </w:t>
      </w:r>
    </w:p>
    <w:p w14:paraId="14F3DF29" w14:textId="251BC954" w:rsidR="00732B32" w:rsidRDefault="003B7CD7" w:rsidP="00636799">
      <w:r w:rsidRPr="00E93A21">
        <w:t>Of</w:t>
      </w:r>
      <w:r w:rsidR="00270366" w:rsidRPr="00E93A21">
        <w:t xml:space="preserve"> duplicate therapies</w:t>
      </w:r>
      <w:r w:rsidRPr="00E93A21">
        <w:t xml:space="preserve"> prescribed</w:t>
      </w:r>
      <w:r w:rsidR="00280FE8" w:rsidRPr="00E93A21">
        <w:t>, 10</w:t>
      </w:r>
      <w:r w:rsidR="00270366" w:rsidRPr="00E93A21">
        <w:t xml:space="preserve"> incidents </w:t>
      </w:r>
      <w:r w:rsidR="00A6151E" w:rsidRPr="00E93A21">
        <w:t>involved</w:t>
      </w:r>
      <w:r w:rsidR="00270366" w:rsidRPr="00E93A21">
        <w:t xml:space="preserve"> duplicate VTE </w:t>
      </w:r>
      <w:r w:rsidR="00696078" w:rsidRPr="00E93A21">
        <w:t>prophylaxis therapy</w:t>
      </w:r>
      <w:r w:rsidR="00270366" w:rsidRPr="00E93A21">
        <w:t xml:space="preserve"> orders, </w:t>
      </w:r>
      <w:r w:rsidR="00193392">
        <w:t>seven</w:t>
      </w:r>
      <w:r w:rsidR="00270366" w:rsidRPr="00E93A21">
        <w:t xml:space="preserve"> of which were DOACs prescribed with heparin</w:t>
      </w:r>
      <w:r w:rsidR="00483549" w:rsidRPr="00E93A21">
        <w:t xml:space="preserve"> </w:t>
      </w:r>
      <w:r w:rsidR="00270366" w:rsidRPr="00E93A21">
        <w:t>or enoxaparin</w:t>
      </w:r>
      <w:r w:rsidR="006C0E60" w:rsidRPr="00E93A21">
        <w:t>.</w:t>
      </w:r>
      <w:r w:rsidR="00270366" w:rsidRPr="00E93A21">
        <w:t xml:space="preserve"> </w:t>
      </w:r>
      <w:r w:rsidR="00977537" w:rsidRPr="00E93A21">
        <w:t>Seven</w:t>
      </w:r>
      <w:r w:rsidR="00270366" w:rsidRPr="00E93A21">
        <w:t xml:space="preserve"> incidents </w:t>
      </w:r>
      <w:r w:rsidR="00120F5B" w:rsidRPr="00E93A21">
        <w:t>involved</w:t>
      </w:r>
      <w:r w:rsidR="00270366" w:rsidRPr="00E93A21">
        <w:t xml:space="preserve"> treatment</w:t>
      </w:r>
      <w:r w:rsidR="00120F5B" w:rsidRPr="00E93A21">
        <w:t xml:space="preserve"> doses</w:t>
      </w:r>
      <w:r w:rsidR="006C0E60" w:rsidRPr="00E93A21">
        <w:t>.</w:t>
      </w:r>
      <w:r w:rsidR="00270366" w:rsidRPr="00E93A21">
        <w:t xml:space="preserve"> </w:t>
      </w:r>
      <w:r w:rsidR="00120F5B" w:rsidRPr="00E93A21">
        <w:t>Five</w:t>
      </w:r>
      <w:r w:rsidR="00B91FF9" w:rsidRPr="00E93A21">
        <w:t xml:space="preserve"> of these</w:t>
      </w:r>
      <w:r w:rsidR="00270366" w:rsidRPr="00E93A21">
        <w:t xml:space="preserve"> involved the combination of </w:t>
      </w:r>
      <w:r w:rsidR="005D60E2" w:rsidRPr="00E93A21">
        <w:t>enoxaparin and</w:t>
      </w:r>
      <w:r w:rsidR="00483549" w:rsidRPr="00E93A21">
        <w:t xml:space="preserve"> </w:t>
      </w:r>
      <w:r w:rsidR="00270366" w:rsidRPr="00E93A21">
        <w:t xml:space="preserve">rivaroxaban. </w:t>
      </w:r>
      <w:r w:rsidR="00B91FF9" w:rsidRPr="00E93A21">
        <w:t xml:space="preserve">There was one incident that was a </w:t>
      </w:r>
      <w:r w:rsidR="00696078" w:rsidRPr="00E93A21">
        <w:t xml:space="preserve">duplication </w:t>
      </w:r>
      <w:r w:rsidR="00B91FF9" w:rsidRPr="00E93A21">
        <w:t xml:space="preserve">of </w:t>
      </w:r>
      <w:r w:rsidR="00977537" w:rsidRPr="00E93A21">
        <w:t>heparin</w:t>
      </w:r>
      <w:r w:rsidR="002D2E45">
        <w:t xml:space="preserve"> – </w:t>
      </w:r>
      <w:r w:rsidR="00120F5B" w:rsidRPr="00E93A21">
        <w:t>one order for treatment, the other for prophylaxis.</w:t>
      </w:r>
      <w:r w:rsidR="00696078" w:rsidRPr="00E93A21">
        <w:t xml:space="preserve"> </w:t>
      </w:r>
      <w:r w:rsidR="00280FE8" w:rsidRPr="00E93A21">
        <w:t xml:space="preserve">There were </w:t>
      </w:r>
      <w:r w:rsidR="00193392">
        <w:t>four</w:t>
      </w:r>
      <w:r w:rsidR="00270366" w:rsidRPr="00483549">
        <w:t xml:space="preserve"> incident</w:t>
      </w:r>
      <w:r w:rsidR="00280FE8" w:rsidRPr="00483549">
        <w:t>s</w:t>
      </w:r>
      <w:r w:rsidR="00270366" w:rsidRPr="00483549">
        <w:t xml:space="preserve"> for</w:t>
      </w:r>
      <w:r w:rsidR="00270366">
        <w:t xml:space="preserve"> which a </w:t>
      </w:r>
      <w:r w:rsidR="00696078">
        <w:t xml:space="preserve">determination </w:t>
      </w:r>
      <w:r w:rsidR="00270366">
        <w:t xml:space="preserve">of </w:t>
      </w:r>
      <w:r w:rsidR="00280FE8">
        <w:t>VTE</w:t>
      </w:r>
      <w:r w:rsidR="00696078">
        <w:t xml:space="preserve"> prophylaxis or</w:t>
      </w:r>
      <w:r w:rsidR="00280FE8">
        <w:t xml:space="preserve"> </w:t>
      </w:r>
      <w:r w:rsidR="00270366">
        <w:t xml:space="preserve">treatment </w:t>
      </w:r>
      <w:r w:rsidR="00B91FF9">
        <w:t xml:space="preserve">could not be </w:t>
      </w:r>
      <w:r w:rsidR="00696078">
        <w:t xml:space="preserve">made </w:t>
      </w:r>
      <w:r w:rsidR="00B91FF9">
        <w:t>due to insufficient detail in the incident description.</w:t>
      </w:r>
      <w:r w:rsidR="00280FE8">
        <w:t xml:space="preserve"> </w:t>
      </w:r>
    </w:p>
    <w:p w14:paraId="1682A2C6" w14:textId="3F100BDE" w:rsidR="00B30723" w:rsidRDefault="00280FE8" w:rsidP="00636799">
      <w:r>
        <w:lastRenderedPageBreak/>
        <w:t>Incident descriptions highlighted the need for</w:t>
      </w:r>
      <w:r w:rsidR="0083537E">
        <w:t xml:space="preserve"> all</w:t>
      </w:r>
      <w:r>
        <w:t xml:space="preserve"> clinicians to review</w:t>
      </w:r>
      <w:r w:rsidR="0083537E">
        <w:t xml:space="preserve"> all existing</w:t>
      </w:r>
      <w:r>
        <w:t xml:space="preserve"> orders</w:t>
      </w:r>
      <w:r w:rsidR="0083537E">
        <w:t xml:space="preserve"> on the patients’ medication chart(s)</w:t>
      </w:r>
      <w:r w:rsidR="00B30723">
        <w:t xml:space="preserve"> prior to and following any anticoagulant orders being written or ceased</w:t>
      </w:r>
      <w:r w:rsidR="0083537E">
        <w:t>. The descriptions also serve as a reminder of the</w:t>
      </w:r>
      <w:r>
        <w:t xml:space="preserve"> </w:t>
      </w:r>
      <w:r w:rsidR="005D60E2">
        <w:t>challenges</w:t>
      </w:r>
      <w:r w:rsidR="00B30723">
        <w:t xml:space="preserve"> </w:t>
      </w:r>
      <w:r w:rsidR="00A423E9">
        <w:t xml:space="preserve">related to </w:t>
      </w:r>
      <w:r w:rsidR="00B30723">
        <w:t>ensuring</w:t>
      </w:r>
      <w:r w:rsidR="00625141">
        <w:t xml:space="preserve"> </w:t>
      </w:r>
      <w:r>
        <w:t>VTE prophylaxis</w:t>
      </w:r>
      <w:r w:rsidR="0083537E">
        <w:t xml:space="preserve"> and/</w:t>
      </w:r>
      <w:r w:rsidR="005D60E2">
        <w:t>or treatment</w:t>
      </w:r>
      <w:r w:rsidR="0083537E">
        <w:t xml:space="preserve"> is </w:t>
      </w:r>
      <w:r w:rsidR="00625141">
        <w:t>well</w:t>
      </w:r>
      <w:r w:rsidR="0083537E">
        <w:t xml:space="preserve"> managed</w:t>
      </w:r>
      <w:r w:rsidR="00302360">
        <w:t xml:space="preserve"> peri</w:t>
      </w:r>
      <w:r w:rsidR="00625141">
        <w:t>operative</w:t>
      </w:r>
      <w:r w:rsidR="0083537E">
        <w:t>ly.</w:t>
      </w:r>
      <w:r w:rsidR="0040220E">
        <w:rPr>
          <w:rStyle w:val="FootnoteReference"/>
        </w:rPr>
        <w:footnoteReference w:id="7"/>
      </w:r>
      <w:r>
        <w:t xml:space="preserve"> </w:t>
      </w:r>
    </w:p>
    <w:p w14:paraId="2F486A6D" w14:textId="29D114A8" w:rsidR="00F45C10" w:rsidRDefault="00B30723" w:rsidP="00851EFD">
      <w:pPr>
        <w:rPr>
          <w:noProof/>
        </w:rPr>
      </w:pPr>
      <w:r>
        <w:t xml:space="preserve">In 14 of the 16 prescribing incidents described, inappropriate </w:t>
      </w:r>
      <w:r w:rsidR="00B23327">
        <w:t>concomitant</w:t>
      </w:r>
      <w:r>
        <w:t xml:space="preserve"> therapy had been administered before the error had been</w:t>
      </w:r>
      <w:r w:rsidR="00DB20D9">
        <w:t xml:space="preserve"> detected</w:t>
      </w:r>
      <w:r>
        <w:t xml:space="preserve">. This highlights the need for nursing staff administering medicines to </w:t>
      </w:r>
      <w:r w:rsidR="0040220E">
        <w:t xml:space="preserve">carefully </w:t>
      </w:r>
      <w:r>
        <w:t xml:space="preserve">check the </w:t>
      </w:r>
      <w:r w:rsidR="0040220E">
        <w:t xml:space="preserve">complete </w:t>
      </w:r>
      <w:r>
        <w:t xml:space="preserve">list of </w:t>
      </w:r>
      <w:r w:rsidR="0040220E">
        <w:t xml:space="preserve">prescribed </w:t>
      </w:r>
      <w:r>
        <w:t>medicines as part of</w:t>
      </w:r>
      <w:r w:rsidR="00DB20D9">
        <w:t xml:space="preserve"> their medication review</w:t>
      </w:r>
      <w:r w:rsidR="00B23327">
        <w:t xml:space="preserve">, prior to </w:t>
      </w:r>
      <w:r w:rsidR="0086018C">
        <w:t xml:space="preserve">each </w:t>
      </w:r>
      <w:r w:rsidR="00B23327">
        <w:t>administration</w:t>
      </w:r>
      <w:r w:rsidR="005D60E2">
        <w:t>.</w:t>
      </w:r>
    </w:p>
    <w:p w14:paraId="523582B8" w14:textId="7EBBC8A4" w:rsidR="00FA0B70" w:rsidRDefault="00FA0B70" w:rsidP="00FA0B70">
      <w:pPr>
        <w:pStyle w:val="Caption"/>
      </w:pPr>
      <w:r>
        <w:t xml:space="preserve">Figure </w:t>
      </w:r>
      <w:r w:rsidR="002D45FC">
        <w:fldChar w:fldCharType="begin"/>
      </w:r>
      <w:r w:rsidR="002D45FC">
        <w:instrText xml:space="preserve"> SEQ Figure \* ARABIC </w:instrText>
      </w:r>
      <w:r w:rsidR="002D45FC">
        <w:fldChar w:fldCharType="separate"/>
      </w:r>
      <w:r>
        <w:rPr>
          <w:noProof/>
        </w:rPr>
        <w:t>6</w:t>
      </w:r>
      <w:r w:rsidR="002D45FC">
        <w:rPr>
          <w:noProof/>
        </w:rPr>
        <w:fldChar w:fldCharType="end"/>
      </w:r>
      <w:r>
        <w:t xml:space="preserve">: </w:t>
      </w:r>
      <w:r w:rsidRPr="00261C17">
        <w:t>Top 10 prescribing incident types across all incidents</w:t>
      </w:r>
    </w:p>
    <w:p w14:paraId="23E1E8B6" w14:textId="050D42AE" w:rsidR="00977537" w:rsidRDefault="00F061C5" w:rsidP="00851EFD">
      <w:r>
        <w:rPr>
          <w:noProof/>
        </w:rPr>
        <mc:AlternateContent>
          <mc:Choice Requires="wps">
            <w:drawing>
              <wp:anchor distT="45720" distB="45720" distL="114300" distR="114300" simplePos="0" relativeHeight="251665408" behindDoc="0" locked="0" layoutInCell="1" allowOverlap="1" wp14:anchorId="7EDD770B" wp14:editId="3CDE9BAE">
                <wp:simplePos x="0" y="0"/>
                <wp:positionH relativeFrom="column">
                  <wp:posOffset>2838450</wp:posOffset>
                </wp:positionH>
                <wp:positionV relativeFrom="paragraph">
                  <wp:posOffset>2684454</wp:posOffset>
                </wp:positionV>
                <wp:extent cx="988060" cy="210820"/>
                <wp:effectExtent l="0" t="0" r="2540" b="5080"/>
                <wp:wrapNone/>
                <wp:docPr id="4" name="Text Box 2" descr="Incident Cou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10820"/>
                        </a:xfrm>
                        <a:prstGeom prst="rect">
                          <a:avLst/>
                        </a:prstGeom>
                        <a:solidFill>
                          <a:srgbClr val="FFFFFF"/>
                        </a:solidFill>
                        <a:ln w="9525">
                          <a:noFill/>
                          <a:miter lim="800000"/>
                          <a:headEnd/>
                          <a:tailEnd/>
                        </a:ln>
                      </wps:spPr>
                      <wps:txbx>
                        <w:txbxContent>
                          <w:p w14:paraId="44AF7E56" w14:textId="396F9895" w:rsidR="002F5AD6" w:rsidRPr="000B65D8" w:rsidRDefault="002F5AD6">
                            <w:pPr>
                              <w:rPr>
                                <w:color w:val="404040" w:themeColor="text1" w:themeTint="BF"/>
                                <w:sz w:val="18"/>
                                <w:szCs w:val="18"/>
                              </w:rPr>
                            </w:pPr>
                            <w:r w:rsidRPr="000B65D8">
                              <w:rPr>
                                <w:color w:val="404040" w:themeColor="text1" w:themeTint="BF"/>
                                <w:sz w:val="18"/>
                                <w:szCs w:val="18"/>
                              </w:rPr>
                              <w:t>Incident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D770B" id="_x0000_s1028" type="#_x0000_t202" alt="Incident Count" style="position:absolute;margin-left:223.5pt;margin-top:211.35pt;width:77.8pt;height:1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" stroked="f">
                <v:textbox>
                  <w:txbxContent>
                    <w:p w14:paraId="44AF7E56" w14:textId="396F9895" w:rsidR="002F5AD6" w:rsidRPr="000B65D8" w:rsidRDefault="002F5AD6">
                      <w:pPr>
                        <w:rPr>
                          <w:color w:val="404040" w:themeColor="text1" w:themeTint="BF"/>
                          <w:sz w:val="18"/>
                          <w:szCs w:val="18"/>
                        </w:rPr>
                      </w:pPr>
                      <w:r w:rsidRPr="000B65D8">
                        <w:rPr>
                          <w:color w:val="404040" w:themeColor="text1" w:themeTint="BF"/>
                          <w:sz w:val="18"/>
                          <w:szCs w:val="18"/>
                        </w:rPr>
                        <w:t>Incident Count</w:t>
                      </w:r>
                    </w:p>
                  </w:txbxContent>
                </v:textbox>
              </v:shape>
            </w:pict>
          </mc:Fallback>
        </mc:AlternateContent>
      </w:r>
      <w:r w:rsidR="00977537">
        <w:rPr>
          <w:noProof/>
        </w:rPr>
        <w:drawing>
          <wp:inline distT="0" distB="0" distL="0" distR="0" wp14:anchorId="34CBE3B3" wp14:editId="1E954726">
            <wp:extent cx="5731510" cy="2980690"/>
            <wp:effectExtent l="0" t="0" r="8890" b="16510"/>
            <wp:docPr id="8" name="Chart 8" descr="Figure 6: Top 10 prescribing incident types across all incidents&#10;&#10;Top 10 prescribing incident types with all anticoagulants:&#10;Incident Count:&#10;4 Unclear&#10;4 Duplicate dose&#10;5 Omitted dose&#10;5 Incorrect route of administration&#10;5 Incorrect medication&#10;8 Documentation error-no dose&#10;8 Incorrect dose&#10;16 Incomplete prescription&#10;17 Medication not prescribed&#10;22 Duplicate therapy"/>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E457DC" w14:textId="3B930791" w:rsidR="007A0E1A" w:rsidRDefault="007A0E1A" w:rsidP="00FA0B70">
      <w:pPr>
        <w:pStyle w:val="Heading3"/>
      </w:pPr>
      <w:bookmarkStart w:id="23" w:name="_Toc80021280"/>
      <w:r>
        <w:t>Comparisons with collated reports</w:t>
      </w:r>
      <w:bookmarkEnd w:id="23"/>
      <w:r>
        <w:t xml:space="preserve"> </w:t>
      </w:r>
    </w:p>
    <w:p w14:paraId="220B5D67" w14:textId="15BACDE8" w:rsidR="007A0E1A" w:rsidRDefault="007A0E1A" w:rsidP="007A0E1A">
      <w:r>
        <w:t xml:space="preserve">Both WA Health and the Clinical Excellence Commission (CEC) in NSW provided a collated report of their findings from </w:t>
      </w:r>
      <w:r w:rsidR="00403BC9">
        <w:t>state-wide</w:t>
      </w:r>
      <w:r>
        <w:t xml:space="preserve"> analyses. </w:t>
      </w:r>
    </w:p>
    <w:p w14:paraId="290B0106" w14:textId="3403E7FA" w:rsidR="007A0E1A" w:rsidRDefault="007A0E1A" w:rsidP="00FA0B70">
      <w:r w:rsidRPr="00CC61F8">
        <w:rPr>
          <w:b/>
        </w:rPr>
        <w:t>Table 3</w:t>
      </w:r>
      <w:r>
        <w:t xml:space="preserve"> below provides a summary of key national anticoagulant incident analysis results compared with findings from WA and NSW.</w:t>
      </w:r>
    </w:p>
    <w:p w14:paraId="30F101AA" w14:textId="77777777" w:rsidR="00FD700B" w:rsidRDefault="00FD700B" w:rsidP="00FA0B70">
      <w:pPr>
        <w:pStyle w:val="Caption"/>
      </w:pPr>
      <w:r>
        <w:br w:type="page"/>
      </w:r>
    </w:p>
    <w:p w14:paraId="79EEA6E5" w14:textId="125DBB8E" w:rsidR="00FA0B70" w:rsidRDefault="00FA0B70" w:rsidP="00FA0B70">
      <w:pPr>
        <w:pStyle w:val="Caption"/>
      </w:pPr>
      <w:r>
        <w:lastRenderedPageBreak/>
        <w:t xml:space="preserve">Table </w:t>
      </w:r>
      <w:r w:rsidR="002D45FC">
        <w:fldChar w:fldCharType="begin"/>
      </w:r>
      <w:r w:rsidR="002D45FC">
        <w:instrText xml:space="preserve"> SEQ Table \* ARABIC </w:instrText>
      </w:r>
      <w:r w:rsidR="002D45FC">
        <w:fldChar w:fldCharType="separate"/>
      </w:r>
      <w:r>
        <w:rPr>
          <w:noProof/>
        </w:rPr>
        <w:t>3</w:t>
      </w:r>
      <w:r w:rsidR="002D45FC">
        <w:rPr>
          <w:noProof/>
        </w:rPr>
        <w:fldChar w:fldCharType="end"/>
      </w:r>
      <w:r>
        <w:t xml:space="preserve">: </w:t>
      </w:r>
      <w:r w:rsidRPr="006E5E00">
        <w:t>Summary of national anticoagulant incidents results compared with WA Health and NSW Health</w:t>
      </w:r>
      <w:r w:rsidRPr="00FA0B70">
        <w:rPr>
          <w:rStyle w:val="FootnoteReference"/>
          <w:b w:val="0"/>
          <w:bCs/>
        </w:rPr>
        <w:footnoteReference w:id="8"/>
      </w:r>
    </w:p>
    <w:tbl>
      <w:tblPr>
        <w:tblStyle w:val="TableGrid"/>
        <w:tblW w:w="5000" w:type="pct"/>
        <w:tblLook w:val="0620" w:firstRow="1" w:lastRow="0" w:firstColumn="0" w:lastColumn="0" w:noHBand="1" w:noVBand="1"/>
      </w:tblPr>
      <w:tblGrid>
        <w:gridCol w:w="3010"/>
        <w:gridCol w:w="3002"/>
        <w:gridCol w:w="3004"/>
      </w:tblGrid>
      <w:tr w:rsidR="007A0E1A" w:rsidRPr="00FA0B70" w14:paraId="3B7545B6" w14:textId="77777777" w:rsidTr="00D25D80">
        <w:trPr>
          <w:cnfStyle w:val="100000000000" w:firstRow="1" w:lastRow="0" w:firstColumn="0" w:lastColumn="0" w:oddVBand="0" w:evenVBand="0" w:oddHBand="0" w:evenHBand="0" w:firstRowFirstColumn="0" w:firstRowLastColumn="0" w:lastRowFirstColumn="0" w:lastRowLastColumn="0"/>
          <w:trHeight w:val="340"/>
          <w:tblHeader/>
        </w:trPr>
        <w:tc>
          <w:tcPr>
            <w:tcW w:w="1669" w:type="pct"/>
          </w:tcPr>
          <w:p w14:paraId="26331D65" w14:textId="77777777" w:rsidR="007A0E1A" w:rsidRPr="00FA0B70" w:rsidRDefault="007A0E1A" w:rsidP="00FA0B70">
            <w:r w:rsidRPr="00FA0B70">
              <w:t>WA Health</w:t>
            </w:r>
          </w:p>
        </w:tc>
        <w:tc>
          <w:tcPr>
            <w:tcW w:w="1665" w:type="pct"/>
          </w:tcPr>
          <w:p w14:paraId="11FB79D8" w14:textId="77777777" w:rsidR="007A0E1A" w:rsidRPr="00FA0B70" w:rsidRDefault="007A0E1A" w:rsidP="00FA0B70">
            <w:r w:rsidRPr="00FA0B70">
              <w:t>National</w:t>
            </w:r>
          </w:p>
        </w:tc>
        <w:tc>
          <w:tcPr>
            <w:tcW w:w="1666" w:type="pct"/>
          </w:tcPr>
          <w:p w14:paraId="777E1840" w14:textId="325F218E" w:rsidR="007A0E1A" w:rsidRPr="00FA0B70" w:rsidRDefault="007A0E1A" w:rsidP="00FA0B70">
            <w:r w:rsidRPr="00FA0B70">
              <w:t>NSW</w:t>
            </w:r>
            <w:r w:rsidR="00FA0B70" w:rsidRPr="00FA0B70">
              <w:rPr>
                <w:b w:val="0"/>
                <w:bCs/>
                <w:vertAlign w:val="superscript"/>
              </w:rPr>
              <w:t>9</w:t>
            </w:r>
          </w:p>
        </w:tc>
      </w:tr>
      <w:tr w:rsidR="007A0E1A" w:rsidRPr="00FA0B70" w14:paraId="2C65AD0A" w14:textId="77777777" w:rsidTr="00D25D80">
        <w:trPr>
          <w:trHeight w:val="376"/>
        </w:trPr>
        <w:tc>
          <w:tcPr>
            <w:tcW w:w="5000" w:type="pct"/>
            <w:gridSpan w:val="3"/>
            <w:shd w:val="clear" w:color="auto" w:fill="C5F1FF" w:themeFill="accent2" w:themeFillTint="33"/>
          </w:tcPr>
          <w:p w14:paraId="1D0037B4" w14:textId="0B8BC9F2" w:rsidR="007A0E1A" w:rsidRPr="00FF7321" w:rsidRDefault="007A0E1A" w:rsidP="00FA0B70">
            <w:pPr>
              <w:rPr>
                <w:b/>
                <w:bCs/>
              </w:rPr>
            </w:pPr>
            <w:r w:rsidRPr="00FF7321">
              <w:rPr>
                <w:b/>
                <w:bCs/>
              </w:rPr>
              <w:t>List of the anticoagulant medicines or classes implicated in anticoagulant incidents, from most frequent (top) to least (bottom)</w:t>
            </w:r>
          </w:p>
        </w:tc>
      </w:tr>
      <w:tr w:rsidR="007A0E1A" w:rsidRPr="00FA0B70" w14:paraId="49F6B967" w14:textId="77777777" w:rsidTr="00D25D80">
        <w:tc>
          <w:tcPr>
            <w:tcW w:w="1669" w:type="pct"/>
          </w:tcPr>
          <w:p w14:paraId="53AC1865" w14:textId="77777777" w:rsidR="007A0E1A" w:rsidRPr="00FA0B70" w:rsidRDefault="007A0E1A" w:rsidP="00FA0B70">
            <w:r w:rsidRPr="00FA0B70">
              <w:t>Enoxaparin (a LMWH)</w:t>
            </w:r>
          </w:p>
        </w:tc>
        <w:tc>
          <w:tcPr>
            <w:tcW w:w="1665" w:type="pct"/>
          </w:tcPr>
          <w:p w14:paraId="0C30CAA3" w14:textId="77777777" w:rsidR="007A0E1A" w:rsidRPr="00FA0B70" w:rsidRDefault="007A0E1A" w:rsidP="00FA0B70">
            <w:r w:rsidRPr="00FA0B70">
              <w:t>Heparins (includes unfractionated heparin and heparinised saline)</w:t>
            </w:r>
          </w:p>
        </w:tc>
        <w:tc>
          <w:tcPr>
            <w:tcW w:w="1666" w:type="pct"/>
          </w:tcPr>
          <w:p w14:paraId="46DA90ED" w14:textId="77777777" w:rsidR="007A0E1A" w:rsidRPr="00FA0B70" w:rsidRDefault="007A0E1A" w:rsidP="00FA0B70">
            <w:r w:rsidRPr="00FA0B70">
              <w:t>Warfarin</w:t>
            </w:r>
          </w:p>
        </w:tc>
      </w:tr>
      <w:tr w:rsidR="007A0E1A" w:rsidRPr="00FA0B70" w14:paraId="6ED49717" w14:textId="77777777" w:rsidTr="00D25D80">
        <w:tc>
          <w:tcPr>
            <w:tcW w:w="1669" w:type="pct"/>
          </w:tcPr>
          <w:p w14:paraId="19336E13" w14:textId="77777777" w:rsidR="007A0E1A" w:rsidRPr="00FA0B70" w:rsidRDefault="007A0E1A" w:rsidP="00FA0B70">
            <w:r w:rsidRPr="00FA0B70">
              <w:t>Heparin (Unfractionated heparin)</w:t>
            </w:r>
          </w:p>
        </w:tc>
        <w:tc>
          <w:tcPr>
            <w:tcW w:w="1665" w:type="pct"/>
          </w:tcPr>
          <w:p w14:paraId="65129795" w14:textId="77777777" w:rsidR="007A0E1A" w:rsidRPr="00FA0B70" w:rsidRDefault="007A0E1A" w:rsidP="00FA0B70">
            <w:r w:rsidRPr="00FA0B70">
              <w:t>Low molecular weight heparin (LMWH)</w:t>
            </w:r>
          </w:p>
        </w:tc>
        <w:tc>
          <w:tcPr>
            <w:tcW w:w="1666" w:type="pct"/>
          </w:tcPr>
          <w:p w14:paraId="154E1050" w14:textId="77777777" w:rsidR="007A0E1A" w:rsidRPr="00FA0B70" w:rsidRDefault="007A0E1A" w:rsidP="00FA0B70">
            <w:r w:rsidRPr="00FA0B70">
              <w:t>Unfractionated heparin</w:t>
            </w:r>
          </w:p>
        </w:tc>
      </w:tr>
      <w:tr w:rsidR="007A0E1A" w:rsidRPr="00FA0B70" w14:paraId="1B2F4945" w14:textId="77777777" w:rsidTr="00D25D80">
        <w:tc>
          <w:tcPr>
            <w:tcW w:w="1669" w:type="pct"/>
          </w:tcPr>
          <w:p w14:paraId="6CB538E0" w14:textId="77777777" w:rsidR="007A0E1A" w:rsidRPr="00FA0B70" w:rsidRDefault="007A0E1A" w:rsidP="00FA0B70">
            <w:r w:rsidRPr="00FA0B70">
              <w:t>Warfarin</w:t>
            </w:r>
          </w:p>
        </w:tc>
        <w:tc>
          <w:tcPr>
            <w:tcW w:w="1665" w:type="pct"/>
          </w:tcPr>
          <w:p w14:paraId="7F53DC63" w14:textId="77777777" w:rsidR="007A0E1A" w:rsidRPr="00FA0B70" w:rsidRDefault="007A0E1A" w:rsidP="00FA0B70">
            <w:r w:rsidRPr="00FA0B70">
              <w:t>Warfarin</w:t>
            </w:r>
          </w:p>
        </w:tc>
        <w:tc>
          <w:tcPr>
            <w:tcW w:w="1666" w:type="pct"/>
          </w:tcPr>
          <w:p w14:paraId="4F3ABB46" w14:textId="77777777" w:rsidR="007A0E1A" w:rsidRPr="00FA0B70" w:rsidRDefault="007A0E1A" w:rsidP="00FA0B70">
            <w:r w:rsidRPr="00FA0B70">
              <w:t>Low molecular weight heparin</w:t>
            </w:r>
          </w:p>
        </w:tc>
      </w:tr>
      <w:tr w:rsidR="007A0E1A" w:rsidRPr="00FA0B70" w14:paraId="43742528" w14:textId="77777777" w:rsidTr="00D25D80">
        <w:tc>
          <w:tcPr>
            <w:tcW w:w="1669" w:type="pct"/>
          </w:tcPr>
          <w:p w14:paraId="001A9192" w14:textId="77777777" w:rsidR="007A0E1A" w:rsidRPr="00FA0B70" w:rsidRDefault="007A0E1A" w:rsidP="00FA0B70">
            <w:r w:rsidRPr="00FA0B70">
              <w:t>DOAC</w:t>
            </w:r>
          </w:p>
        </w:tc>
        <w:tc>
          <w:tcPr>
            <w:tcW w:w="1665" w:type="pct"/>
          </w:tcPr>
          <w:p w14:paraId="164F35AE" w14:textId="77777777" w:rsidR="007A0E1A" w:rsidRPr="00FA0B70" w:rsidRDefault="007A0E1A" w:rsidP="00FA0B70">
            <w:r w:rsidRPr="00FA0B70">
              <w:t>DOAC</w:t>
            </w:r>
          </w:p>
        </w:tc>
        <w:tc>
          <w:tcPr>
            <w:tcW w:w="1666" w:type="pct"/>
          </w:tcPr>
          <w:p w14:paraId="77CB0B0F" w14:textId="77777777" w:rsidR="007A0E1A" w:rsidRPr="00FA0B70" w:rsidRDefault="007A0E1A" w:rsidP="00FA0B70">
            <w:r w:rsidRPr="00FA0B70">
              <w:t>NOAC (=DOAC)</w:t>
            </w:r>
          </w:p>
        </w:tc>
      </w:tr>
      <w:tr w:rsidR="007A0E1A" w:rsidRPr="00FA0B70" w14:paraId="595D7AC9" w14:textId="77777777" w:rsidTr="00D25D80">
        <w:tc>
          <w:tcPr>
            <w:tcW w:w="1669" w:type="pct"/>
          </w:tcPr>
          <w:p w14:paraId="59C2525C" w14:textId="77777777" w:rsidR="007A0E1A" w:rsidRPr="00FA0B70" w:rsidRDefault="007A0E1A" w:rsidP="00FA0B70">
            <w:r w:rsidRPr="00FA0B70">
              <w:t>Heparinised saline</w:t>
            </w:r>
          </w:p>
        </w:tc>
        <w:tc>
          <w:tcPr>
            <w:tcW w:w="1665" w:type="pct"/>
          </w:tcPr>
          <w:p w14:paraId="0EDE83AB" w14:textId="77777777" w:rsidR="007A0E1A" w:rsidRPr="00FA0B70" w:rsidRDefault="007A0E1A" w:rsidP="00FA0B70">
            <w:r w:rsidRPr="00FA0B70">
              <w:t>Fondaparinux</w:t>
            </w:r>
          </w:p>
        </w:tc>
        <w:tc>
          <w:tcPr>
            <w:tcW w:w="1666" w:type="pct"/>
          </w:tcPr>
          <w:p w14:paraId="096DEE59" w14:textId="43B3D790" w:rsidR="007A0E1A" w:rsidRPr="00FA0B70" w:rsidRDefault="00C579B8" w:rsidP="00FA0B70">
            <w:r>
              <w:t>–</w:t>
            </w:r>
          </w:p>
        </w:tc>
      </w:tr>
      <w:tr w:rsidR="007A0E1A" w:rsidRPr="00FA0B70" w14:paraId="119D02BB" w14:textId="77777777" w:rsidTr="00D25D80">
        <w:tc>
          <w:tcPr>
            <w:tcW w:w="5000" w:type="pct"/>
            <w:gridSpan w:val="3"/>
            <w:shd w:val="clear" w:color="auto" w:fill="C5F1FF" w:themeFill="accent2" w:themeFillTint="33"/>
          </w:tcPr>
          <w:p w14:paraId="723C6288" w14:textId="0CCEF307" w:rsidR="007A0E1A" w:rsidRPr="00FF7321" w:rsidRDefault="007A0E1A" w:rsidP="00FA0B70">
            <w:pPr>
              <w:rPr>
                <w:b/>
                <w:bCs/>
              </w:rPr>
            </w:pPr>
            <w:r w:rsidRPr="00FF7321">
              <w:rPr>
                <w:b/>
                <w:bCs/>
              </w:rPr>
              <w:t>Top three incident types, listed from most frequent (top)</w:t>
            </w:r>
          </w:p>
        </w:tc>
      </w:tr>
      <w:tr w:rsidR="007A0E1A" w:rsidRPr="00FA0B70" w14:paraId="08820985" w14:textId="77777777" w:rsidTr="00D25D80">
        <w:tc>
          <w:tcPr>
            <w:tcW w:w="1669" w:type="pct"/>
          </w:tcPr>
          <w:p w14:paraId="4F7E7535" w14:textId="77777777" w:rsidR="007A0E1A" w:rsidRPr="00FA0B70" w:rsidRDefault="007A0E1A" w:rsidP="00FA0B70">
            <w:r w:rsidRPr="00FA0B70">
              <w:t>Omitted dose</w:t>
            </w:r>
          </w:p>
        </w:tc>
        <w:tc>
          <w:tcPr>
            <w:tcW w:w="1665" w:type="pct"/>
          </w:tcPr>
          <w:p w14:paraId="416351B6" w14:textId="77777777" w:rsidR="007A0E1A" w:rsidRPr="00FA0B70" w:rsidRDefault="007A0E1A" w:rsidP="00FA0B70">
            <w:r w:rsidRPr="00FA0B70">
              <w:t>Omitted dose</w:t>
            </w:r>
          </w:p>
        </w:tc>
        <w:tc>
          <w:tcPr>
            <w:tcW w:w="1666" w:type="pct"/>
          </w:tcPr>
          <w:p w14:paraId="1A429CB2" w14:textId="2CBCB4B0" w:rsidR="007A0E1A" w:rsidRPr="00FA0B70" w:rsidRDefault="006B23CB" w:rsidP="00FA0B70">
            <w:r w:rsidRPr="00FA0B70">
              <w:t xml:space="preserve">Omitted dose </w:t>
            </w:r>
          </w:p>
        </w:tc>
      </w:tr>
      <w:tr w:rsidR="007A0E1A" w:rsidRPr="00FA0B70" w14:paraId="73EB01E9" w14:textId="77777777" w:rsidTr="00D25D80">
        <w:tc>
          <w:tcPr>
            <w:tcW w:w="1669" w:type="pct"/>
          </w:tcPr>
          <w:p w14:paraId="7FB3F746" w14:textId="77777777" w:rsidR="007A0E1A" w:rsidRPr="00FA0B70" w:rsidRDefault="007A0E1A" w:rsidP="00FA0B70">
            <w:r w:rsidRPr="00FA0B70">
              <w:t>Incorrect dose</w:t>
            </w:r>
          </w:p>
        </w:tc>
        <w:tc>
          <w:tcPr>
            <w:tcW w:w="1665" w:type="pct"/>
          </w:tcPr>
          <w:p w14:paraId="36222EF8" w14:textId="77777777" w:rsidR="007A0E1A" w:rsidRPr="00FA0B70" w:rsidRDefault="007A0E1A" w:rsidP="00FA0B70">
            <w:r w:rsidRPr="00FA0B70">
              <w:t>Incorrect dose</w:t>
            </w:r>
          </w:p>
        </w:tc>
        <w:tc>
          <w:tcPr>
            <w:tcW w:w="1666" w:type="pct"/>
          </w:tcPr>
          <w:p w14:paraId="5870A15B" w14:textId="2CDB88A1" w:rsidR="007A0E1A" w:rsidRPr="00FA0B70" w:rsidRDefault="006B23CB" w:rsidP="00FA0B70">
            <w:r w:rsidRPr="00FA0B70">
              <w:t xml:space="preserve">Incorrect dose </w:t>
            </w:r>
          </w:p>
        </w:tc>
      </w:tr>
      <w:tr w:rsidR="007A0E1A" w:rsidRPr="00FA0B70" w14:paraId="40F64BD8" w14:textId="77777777" w:rsidTr="00D25D80">
        <w:tc>
          <w:tcPr>
            <w:tcW w:w="1669" w:type="pct"/>
          </w:tcPr>
          <w:p w14:paraId="19B55064" w14:textId="77777777" w:rsidR="007A0E1A" w:rsidRPr="00FA0B70" w:rsidRDefault="007A0E1A" w:rsidP="00FA0B70">
            <w:r w:rsidRPr="00FA0B70">
              <w:t>Incomplete prescription</w:t>
            </w:r>
          </w:p>
        </w:tc>
        <w:tc>
          <w:tcPr>
            <w:tcW w:w="1665" w:type="pct"/>
          </w:tcPr>
          <w:p w14:paraId="5BD9D2D6" w14:textId="77777777" w:rsidR="007A0E1A" w:rsidRPr="00FA0B70" w:rsidRDefault="007A0E1A" w:rsidP="00FA0B70">
            <w:r w:rsidRPr="00FA0B70">
              <w:t>Duplicate therapy</w:t>
            </w:r>
          </w:p>
        </w:tc>
        <w:tc>
          <w:tcPr>
            <w:tcW w:w="1666" w:type="pct"/>
          </w:tcPr>
          <w:p w14:paraId="4E7A32A9" w14:textId="77777777" w:rsidR="007A0E1A" w:rsidRPr="00FA0B70" w:rsidRDefault="007A0E1A" w:rsidP="00FA0B70">
            <w:r w:rsidRPr="00FA0B70">
              <w:t>Duplicate therapy</w:t>
            </w:r>
          </w:p>
        </w:tc>
      </w:tr>
      <w:tr w:rsidR="007A0E1A" w:rsidRPr="00FA0B70" w14:paraId="7D9B7799" w14:textId="77777777" w:rsidTr="00D25D80">
        <w:tc>
          <w:tcPr>
            <w:tcW w:w="5000" w:type="pct"/>
            <w:gridSpan w:val="3"/>
            <w:shd w:val="clear" w:color="auto" w:fill="C5F1FF" w:themeFill="accent2" w:themeFillTint="33"/>
          </w:tcPr>
          <w:p w14:paraId="43C87E20" w14:textId="20A21335" w:rsidR="007A0E1A" w:rsidRPr="00FF7321" w:rsidRDefault="007A0E1A" w:rsidP="00FA0B70">
            <w:pPr>
              <w:rPr>
                <w:b/>
                <w:bCs/>
              </w:rPr>
            </w:pPr>
            <w:r w:rsidRPr="00FF7321">
              <w:rPr>
                <w:b/>
                <w:bCs/>
              </w:rPr>
              <w:t>Top three administration incident types, listed from most frequent (top)</w:t>
            </w:r>
          </w:p>
        </w:tc>
      </w:tr>
      <w:tr w:rsidR="007A0E1A" w:rsidRPr="00FA0B70" w14:paraId="389C35C7" w14:textId="77777777" w:rsidTr="00D25D80">
        <w:tc>
          <w:tcPr>
            <w:tcW w:w="1669" w:type="pct"/>
          </w:tcPr>
          <w:p w14:paraId="504830F3" w14:textId="77777777" w:rsidR="007A0E1A" w:rsidRPr="00FA0B70" w:rsidRDefault="007A0E1A" w:rsidP="00FA0B70">
            <w:r w:rsidRPr="00FA0B70">
              <w:t>Omitted dose</w:t>
            </w:r>
          </w:p>
        </w:tc>
        <w:tc>
          <w:tcPr>
            <w:tcW w:w="1665" w:type="pct"/>
          </w:tcPr>
          <w:p w14:paraId="7C8ACA97" w14:textId="77777777" w:rsidR="007A0E1A" w:rsidRPr="00FA0B70" w:rsidRDefault="007A0E1A" w:rsidP="00FA0B70">
            <w:r w:rsidRPr="00FA0B70">
              <w:t>Omitted dose</w:t>
            </w:r>
          </w:p>
        </w:tc>
        <w:tc>
          <w:tcPr>
            <w:tcW w:w="1666" w:type="pct"/>
          </w:tcPr>
          <w:p w14:paraId="738B0DC5" w14:textId="77777777" w:rsidR="007A0E1A" w:rsidRPr="00FA0B70" w:rsidRDefault="007A0E1A" w:rsidP="00FA0B70">
            <w:r w:rsidRPr="00FA0B70">
              <w:t>Not available</w:t>
            </w:r>
          </w:p>
        </w:tc>
      </w:tr>
      <w:tr w:rsidR="007A0E1A" w:rsidRPr="00FA0B70" w14:paraId="502C2C74" w14:textId="77777777" w:rsidTr="00D25D80">
        <w:tc>
          <w:tcPr>
            <w:tcW w:w="1669" w:type="pct"/>
          </w:tcPr>
          <w:p w14:paraId="5BC7ECD5" w14:textId="77777777" w:rsidR="007A0E1A" w:rsidRPr="00FA0B70" w:rsidRDefault="007A0E1A" w:rsidP="00FA0B70">
            <w:r w:rsidRPr="00FA0B70">
              <w:t>Incomplete prescription</w:t>
            </w:r>
          </w:p>
        </w:tc>
        <w:tc>
          <w:tcPr>
            <w:tcW w:w="1665" w:type="pct"/>
          </w:tcPr>
          <w:p w14:paraId="1FD5838B" w14:textId="77777777" w:rsidR="007A0E1A" w:rsidRPr="00FA0B70" w:rsidRDefault="007A0E1A" w:rsidP="00FA0B70">
            <w:r w:rsidRPr="00FA0B70">
              <w:t>Incorrect rate of administration</w:t>
            </w:r>
          </w:p>
        </w:tc>
        <w:tc>
          <w:tcPr>
            <w:tcW w:w="1666" w:type="pct"/>
          </w:tcPr>
          <w:p w14:paraId="5D242F01" w14:textId="77777777" w:rsidR="007A0E1A" w:rsidRPr="00FA0B70" w:rsidRDefault="007A0E1A" w:rsidP="00FA0B70">
            <w:r w:rsidRPr="00FA0B70">
              <w:t>Not available</w:t>
            </w:r>
          </w:p>
        </w:tc>
      </w:tr>
      <w:tr w:rsidR="007A0E1A" w:rsidRPr="00FA0B70" w14:paraId="6A456B80" w14:textId="77777777" w:rsidTr="00D25D80">
        <w:tc>
          <w:tcPr>
            <w:tcW w:w="1669" w:type="pct"/>
          </w:tcPr>
          <w:p w14:paraId="49B237FB" w14:textId="77777777" w:rsidR="007A0E1A" w:rsidRPr="00FA0B70" w:rsidRDefault="007A0E1A" w:rsidP="00FA0B70">
            <w:r w:rsidRPr="00FA0B70">
              <w:t>Premature dosing</w:t>
            </w:r>
          </w:p>
        </w:tc>
        <w:tc>
          <w:tcPr>
            <w:tcW w:w="1665" w:type="pct"/>
          </w:tcPr>
          <w:p w14:paraId="551A69DB" w14:textId="77777777" w:rsidR="007A0E1A" w:rsidRPr="00FA0B70" w:rsidRDefault="007A0E1A" w:rsidP="00FA0B70">
            <w:r w:rsidRPr="00FA0B70">
              <w:t>Duplicate dose</w:t>
            </w:r>
          </w:p>
        </w:tc>
        <w:tc>
          <w:tcPr>
            <w:tcW w:w="1666" w:type="pct"/>
          </w:tcPr>
          <w:p w14:paraId="715BCFF2" w14:textId="77777777" w:rsidR="007A0E1A" w:rsidRPr="00FA0B70" w:rsidRDefault="007A0E1A" w:rsidP="00FA0B70">
            <w:r w:rsidRPr="00FA0B70">
              <w:t>Not available</w:t>
            </w:r>
          </w:p>
        </w:tc>
      </w:tr>
      <w:tr w:rsidR="007A0E1A" w:rsidRPr="00FA0B70" w14:paraId="40101C60" w14:textId="77777777" w:rsidTr="00D25D80">
        <w:tc>
          <w:tcPr>
            <w:tcW w:w="5000" w:type="pct"/>
            <w:gridSpan w:val="3"/>
            <w:shd w:val="clear" w:color="auto" w:fill="C5F1FF" w:themeFill="accent2" w:themeFillTint="33"/>
          </w:tcPr>
          <w:p w14:paraId="0439FF9F" w14:textId="7A4E15AA" w:rsidR="007A0E1A" w:rsidRPr="00FF7321" w:rsidRDefault="007A0E1A" w:rsidP="00FA0B70">
            <w:pPr>
              <w:rPr>
                <w:b/>
                <w:bCs/>
              </w:rPr>
            </w:pPr>
            <w:r w:rsidRPr="00FF7321">
              <w:rPr>
                <w:b/>
                <w:bCs/>
              </w:rPr>
              <w:t>Top three prescribing incident types, listed from most frequent (top)</w:t>
            </w:r>
          </w:p>
        </w:tc>
      </w:tr>
      <w:tr w:rsidR="007A0E1A" w:rsidRPr="00FA0B70" w14:paraId="4269B23C" w14:textId="77777777" w:rsidTr="00D25D80">
        <w:tc>
          <w:tcPr>
            <w:tcW w:w="1669" w:type="pct"/>
          </w:tcPr>
          <w:p w14:paraId="451D6FC2" w14:textId="77777777" w:rsidR="007A0E1A" w:rsidRPr="00FA0B70" w:rsidRDefault="007A0E1A" w:rsidP="00FA0B70">
            <w:r w:rsidRPr="00FA0B70">
              <w:t>Omitted dose</w:t>
            </w:r>
          </w:p>
        </w:tc>
        <w:tc>
          <w:tcPr>
            <w:tcW w:w="1665" w:type="pct"/>
          </w:tcPr>
          <w:p w14:paraId="15553A00" w14:textId="77777777" w:rsidR="007A0E1A" w:rsidRPr="00FA0B70" w:rsidRDefault="007A0E1A" w:rsidP="00FA0B70">
            <w:r w:rsidRPr="00FA0B70">
              <w:t>Duplicate therapy</w:t>
            </w:r>
          </w:p>
        </w:tc>
        <w:tc>
          <w:tcPr>
            <w:tcW w:w="1666" w:type="pct"/>
          </w:tcPr>
          <w:p w14:paraId="019EC149" w14:textId="77777777" w:rsidR="007A0E1A" w:rsidRPr="00FA0B70" w:rsidRDefault="007A0E1A" w:rsidP="00FA0B70">
            <w:r w:rsidRPr="00FA0B70">
              <w:t xml:space="preserve">Not available </w:t>
            </w:r>
          </w:p>
        </w:tc>
      </w:tr>
      <w:tr w:rsidR="007A0E1A" w:rsidRPr="00FA0B70" w14:paraId="3B03E555" w14:textId="77777777" w:rsidTr="00D25D80">
        <w:tc>
          <w:tcPr>
            <w:tcW w:w="1669" w:type="pct"/>
          </w:tcPr>
          <w:p w14:paraId="6BE781C9" w14:textId="77777777" w:rsidR="007A0E1A" w:rsidRPr="00FA0B70" w:rsidRDefault="007A0E1A" w:rsidP="00FA0B70">
            <w:r w:rsidRPr="00FA0B70">
              <w:t>Incorrect dose</w:t>
            </w:r>
          </w:p>
        </w:tc>
        <w:tc>
          <w:tcPr>
            <w:tcW w:w="1665" w:type="pct"/>
          </w:tcPr>
          <w:p w14:paraId="2B6AE718" w14:textId="77777777" w:rsidR="007A0E1A" w:rsidRPr="00FA0B70" w:rsidRDefault="007A0E1A" w:rsidP="00FA0B70">
            <w:r w:rsidRPr="00FA0B70">
              <w:t>Medicine not prescribed</w:t>
            </w:r>
          </w:p>
        </w:tc>
        <w:tc>
          <w:tcPr>
            <w:tcW w:w="1666" w:type="pct"/>
          </w:tcPr>
          <w:p w14:paraId="3F304CED" w14:textId="77777777" w:rsidR="007A0E1A" w:rsidRPr="00FA0B70" w:rsidRDefault="007A0E1A" w:rsidP="00FA0B70">
            <w:r w:rsidRPr="00FA0B70">
              <w:t>Not available</w:t>
            </w:r>
          </w:p>
        </w:tc>
      </w:tr>
      <w:tr w:rsidR="007A0E1A" w:rsidRPr="00FA0B70" w14:paraId="7F5B9128" w14:textId="77777777" w:rsidTr="00D25D80">
        <w:tc>
          <w:tcPr>
            <w:tcW w:w="1669" w:type="pct"/>
          </w:tcPr>
          <w:p w14:paraId="1F81C16D" w14:textId="77777777" w:rsidR="007A0E1A" w:rsidRPr="00FA0B70" w:rsidRDefault="007A0E1A" w:rsidP="00FA0B70">
            <w:r w:rsidRPr="00FA0B70">
              <w:t>Contraindication due to a medical condition</w:t>
            </w:r>
          </w:p>
        </w:tc>
        <w:tc>
          <w:tcPr>
            <w:tcW w:w="1665" w:type="pct"/>
          </w:tcPr>
          <w:p w14:paraId="4FE63A61" w14:textId="77777777" w:rsidR="007A0E1A" w:rsidRPr="00FA0B70" w:rsidRDefault="007A0E1A" w:rsidP="00FA0B70">
            <w:r w:rsidRPr="00FA0B70">
              <w:t>Incomplete prescription</w:t>
            </w:r>
          </w:p>
        </w:tc>
        <w:tc>
          <w:tcPr>
            <w:tcW w:w="1666" w:type="pct"/>
          </w:tcPr>
          <w:p w14:paraId="4E5A7587" w14:textId="77777777" w:rsidR="007A0E1A" w:rsidRPr="00FA0B70" w:rsidRDefault="007A0E1A" w:rsidP="00FA0B70">
            <w:r w:rsidRPr="00FA0B70">
              <w:t>Not available</w:t>
            </w:r>
          </w:p>
        </w:tc>
      </w:tr>
    </w:tbl>
    <w:p w14:paraId="3190DC30" w14:textId="17F0F854" w:rsidR="007A0E1A" w:rsidRPr="00902D64" w:rsidRDefault="007A0E1A" w:rsidP="00746728">
      <w:pPr>
        <w:pStyle w:val="Heading4"/>
        <w:spacing w:before="360"/>
      </w:pPr>
      <w:r>
        <w:lastRenderedPageBreak/>
        <w:t>Anticoagulant medicine classes</w:t>
      </w:r>
    </w:p>
    <w:p w14:paraId="1D5BE3B9" w14:textId="10804400" w:rsidR="007A0E1A" w:rsidRDefault="007A0E1A" w:rsidP="007A0E1A">
      <w:r>
        <w:t xml:space="preserve">Using the comparisons within </w:t>
      </w:r>
      <w:r w:rsidRPr="00746728">
        <w:rPr>
          <w:b/>
          <w:bCs/>
        </w:rPr>
        <w:t>Table 3</w:t>
      </w:r>
      <w:r>
        <w:t xml:space="preserve"> above, heparin and LMWH are the anticoagulant medicine classes most frequently implicated in reported incidents for WA and national results. Heparin and LMWH were also implicated in the top three for NSW</w:t>
      </w:r>
      <w:r w:rsidR="00403BC9">
        <w:t xml:space="preserve">, </w:t>
      </w:r>
      <w:r w:rsidR="00A423E9">
        <w:t>with warfarin the most commonly implicated in contrast</w:t>
      </w:r>
      <w:r w:rsidR="00403BC9">
        <w:t xml:space="preserve"> with national results</w:t>
      </w:r>
      <w:r w:rsidR="00A423E9">
        <w:t>.</w:t>
      </w:r>
      <w:r>
        <w:t xml:space="preserve"> </w:t>
      </w:r>
    </w:p>
    <w:p w14:paraId="693BF237" w14:textId="77777777" w:rsidR="007A0E1A" w:rsidRDefault="007A0E1A" w:rsidP="007A0E1A">
      <w:r>
        <w:t>A number of additional findings in the WA Health analysis report closely align with those found in the national incident review some of which are noted below for particular medicines or classes:</w:t>
      </w:r>
    </w:p>
    <w:p w14:paraId="3BC82928" w14:textId="77777777" w:rsidR="007A0E1A" w:rsidRPr="0082762A" w:rsidRDefault="007A0E1A" w:rsidP="00E01EA8">
      <w:pPr>
        <w:pStyle w:val="Heading5"/>
      </w:pPr>
      <w:r w:rsidRPr="0082762A">
        <w:t>Heparin</w:t>
      </w:r>
    </w:p>
    <w:p w14:paraId="08DFC312" w14:textId="77777777" w:rsidR="007A0E1A" w:rsidRPr="00E01EA8" w:rsidRDefault="007A0E1A" w:rsidP="00FC6ABE">
      <w:pPr>
        <w:pStyle w:val="ListParagraph"/>
        <w:numPr>
          <w:ilvl w:val="0"/>
          <w:numId w:val="18"/>
        </w:numPr>
      </w:pPr>
      <w:r w:rsidRPr="00E01EA8">
        <w:t>Bolus and rate requirements commonly reported as a point of confusion</w:t>
      </w:r>
    </w:p>
    <w:p w14:paraId="0B4B2D5C" w14:textId="41DB4327" w:rsidR="007A0E1A" w:rsidRPr="00E01EA8" w:rsidRDefault="007A0E1A" w:rsidP="00FC6ABE">
      <w:pPr>
        <w:pStyle w:val="ListParagraph"/>
        <w:numPr>
          <w:ilvl w:val="0"/>
          <w:numId w:val="18"/>
        </w:numPr>
      </w:pPr>
      <w:r w:rsidRPr="00E01EA8">
        <w:t>Timing of blood sample taken for analysis and how this relates to ongoing monitoring</w:t>
      </w:r>
    </w:p>
    <w:p w14:paraId="5E17CF27" w14:textId="7DDC65A1" w:rsidR="007A0E1A" w:rsidRPr="00E01EA8" w:rsidRDefault="007A0E1A" w:rsidP="00FC6ABE">
      <w:pPr>
        <w:pStyle w:val="ListParagraph"/>
        <w:numPr>
          <w:ilvl w:val="0"/>
          <w:numId w:val="18"/>
        </w:numPr>
      </w:pPr>
      <w:r w:rsidRPr="00E01EA8">
        <w:t>Dilution of heparin (unfractionated)</w:t>
      </w:r>
      <w:r w:rsidR="00491C58" w:rsidRPr="00E01EA8">
        <w:t xml:space="preserve"> is error-prone</w:t>
      </w:r>
    </w:p>
    <w:p w14:paraId="1F4F124D" w14:textId="7F3B9B54" w:rsidR="007A0E1A" w:rsidRDefault="007A0E1A" w:rsidP="00FC6ABE">
      <w:pPr>
        <w:pStyle w:val="ListParagraph"/>
        <w:numPr>
          <w:ilvl w:val="0"/>
          <w:numId w:val="18"/>
        </w:numPr>
      </w:pPr>
      <w:r w:rsidRPr="00E01EA8">
        <w:t>Heparin locks and the need to use heparinised saline as opposed to unfractionated heparin</w:t>
      </w:r>
      <w:r w:rsidR="00491C58" w:rsidRPr="00E01EA8">
        <w:t xml:space="preserve"> is not well understood by staff</w:t>
      </w:r>
      <w:r>
        <w:t xml:space="preserve">. </w:t>
      </w:r>
    </w:p>
    <w:p w14:paraId="377DE6D8" w14:textId="77777777" w:rsidR="007A0E1A" w:rsidRPr="0082762A" w:rsidRDefault="007A0E1A" w:rsidP="00CE2B00">
      <w:pPr>
        <w:pStyle w:val="Heading5"/>
      </w:pPr>
      <w:r w:rsidRPr="0082762A">
        <w:t>Warfarin</w:t>
      </w:r>
    </w:p>
    <w:p w14:paraId="740DC242" w14:textId="42B57BD9" w:rsidR="007A0E1A" w:rsidRPr="00E01EA8" w:rsidRDefault="00491C58" w:rsidP="00FC6ABE">
      <w:pPr>
        <w:pStyle w:val="ListParagraph"/>
        <w:numPr>
          <w:ilvl w:val="0"/>
          <w:numId w:val="19"/>
        </w:numPr>
      </w:pPr>
      <w:r w:rsidRPr="00E01EA8">
        <w:t>There is a k</w:t>
      </w:r>
      <w:r w:rsidR="007A0E1A" w:rsidRPr="00E01EA8">
        <w:t>nowledge gap regarding</w:t>
      </w:r>
      <w:r w:rsidRPr="00E01EA8">
        <w:t xml:space="preserve"> the</w:t>
      </w:r>
      <w:r w:rsidR="007A0E1A" w:rsidRPr="00E01EA8">
        <w:t xml:space="preserve"> exist</w:t>
      </w:r>
      <w:r w:rsidRPr="00E01EA8">
        <w:t>ence of two brands and that these</w:t>
      </w:r>
      <w:r w:rsidR="007A0E1A" w:rsidRPr="00E01EA8">
        <w:t xml:space="preserve"> are not interchangeable</w:t>
      </w:r>
    </w:p>
    <w:p w14:paraId="5D243DCE" w14:textId="66047AC2" w:rsidR="007A0E1A" w:rsidRPr="00E01EA8" w:rsidRDefault="007A0E1A" w:rsidP="00FC6ABE">
      <w:pPr>
        <w:pStyle w:val="ListParagraph"/>
        <w:numPr>
          <w:ilvl w:val="0"/>
          <w:numId w:val="19"/>
        </w:numPr>
      </w:pPr>
      <w:r w:rsidRPr="00E01EA8">
        <w:t>The</w:t>
      </w:r>
      <w:r w:rsidR="00491C58" w:rsidRPr="00E01EA8">
        <w:t>re is a</w:t>
      </w:r>
      <w:r w:rsidRPr="00E01EA8">
        <w:t xml:space="preserve"> need to ensure </w:t>
      </w:r>
      <w:r w:rsidR="00491C58" w:rsidRPr="00E01EA8">
        <w:t>INR,</w:t>
      </w:r>
      <w:r w:rsidR="00403BC9" w:rsidRPr="00E01EA8">
        <w:t xml:space="preserve"> dose</w:t>
      </w:r>
      <w:r w:rsidRPr="00E01EA8">
        <w:t xml:space="preserve"> </w:t>
      </w:r>
      <w:r w:rsidR="00491C58" w:rsidRPr="00E01EA8">
        <w:t xml:space="preserve">and prescribers signature </w:t>
      </w:r>
      <w:r w:rsidRPr="00E01EA8">
        <w:t>have been documented for safe administration.</w:t>
      </w:r>
      <w:r w:rsidR="00491C58" w:rsidRPr="00E01EA8">
        <w:t xml:space="preserve"> Forgetting to document a dose for administration is a common error for prescribers.</w:t>
      </w:r>
    </w:p>
    <w:p w14:paraId="5263E831" w14:textId="77777777" w:rsidR="007A0E1A" w:rsidRPr="0082762A" w:rsidRDefault="007A0E1A" w:rsidP="00CE2B00">
      <w:pPr>
        <w:pStyle w:val="Heading5"/>
      </w:pPr>
      <w:r w:rsidRPr="0082762A">
        <w:t>DOACs</w:t>
      </w:r>
    </w:p>
    <w:p w14:paraId="5DCF9044" w14:textId="5A10B922" w:rsidR="007A0E1A" w:rsidRPr="00E01EA8" w:rsidRDefault="007A0E1A" w:rsidP="00FC6ABE">
      <w:pPr>
        <w:pStyle w:val="ListParagraph"/>
        <w:numPr>
          <w:ilvl w:val="0"/>
          <w:numId w:val="20"/>
        </w:numPr>
      </w:pPr>
      <w:r w:rsidRPr="00E01EA8">
        <w:t xml:space="preserve">Clinicians </w:t>
      </w:r>
      <w:r w:rsidR="00403BC9" w:rsidRPr="00E01EA8">
        <w:t>are unfamiliar with</w:t>
      </w:r>
      <w:r w:rsidRPr="00E01EA8">
        <w:t xml:space="preserve"> the</w:t>
      </w:r>
      <w:r w:rsidR="00403BC9" w:rsidRPr="00E01EA8">
        <w:t>se</w:t>
      </w:r>
      <w:r w:rsidRPr="00E01EA8">
        <w:t xml:space="preserve"> medicines </w:t>
      </w:r>
      <w:r w:rsidR="00403BC9" w:rsidRPr="00E01EA8">
        <w:t>and do not recognise (or check for other anticoagulant medicines)</w:t>
      </w:r>
      <w:r w:rsidRPr="00E01EA8">
        <w:t xml:space="preserve"> </w:t>
      </w:r>
    </w:p>
    <w:p w14:paraId="7EDE7331" w14:textId="752D9D08" w:rsidR="007A0E1A" w:rsidRPr="00E01EA8" w:rsidRDefault="007A0E1A" w:rsidP="00FC6ABE">
      <w:pPr>
        <w:pStyle w:val="ListParagraph"/>
        <w:numPr>
          <w:ilvl w:val="0"/>
          <w:numId w:val="20"/>
        </w:numPr>
      </w:pPr>
      <w:r w:rsidRPr="00E01EA8">
        <w:t>Clinicians appear to be unfamiliar with policies for after-hours access to</w:t>
      </w:r>
      <w:r w:rsidR="00575C10" w:rsidRPr="00E01EA8">
        <w:t xml:space="preserve"> (these)</w:t>
      </w:r>
      <w:r w:rsidRPr="00E01EA8">
        <w:t xml:space="preserve"> medicines.</w:t>
      </w:r>
    </w:p>
    <w:p w14:paraId="1875591E" w14:textId="002B495B" w:rsidR="007A0E1A" w:rsidRPr="0082762A" w:rsidRDefault="007A0E1A" w:rsidP="00CE2B00">
      <w:pPr>
        <w:pStyle w:val="Heading4"/>
      </w:pPr>
      <w:r>
        <w:t>Types of incidents</w:t>
      </w:r>
    </w:p>
    <w:p w14:paraId="43D7F780" w14:textId="77777777" w:rsidR="000D5BDE" w:rsidRDefault="007A0E1A" w:rsidP="00851EFD">
      <w:r>
        <w:t>Across all three collated reports, dose omitted and incorrect dose were the two most frequently reported incident types. Duplicate therapy was the third most frequent incident type reported by NSW and nationally, while the WA incident analysis report cited incomplete prescription as the third most frequently reported incident type.</w:t>
      </w:r>
      <w:r w:rsidR="00444460">
        <w:t xml:space="preserve"> </w:t>
      </w:r>
    </w:p>
    <w:p w14:paraId="61D9E9E7" w14:textId="66E0AC6B" w:rsidR="007A0E1A" w:rsidRDefault="00444460" w:rsidP="00851EFD">
      <w:r>
        <w:t xml:space="preserve">Duplicate therapy did not feature amongst the top three incident types, which may reflect the different arrangements in place for managing </w:t>
      </w:r>
      <w:r w:rsidR="000D5BDE">
        <w:t>anticoagulant medicines in WA</w:t>
      </w:r>
      <w:r>
        <w:t>.</w:t>
      </w:r>
    </w:p>
    <w:p w14:paraId="3BD4FDC9" w14:textId="77777777" w:rsidR="00FD700B" w:rsidRDefault="00FD700B" w:rsidP="00FB6504">
      <w:pPr>
        <w:pStyle w:val="Heading2"/>
      </w:pPr>
      <w:r>
        <w:br w:type="page"/>
      </w:r>
    </w:p>
    <w:p w14:paraId="128E0C6A" w14:textId="5A347F20" w:rsidR="00636799" w:rsidRPr="00FB6504" w:rsidRDefault="001577DE" w:rsidP="00FB6504">
      <w:pPr>
        <w:pStyle w:val="Heading2"/>
      </w:pPr>
      <w:bookmarkStart w:id="24" w:name="_Toc80021281"/>
      <w:r>
        <w:lastRenderedPageBreak/>
        <w:t>5.</w:t>
      </w:r>
      <w:r w:rsidR="00FB6504">
        <w:t xml:space="preserve"> </w:t>
      </w:r>
      <w:r w:rsidR="001F7877" w:rsidRPr="00FB6504">
        <w:t>Limitations</w:t>
      </w:r>
      <w:bookmarkEnd w:id="24"/>
    </w:p>
    <w:p w14:paraId="6E7EF4D4" w14:textId="3BBFA439" w:rsidR="00130FA4" w:rsidRPr="00694C5C" w:rsidRDefault="00130FA4" w:rsidP="00FB6504">
      <w:pPr>
        <w:pStyle w:val="Heading3"/>
      </w:pPr>
      <w:bookmarkStart w:id="25" w:name="_Toc80021282"/>
      <w:r>
        <w:t>Data quality</w:t>
      </w:r>
      <w:bookmarkEnd w:id="25"/>
      <w:r w:rsidR="002D4585">
        <w:t xml:space="preserve"> </w:t>
      </w:r>
    </w:p>
    <w:p w14:paraId="17835D4F" w14:textId="6D8C7E8C" w:rsidR="00130FA4" w:rsidRDefault="00130FA4" w:rsidP="00130FA4">
      <w:r>
        <w:t>Data</w:t>
      </w:r>
      <w:r w:rsidRPr="00FB11DE">
        <w:t xml:space="preserve"> </w:t>
      </w:r>
      <w:r>
        <w:t>analysed</w:t>
      </w:r>
      <w:r w:rsidR="005D2AB5">
        <w:t xml:space="preserve"> for this report</w:t>
      </w:r>
      <w:r w:rsidRPr="00FB11DE">
        <w:t xml:space="preserve"> </w:t>
      </w:r>
      <w:r>
        <w:t>was of consistently poor quality. The main issues surroundin</w:t>
      </w:r>
      <w:r w:rsidR="0088128D">
        <w:t>g these data</w:t>
      </w:r>
      <w:r w:rsidR="0014224F">
        <w:t xml:space="preserve">, its interpretation and comparison </w:t>
      </w:r>
      <w:r w:rsidR="0088128D">
        <w:t>are outlined below:</w:t>
      </w:r>
    </w:p>
    <w:p w14:paraId="259F4F95" w14:textId="3677E653" w:rsidR="00FC7B0A" w:rsidRPr="00FB6504" w:rsidRDefault="009835D6" w:rsidP="00FC6ABE">
      <w:pPr>
        <w:pStyle w:val="ListParagraph"/>
        <w:numPr>
          <w:ilvl w:val="0"/>
          <w:numId w:val="21"/>
        </w:numPr>
      </w:pPr>
      <w:r w:rsidRPr="00FB6504">
        <w:t>D</w:t>
      </w:r>
      <w:r w:rsidR="00130FA4" w:rsidRPr="00FB6504">
        <w:t>ata pro</w:t>
      </w:r>
      <w:r w:rsidR="002212CA" w:rsidRPr="00FB6504">
        <w:t xml:space="preserve">vided </w:t>
      </w:r>
      <w:r w:rsidR="00130FA4" w:rsidRPr="00FB6504">
        <w:t>did not</w:t>
      </w:r>
      <w:r w:rsidR="00A34EDE" w:rsidRPr="00FB6504">
        <w:t xml:space="preserve"> necessarily</w:t>
      </w:r>
      <w:r w:rsidR="00130FA4" w:rsidRPr="00FB6504">
        <w:t xml:space="preserve"> focus on the outcome for the patient</w:t>
      </w:r>
    </w:p>
    <w:p w14:paraId="64F32A18" w14:textId="77777777" w:rsidR="00FB6504" w:rsidRDefault="00FF1658" w:rsidP="00FC6ABE">
      <w:pPr>
        <w:pStyle w:val="ListParagraph"/>
        <w:numPr>
          <w:ilvl w:val="0"/>
          <w:numId w:val="21"/>
        </w:numPr>
      </w:pPr>
      <w:r w:rsidRPr="00FB6504">
        <w:t>Inadequate information</w:t>
      </w:r>
      <w:r w:rsidR="00FC7B0A" w:rsidRPr="00FB6504">
        <w:t xml:space="preserve"> and vague statements</w:t>
      </w:r>
      <w:r w:rsidR="002212CA" w:rsidRPr="00FB6504">
        <w:t xml:space="preserve"> </w:t>
      </w:r>
      <w:r w:rsidR="00FC7B0A" w:rsidRPr="00FB6504">
        <w:t>in the incident description</w:t>
      </w:r>
      <w:r w:rsidR="002212CA" w:rsidRPr="00FB6504">
        <w:t xml:space="preserve">, </w:t>
      </w:r>
      <w:r w:rsidRPr="00FB6504">
        <w:t xml:space="preserve">made </w:t>
      </w:r>
      <w:r w:rsidR="002212CA" w:rsidRPr="00FB6504">
        <w:t xml:space="preserve">it unclear what </w:t>
      </w:r>
      <w:r w:rsidRPr="00FB6504">
        <w:t>had transpired, for instance</w:t>
      </w:r>
      <w:r w:rsidR="00FC7B0A" w:rsidRPr="00FB6504">
        <w:t>:</w:t>
      </w:r>
    </w:p>
    <w:p w14:paraId="26BE3762" w14:textId="4A875662" w:rsidR="00FB6504" w:rsidRPr="00953951" w:rsidRDefault="00592E76" w:rsidP="008A4426">
      <w:pPr>
        <w:ind w:left="993"/>
        <w:rPr>
          <w:i/>
          <w:iCs/>
        </w:rPr>
      </w:pPr>
      <w:r w:rsidRPr="00953951">
        <w:rPr>
          <w:i/>
          <w:iCs/>
        </w:rPr>
        <w:t>When checking chart, noticed XX dose given at</w:t>
      </w:r>
      <w:r w:rsidR="00A30586" w:rsidRPr="00953951">
        <w:rPr>
          <w:i/>
          <w:iCs/>
        </w:rPr>
        <w:t xml:space="preserve"> XX after the XX dose was given</w:t>
      </w:r>
    </w:p>
    <w:p w14:paraId="170CF9D3" w14:textId="6729D2C2" w:rsidR="00FC7B0A" w:rsidRPr="00FB6504" w:rsidRDefault="00FC7B0A" w:rsidP="008A4426">
      <w:pPr>
        <w:ind w:left="993"/>
      </w:pPr>
      <w:r w:rsidRPr="00953951">
        <w:rPr>
          <w:i/>
          <w:iCs/>
        </w:rPr>
        <w:t>s/c clexane</w:t>
      </w:r>
      <w:r w:rsidR="002D2E45" w:rsidRPr="00953951">
        <w:rPr>
          <w:i/>
          <w:iCs/>
        </w:rPr>
        <w:t xml:space="preserve"> </w:t>
      </w:r>
      <w:r w:rsidRPr="00953951">
        <w:rPr>
          <w:i/>
          <w:iCs/>
        </w:rPr>
        <w:t>was given at 12:00 by day staff from incorrect order, then order was recharted in correct order yet different dose, same was given</w:t>
      </w:r>
      <w:r w:rsidR="002D2E45" w:rsidRPr="00953951">
        <w:rPr>
          <w:i/>
          <w:iCs/>
        </w:rPr>
        <w:t xml:space="preserve"> </w:t>
      </w:r>
      <w:r w:rsidRPr="00953951">
        <w:rPr>
          <w:i/>
          <w:iCs/>
        </w:rPr>
        <w:t>yet team did not indicate for this to commence the following</w:t>
      </w:r>
    </w:p>
    <w:p w14:paraId="67D8CF98" w14:textId="5599A2BE" w:rsidR="00130FA4" w:rsidRPr="00FB6504" w:rsidRDefault="00130FA4" w:rsidP="00FC6ABE">
      <w:pPr>
        <w:pStyle w:val="ListParagraph"/>
        <w:numPr>
          <w:ilvl w:val="0"/>
          <w:numId w:val="21"/>
        </w:numPr>
      </w:pPr>
      <w:r w:rsidRPr="00FB6504">
        <w:t xml:space="preserve">A lack of (or application of) </w:t>
      </w:r>
      <w:r w:rsidR="00FF1658" w:rsidRPr="00FB6504">
        <w:t xml:space="preserve">consistent terms and </w:t>
      </w:r>
      <w:r w:rsidRPr="00FB6504">
        <w:t xml:space="preserve">definition </w:t>
      </w:r>
      <w:r w:rsidR="00FF1658" w:rsidRPr="00FB6504">
        <w:t>with</w:t>
      </w:r>
      <w:r w:rsidRPr="00FB6504">
        <w:t>in the data. This made the analysis process more difficult.</w:t>
      </w:r>
      <w:r w:rsidR="002D2E45" w:rsidRPr="00FB6504">
        <w:t xml:space="preserve"> </w:t>
      </w:r>
      <w:r w:rsidRPr="00FB6504">
        <w:t xml:space="preserve">For example, the term ‘dispensing’ was used to describe the process of </w:t>
      </w:r>
      <w:r w:rsidRPr="00BF5201">
        <w:rPr>
          <w:i/>
          <w:iCs/>
        </w:rPr>
        <w:t>administering</w:t>
      </w:r>
      <w:r w:rsidRPr="00FB6504">
        <w:t xml:space="preserve"> a medicine</w:t>
      </w:r>
    </w:p>
    <w:p w14:paraId="03A0E00D" w14:textId="3AC2613C" w:rsidR="00130FA4" w:rsidRPr="00FB6504" w:rsidRDefault="00130FA4" w:rsidP="00FC6ABE">
      <w:pPr>
        <w:pStyle w:val="ListParagraph"/>
        <w:numPr>
          <w:ilvl w:val="0"/>
          <w:numId w:val="21"/>
        </w:numPr>
      </w:pPr>
      <w:r w:rsidRPr="00FB6504">
        <w:t xml:space="preserve">Data supplied did not have a </w:t>
      </w:r>
      <w:r w:rsidR="00AD061B" w:rsidRPr="00FB6504">
        <w:t xml:space="preserve">scale </w:t>
      </w:r>
      <w:r w:rsidRPr="00FB6504">
        <w:t>for clinicians to attribute potential caus</w:t>
      </w:r>
      <w:r w:rsidR="0088128D" w:rsidRPr="00FB6504">
        <w:t>ative factors</w:t>
      </w:r>
      <w:r w:rsidRPr="00FB6504">
        <w:t xml:space="preserve"> for the incident</w:t>
      </w:r>
      <w:r w:rsidR="001577DE">
        <w:t>.</w:t>
      </w:r>
      <w:r w:rsidR="00F61536">
        <w:t xml:space="preserve"> </w:t>
      </w:r>
      <w:r w:rsidR="001577DE">
        <w:t>I</w:t>
      </w:r>
      <w:r w:rsidRPr="00FB6504">
        <w:t>n the majority of cases</w:t>
      </w:r>
      <w:r w:rsidR="0088128D" w:rsidRPr="00FB6504">
        <w:t>, the incident</w:t>
      </w:r>
      <w:r w:rsidRPr="00FB6504">
        <w:t xml:space="preserve"> description</w:t>
      </w:r>
      <w:r w:rsidR="0088128D" w:rsidRPr="00FB6504">
        <w:t xml:space="preserve"> </w:t>
      </w:r>
      <w:r w:rsidR="00AD061B" w:rsidRPr="00FB6504">
        <w:t>was</w:t>
      </w:r>
      <w:r w:rsidR="00FC7B0A" w:rsidRPr="00FB6504">
        <w:t xml:space="preserve"> </w:t>
      </w:r>
      <w:r w:rsidR="00AD061B" w:rsidRPr="00FB6504">
        <w:t>in</w:t>
      </w:r>
      <w:r w:rsidRPr="00FB6504">
        <w:t>sufficient to allow</w:t>
      </w:r>
      <w:r w:rsidR="00FC7B0A" w:rsidRPr="00FB6504">
        <w:t xml:space="preserve"> </w:t>
      </w:r>
      <w:r w:rsidR="00AD061B" w:rsidRPr="00FB6504">
        <w:t>determination</w:t>
      </w:r>
      <w:r w:rsidR="0088128D" w:rsidRPr="00FB6504">
        <w:t xml:space="preserve"> of a potential cause</w:t>
      </w:r>
      <w:r w:rsidRPr="00FB6504">
        <w:t xml:space="preserve"> </w:t>
      </w:r>
    </w:p>
    <w:p w14:paraId="4DC0006E" w14:textId="3DA7A861" w:rsidR="00130FA4" w:rsidRPr="00FB6504" w:rsidRDefault="00130FA4" w:rsidP="00FC6ABE">
      <w:pPr>
        <w:pStyle w:val="ListParagraph"/>
        <w:numPr>
          <w:ilvl w:val="0"/>
          <w:numId w:val="21"/>
        </w:numPr>
      </w:pPr>
      <w:r w:rsidRPr="00FB6504">
        <w:t>Classifications</w:t>
      </w:r>
      <w:r w:rsidR="00D65923" w:rsidRPr="00FB6504">
        <w:t xml:space="preserve"> listed in </w:t>
      </w:r>
      <w:r w:rsidR="00AD061B" w:rsidRPr="00BF5201">
        <w:rPr>
          <w:b/>
          <w:bCs/>
        </w:rPr>
        <w:t>A</w:t>
      </w:r>
      <w:r w:rsidR="00EC43D4" w:rsidRPr="00BF5201">
        <w:rPr>
          <w:b/>
          <w:bCs/>
        </w:rPr>
        <w:t xml:space="preserve">ppendix </w:t>
      </w:r>
      <w:r w:rsidR="001577DE">
        <w:rPr>
          <w:b/>
          <w:bCs/>
        </w:rPr>
        <w:t>1</w:t>
      </w:r>
      <w:r w:rsidR="00EC43D4" w:rsidRPr="00BF5201">
        <w:rPr>
          <w:b/>
          <w:bCs/>
        </w:rPr>
        <w:t xml:space="preserve"> Table B</w:t>
      </w:r>
      <w:r w:rsidRPr="00FB6504">
        <w:t xml:space="preserve"> made it difficult to label ‘near miss’ incidents. </w:t>
      </w:r>
      <w:r w:rsidR="00AD061B" w:rsidRPr="00FB6504">
        <w:t>Analysis of ‘near miss’ incidents and their p</w:t>
      </w:r>
      <w:r w:rsidRPr="00FB6504">
        <w:t>otential</w:t>
      </w:r>
      <w:r w:rsidR="00AD061B" w:rsidRPr="00FB6504">
        <w:t xml:space="preserve"> to recur </w:t>
      </w:r>
      <w:r w:rsidR="00D65923" w:rsidRPr="00FB6504">
        <w:t>is</w:t>
      </w:r>
      <w:r w:rsidR="0088128D" w:rsidRPr="00FB6504">
        <w:t xml:space="preserve"> </w:t>
      </w:r>
      <w:r w:rsidRPr="00FB6504">
        <w:t>valuable</w:t>
      </w:r>
      <w:r w:rsidR="00AD061B" w:rsidRPr="00FB6504">
        <w:t xml:space="preserve"> in prevention efforts</w:t>
      </w:r>
      <w:r w:rsidR="0088128D" w:rsidRPr="00FB6504">
        <w:t>.</w:t>
      </w:r>
      <w:r w:rsidR="00D65923" w:rsidRPr="00FB6504">
        <w:t xml:space="preserve"> The data provided </w:t>
      </w:r>
      <w:r w:rsidR="00AD061B" w:rsidRPr="00FB6504">
        <w:t>d</w:t>
      </w:r>
      <w:r w:rsidR="006250B5" w:rsidRPr="00FB6504">
        <w:t>id not reveal how these</w:t>
      </w:r>
      <w:r w:rsidR="00D65923" w:rsidRPr="00FB6504">
        <w:t xml:space="preserve"> benefits</w:t>
      </w:r>
      <w:r w:rsidR="006250B5" w:rsidRPr="00FB6504">
        <w:t>, if any, were</w:t>
      </w:r>
      <w:r w:rsidR="00474366">
        <w:t> </w:t>
      </w:r>
      <w:r w:rsidR="00D65923" w:rsidRPr="00FB6504">
        <w:t>realised</w:t>
      </w:r>
      <w:r w:rsidR="00444460" w:rsidRPr="00FB6504">
        <w:t xml:space="preserve"> </w:t>
      </w:r>
    </w:p>
    <w:p w14:paraId="1A0C3857" w14:textId="1DA57B89" w:rsidR="00130FA4" w:rsidRPr="00FB6504" w:rsidRDefault="0088128D" w:rsidP="00FC6ABE">
      <w:pPr>
        <w:pStyle w:val="ListParagraph"/>
        <w:numPr>
          <w:ilvl w:val="0"/>
          <w:numId w:val="21"/>
        </w:numPr>
      </w:pPr>
      <w:r w:rsidRPr="00FB6504">
        <w:t>Multiple incident</w:t>
      </w:r>
      <w:r w:rsidR="006E3AB3" w:rsidRPr="00FB6504">
        <w:t>s</w:t>
      </w:r>
      <w:r w:rsidRPr="00FB6504">
        <w:t xml:space="preserve"> were </w:t>
      </w:r>
      <w:r w:rsidR="006250B5" w:rsidRPr="00FB6504">
        <w:t xml:space="preserve">reported </w:t>
      </w:r>
      <w:r w:rsidRPr="00FB6504">
        <w:t>in a single</w:t>
      </w:r>
      <w:r w:rsidR="006E3AB3" w:rsidRPr="00FB6504">
        <w:t xml:space="preserve"> incident</w:t>
      </w:r>
      <w:r w:rsidR="00130FA4" w:rsidRPr="00FB6504">
        <w:t xml:space="preserve"> entry.</w:t>
      </w:r>
      <w:r w:rsidR="001426F5" w:rsidRPr="00FB6504">
        <w:t xml:space="preserve"> </w:t>
      </w:r>
      <w:r w:rsidR="006250B5" w:rsidRPr="00FB6504">
        <w:t xml:space="preserve">For </w:t>
      </w:r>
      <w:r w:rsidR="00A30586" w:rsidRPr="00FB6504">
        <w:t>example, multiple</w:t>
      </w:r>
      <w:r w:rsidR="001426F5" w:rsidRPr="00FB6504">
        <w:t xml:space="preserve"> </w:t>
      </w:r>
      <w:r w:rsidR="006250B5" w:rsidRPr="00FB6504">
        <w:t xml:space="preserve">missed </w:t>
      </w:r>
      <w:r w:rsidR="001426F5" w:rsidRPr="00FB6504">
        <w:t>doses of</w:t>
      </w:r>
      <w:r w:rsidR="006250B5" w:rsidRPr="00FB6504">
        <w:t xml:space="preserve"> a</w:t>
      </w:r>
      <w:r w:rsidR="001426F5" w:rsidRPr="00FB6504">
        <w:t xml:space="preserve"> medicine </w:t>
      </w:r>
      <w:r w:rsidR="006250B5" w:rsidRPr="00FB6504">
        <w:t>were recorded in</w:t>
      </w:r>
      <w:r w:rsidR="001426F5" w:rsidRPr="00FB6504">
        <w:t xml:space="preserve"> one incident</w:t>
      </w:r>
      <w:r w:rsidR="006250B5" w:rsidRPr="00FB6504">
        <w:t xml:space="preserve"> report</w:t>
      </w:r>
    </w:p>
    <w:p w14:paraId="61DA12FB" w14:textId="0E29F8C7" w:rsidR="00130FA4" w:rsidRPr="00FB6504" w:rsidRDefault="00130FA4" w:rsidP="00FC6ABE">
      <w:pPr>
        <w:pStyle w:val="ListParagraph"/>
        <w:numPr>
          <w:ilvl w:val="0"/>
          <w:numId w:val="21"/>
        </w:numPr>
      </w:pPr>
      <w:r w:rsidRPr="00FB6504">
        <w:t>Classifications in the appendices did not accurately describe some of the specific administration issues, notably</w:t>
      </w:r>
      <w:r w:rsidR="006250B5" w:rsidRPr="00FB6504">
        <w:t>:</w:t>
      </w:r>
      <w:r w:rsidRPr="00FB6504">
        <w:t xml:space="preserve"> heparin locks</w:t>
      </w:r>
      <w:r w:rsidR="006250B5" w:rsidRPr="00FB6504">
        <w:t>;</w:t>
      </w:r>
      <w:r w:rsidRPr="00FB6504">
        <w:t xml:space="preserve"> central venous catheters</w:t>
      </w:r>
      <w:r w:rsidR="006250B5" w:rsidRPr="00FB6504">
        <w:t>;</w:t>
      </w:r>
      <w:r w:rsidRPr="00FB6504">
        <w:t xml:space="preserve"> and multi-lumen catheters</w:t>
      </w:r>
    </w:p>
    <w:p w14:paraId="06171BED" w14:textId="7AA71AC4" w:rsidR="00130FA4" w:rsidRPr="00FB6504" w:rsidRDefault="00130FA4" w:rsidP="00FC6ABE">
      <w:pPr>
        <w:pStyle w:val="ListParagraph"/>
        <w:numPr>
          <w:ilvl w:val="0"/>
          <w:numId w:val="21"/>
        </w:numPr>
      </w:pPr>
      <w:r w:rsidRPr="00FB6504">
        <w:t xml:space="preserve">The most frequently entered incident nationally was ‘omitted dose.’ </w:t>
      </w:r>
      <w:r w:rsidR="009835D6" w:rsidRPr="00FB6504">
        <w:t>Omitted</w:t>
      </w:r>
      <w:r w:rsidR="000D5BDE" w:rsidRPr="00FB6504">
        <w:t xml:space="preserve"> dose on its own is significant. H</w:t>
      </w:r>
      <w:r w:rsidR="009835D6" w:rsidRPr="00FB6504">
        <w:t>owever</w:t>
      </w:r>
      <w:r w:rsidR="000D5BDE" w:rsidRPr="00FB6504">
        <w:t>,</w:t>
      </w:r>
      <w:r w:rsidR="009835D6" w:rsidRPr="00FB6504">
        <w:t xml:space="preserve"> it </w:t>
      </w:r>
      <w:r w:rsidR="006250B5" w:rsidRPr="00FB6504">
        <w:t>was</w:t>
      </w:r>
      <w:r w:rsidR="009835D6" w:rsidRPr="00FB6504">
        <w:t xml:space="preserve"> not possible to determine if any of the incidents </w:t>
      </w:r>
      <w:r w:rsidR="006250B5" w:rsidRPr="00FB6504">
        <w:t xml:space="preserve">were </w:t>
      </w:r>
      <w:r w:rsidR="009835D6" w:rsidRPr="00FB6504">
        <w:t>related, and consequently, if patients miss</w:t>
      </w:r>
      <w:r w:rsidR="006250B5" w:rsidRPr="00FB6504">
        <w:t>ed being administered</w:t>
      </w:r>
      <w:r w:rsidR="009835D6" w:rsidRPr="00FB6504">
        <w:t xml:space="preserve"> multiple (consecutive) doses</w:t>
      </w:r>
      <w:r w:rsidRPr="00FB6504">
        <w:t xml:space="preserve"> </w:t>
      </w:r>
    </w:p>
    <w:p w14:paraId="3F97066D" w14:textId="6AD7685C" w:rsidR="00130FA4" w:rsidRPr="00FB6504" w:rsidRDefault="0014224F" w:rsidP="00FC6ABE">
      <w:pPr>
        <w:pStyle w:val="ListParagraph"/>
        <w:numPr>
          <w:ilvl w:val="0"/>
          <w:numId w:val="21"/>
        </w:numPr>
      </w:pPr>
      <w:r w:rsidRPr="00FB6504">
        <w:t>A</w:t>
      </w:r>
      <w:r w:rsidR="00130FA4" w:rsidRPr="00FB6504">
        <w:t xml:space="preserve"> number of incidents </w:t>
      </w:r>
      <w:r w:rsidRPr="00FB6504">
        <w:t>were assigned a classification of ‘unclear’</w:t>
      </w:r>
      <w:r w:rsidR="00130FA4" w:rsidRPr="00FB6504">
        <w:t xml:space="preserve">. </w:t>
      </w:r>
      <w:r w:rsidRPr="00FB6504">
        <w:t xml:space="preserve">These data </w:t>
      </w:r>
      <w:r w:rsidR="00130FA4" w:rsidRPr="00FB6504">
        <w:t xml:space="preserve">represent missed opportunities for </w:t>
      </w:r>
      <w:r w:rsidRPr="00FB6504">
        <w:t xml:space="preserve">additional </w:t>
      </w:r>
      <w:r w:rsidR="00130FA4" w:rsidRPr="00FB6504">
        <w:t>meaningful knowledge and understanding of how these incidents unfolded and subsequent</w:t>
      </w:r>
      <w:r w:rsidRPr="00FB6504">
        <w:t xml:space="preserve"> learning </w:t>
      </w:r>
      <w:r w:rsidR="00A30586" w:rsidRPr="00FB6504">
        <w:t>opportunities</w:t>
      </w:r>
    </w:p>
    <w:p w14:paraId="1FDE4756" w14:textId="563F0555" w:rsidR="00B459E9" w:rsidRDefault="0027737A" w:rsidP="00FC6ABE">
      <w:pPr>
        <w:pStyle w:val="ListParagraph"/>
        <w:numPr>
          <w:ilvl w:val="0"/>
          <w:numId w:val="21"/>
        </w:numPr>
      </w:pPr>
      <w:r w:rsidRPr="00FB6504">
        <w:t>Each state and territory ha</w:t>
      </w:r>
      <w:r w:rsidR="0014224F" w:rsidRPr="00FB6504">
        <w:t>ving</w:t>
      </w:r>
      <w:r w:rsidRPr="00FB6504">
        <w:t xml:space="preserve"> different </w:t>
      </w:r>
      <w:r w:rsidR="006250B5" w:rsidRPr="00FB6504">
        <w:t xml:space="preserve">terms or </w:t>
      </w:r>
      <w:r w:rsidRPr="00FB6504">
        <w:t xml:space="preserve">taxonomies and </w:t>
      </w:r>
      <w:r w:rsidR="003E7CF9" w:rsidRPr="00FB6504">
        <w:t>definitions</w:t>
      </w:r>
      <w:r w:rsidR="00444460" w:rsidRPr="00FB6504">
        <w:t xml:space="preserve"> made it difficult to</w:t>
      </w:r>
      <w:r w:rsidR="00575C10" w:rsidRPr="00FB6504">
        <w:t xml:space="preserve"> bring these data into</w:t>
      </w:r>
      <w:r w:rsidR="00444460" w:rsidRPr="00FB6504">
        <w:t xml:space="preserve"> align</w:t>
      </w:r>
      <w:r w:rsidR="00575C10" w:rsidRPr="00FB6504">
        <w:t>ment.</w:t>
      </w:r>
      <w:r>
        <w:t xml:space="preserve"> </w:t>
      </w:r>
    </w:p>
    <w:p w14:paraId="5DC33E87" w14:textId="77777777" w:rsidR="001B4823" w:rsidRDefault="001B4823" w:rsidP="00FB6504">
      <w:pPr>
        <w:pStyle w:val="Heading3"/>
      </w:pPr>
      <w:r>
        <w:br w:type="page"/>
      </w:r>
    </w:p>
    <w:p w14:paraId="2D636983" w14:textId="4846C368" w:rsidR="006B263F" w:rsidRDefault="001F7877" w:rsidP="00FB6504">
      <w:pPr>
        <w:pStyle w:val="Heading3"/>
      </w:pPr>
      <w:bookmarkStart w:id="26" w:name="_Toc80021283"/>
      <w:r>
        <w:lastRenderedPageBreak/>
        <w:t>Other l</w:t>
      </w:r>
      <w:r w:rsidR="006B263F">
        <w:t>imitations</w:t>
      </w:r>
      <w:bookmarkEnd w:id="26"/>
    </w:p>
    <w:p w14:paraId="59D39410" w14:textId="0E6B6CB0" w:rsidR="006B263F" w:rsidRDefault="006B263F" w:rsidP="000D5BDE">
      <w:r>
        <w:t xml:space="preserve">All incidents were taken as written. There was no clinical review </w:t>
      </w:r>
      <w:r w:rsidR="003D1767">
        <w:t>included for</w:t>
      </w:r>
      <w:r>
        <w:t xml:space="preserve"> </w:t>
      </w:r>
      <w:r w:rsidR="001F7877">
        <w:t xml:space="preserve">each </w:t>
      </w:r>
      <w:r>
        <w:t>incident. There may be cases where duplicate therapy</w:t>
      </w:r>
      <w:r w:rsidR="00BB22C6">
        <w:t xml:space="preserve"> </w:t>
      </w:r>
      <w:r>
        <w:t>was</w:t>
      </w:r>
      <w:r w:rsidR="00BB22C6">
        <w:t xml:space="preserve"> considered</w:t>
      </w:r>
      <w:r>
        <w:t xml:space="preserve"> clinically appropriate</w:t>
      </w:r>
      <w:r w:rsidR="00BB22C6">
        <w:t>. F</w:t>
      </w:r>
      <w:r w:rsidR="001F7877">
        <w:t>or example</w:t>
      </w:r>
      <w:r w:rsidR="00575C10">
        <w:t>,</w:t>
      </w:r>
      <w:r>
        <w:t xml:space="preserve"> enoxaparin and warfarin prescribed together</w:t>
      </w:r>
      <w:r w:rsidR="003D1767">
        <w:t xml:space="preserve"> according to an evidence-based protocol</w:t>
      </w:r>
      <w:r>
        <w:t xml:space="preserve"> until adequate anticoagulation with warfarin is </w:t>
      </w:r>
      <w:r w:rsidR="00444460">
        <w:t>achieved</w:t>
      </w:r>
      <w:r>
        <w:t>.</w:t>
      </w:r>
    </w:p>
    <w:p w14:paraId="24E422F9" w14:textId="57DF527E" w:rsidR="006B263F" w:rsidRDefault="006B263F" w:rsidP="006B263F">
      <w:r>
        <w:t>It was noted that the WA Health report provided information on causative factors for incidents. Data provided from states and territories did not include this information and analysis did not allow for causative factors to be attributed and included in this report</w:t>
      </w:r>
      <w:r w:rsidR="00444460">
        <w:t xml:space="preserve"> with the</w:t>
      </w:r>
      <w:r w:rsidR="00575C10">
        <w:t xml:space="preserve"> degree of</w:t>
      </w:r>
      <w:r w:rsidR="00444460">
        <w:t xml:space="preserve"> certainty required</w:t>
      </w:r>
      <w:r>
        <w:t>.</w:t>
      </w:r>
    </w:p>
    <w:p w14:paraId="2D6C85C4" w14:textId="53F11773" w:rsidR="006B23CB" w:rsidRDefault="00122BFA" w:rsidP="006B263F">
      <w:r>
        <w:t>R</w:t>
      </w:r>
      <w:r w:rsidR="006B23CB">
        <w:t xml:space="preserve">esults are </w:t>
      </w:r>
      <w:r>
        <w:t>not adjusted according to the frequency with which that anticoagulant</w:t>
      </w:r>
      <w:r w:rsidR="00045B1A">
        <w:t xml:space="preserve"> class</w:t>
      </w:r>
      <w:r>
        <w:t xml:space="preserve"> is </w:t>
      </w:r>
      <w:r w:rsidR="00D2755F">
        <w:t>implicated</w:t>
      </w:r>
      <w:r>
        <w:t xml:space="preserve"> (prescribed or administered). </w:t>
      </w:r>
    </w:p>
    <w:p w14:paraId="46A8FEE5" w14:textId="419C3105" w:rsidR="00CE2B00" w:rsidRPr="00FB6504" w:rsidRDefault="00CE2B00" w:rsidP="00FB6504">
      <w:pPr>
        <w:pStyle w:val="Heading3"/>
      </w:pPr>
      <w:bookmarkStart w:id="27" w:name="_Toc80021284"/>
      <w:r w:rsidRPr="00FB6504">
        <w:t>Therapeutic Goods Administration (TGA) reports</w:t>
      </w:r>
      <w:bookmarkEnd w:id="27"/>
    </w:p>
    <w:p w14:paraId="5C477DD7" w14:textId="76BACDD3" w:rsidR="00CE2B00" w:rsidRDefault="00CE2B00" w:rsidP="00CE2B00">
      <w:r>
        <w:t>Approximately 30 of the 120 reports provided by the TGA were reviewed for this analysis. Adverse events experienced by patients included severe</w:t>
      </w:r>
      <w:r w:rsidR="0068075C">
        <w:t>,</w:t>
      </w:r>
      <w:r>
        <w:t xml:space="preserve"> if not fatal</w:t>
      </w:r>
      <w:r w:rsidR="0068075C">
        <w:t>,</w:t>
      </w:r>
      <w:r>
        <w:t xml:space="preserve"> bleeding-related outcomes. Examples include sub-arachnoid haemorrhaging, gastro-intestinal haemorrhaging, epistaxis and haematomas. Other outcomes for patients included increased Internat</w:t>
      </w:r>
      <w:r w:rsidR="00C26DF9">
        <w:t>ional Normalised Ratios (INR), heparin-induced thrombocytopenia</w:t>
      </w:r>
      <w:r>
        <w:t xml:space="preserve"> and pruritic</w:t>
      </w:r>
      <w:r w:rsidR="002A6A6E">
        <w:t> </w:t>
      </w:r>
      <w:r>
        <w:t xml:space="preserve">rashes. </w:t>
      </w:r>
    </w:p>
    <w:p w14:paraId="100C2F07" w14:textId="2C9098B0" w:rsidR="00CE2B00" w:rsidRDefault="00CE2B00" w:rsidP="006B263F">
      <w:r>
        <w:t>Given the limited descriptions within the adverse event reports, it was not possible or appropriate in many cases to assign a specific medication management process (e.g.</w:t>
      </w:r>
      <w:r w:rsidR="002A6A6E">
        <w:t> </w:t>
      </w:r>
      <w:r>
        <w:t xml:space="preserve">prescribing, administration, dispensing). Some of the events did document that the patient was on multiple blood thinning agents with a variety of modes of action and that these were ‘suspected’ agents in contributing to the outcome. </w:t>
      </w:r>
    </w:p>
    <w:p w14:paraId="36B99A6E" w14:textId="09AF57BE" w:rsidR="0067177E" w:rsidRDefault="0067177E" w:rsidP="006B263F"/>
    <w:p w14:paraId="26C5BD9C" w14:textId="2835C0B9" w:rsidR="0067177E" w:rsidRDefault="0067177E">
      <w:pPr>
        <w:keepLines w:val="0"/>
        <w:spacing w:after="80"/>
      </w:pPr>
      <w:r>
        <w:br w:type="page"/>
      </w:r>
    </w:p>
    <w:p w14:paraId="4815027C" w14:textId="408893D7" w:rsidR="0067177E" w:rsidRDefault="0067177E" w:rsidP="00AF5BB1">
      <w:pPr>
        <w:pStyle w:val="Heading2"/>
      </w:pPr>
      <w:bookmarkStart w:id="28" w:name="_Toc80021285"/>
      <w:r>
        <w:lastRenderedPageBreak/>
        <w:t>6. Post analysis feedback from states and territories</w:t>
      </w:r>
      <w:bookmarkEnd w:id="28"/>
    </w:p>
    <w:p w14:paraId="690D21FE" w14:textId="5A3A122B" w:rsidR="0067177E" w:rsidRDefault="0067177E" w:rsidP="0067177E">
      <w:r>
        <w:t>The initial findings from the analysis were presented and discussed during July and August 2019 with HSMEAG. Representatives were contacted subsequently and interviewed from the following five states and territories:</w:t>
      </w:r>
    </w:p>
    <w:p w14:paraId="37DDEA09" w14:textId="77777777" w:rsidR="0067177E" w:rsidRDefault="0067177E" w:rsidP="0067177E">
      <w:pPr>
        <w:pStyle w:val="ListParagraph"/>
        <w:numPr>
          <w:ilvl w:val="0"/>
          <w:numId w:val="12"/>
        </w:numPr>
      </w:pPr>
      <w:r>
        <w:t>New South Wales</w:t>
      </w:r>
    </w:p>
    <w:p w14:paraId="5768302A" w14:textId="77777777" w:rsidR="0067177E" w:rsidRDefault="0067177E" w:rsidP="0067177E">
      <w:pPr>
        <w:pStyle w:val="ListParagraph"/>
        <w:numPr>
          <w:ilvl w:val="0"/>
          <w:numId w:val="12"/>
        </w:numPr>
      </w:pPr>
      <w:r>
        <w:t xml:space="preserve">Victoria </w:t>
      </w:r>
    </w:p>
    <w:p w14:paraId="530C8D61" w14:textId="77777777" w:rsidR="0067177E" w:rsidRDefault="0067177E" w:rsidP="0067177E">
      <w:pPr>
        <w:pStyle w:val="ListParagraph"/>
        <w:numPr>
          <w:ilvl w:val="0"/>
          <w:numId w:val="12"/>
        </w:numPr>
      </w:pPr>
      <w:r>
        <w:t>Queensland</w:t>
      </w:r>
    </w:p>
    <w:p w14:paraId="23989F14" w14:textId="77777777" w:rsidR="0067177E" w:rsidRDefault="0067177E" w:rsidP="0067177E">
      <w:pPr>
        <w:pStyle w:val="ListParagraph"/>
        <w:numPr>
          <w:ilvl w:val="0"/>
          <w:numId w:val="12"/>
        </w:numPr>
      </w:pPr>
      <w:r>
        <w:t xml:space="preserve">Tasmania </w:t>
      </w:r>
    </w:p>
    <w:p w14:paraId="311B77C4" w14:textId="77777777" w:rsidR="0067177E" w:rsidRDefault="0067177E" w:rsidP="0067177E">
      <w:pPr>
        <w:pStyle w:val="ListParagraph"/>
        <w:numPr>
          <w:ilvl w:val="0"/>
          <w:numId w:val="12"/>
        </w:numPr>
      </w:pPr>
      <w:r>
        <w:t>Northern Territory.</w:t>
      </w:r>
    </w:p>
    <w:p w14:paraId="05CE6835" w14:textId="7461134F" w:rsidR="0067177E" w:rsidRDefault="0067177E" w:rsidP="0067177E">
      <w:r>
        <w:t>Unfortunately, representatives from the remaining states and territor</w:t>
      </w:r>
      <w:r w:rsidR="003424DD">
        <w:t>ies</w:t>
      </w:r>
      <w:r>
        <w:t xml:space="preserve"> were unavailable for interview during this period. Some representatives advised that they had previously provided feedback at earlier meetings or related activities – for instance during separate discussions relating to the VTE Prevention Clinical Care Standard. The interview questions and summary of responses is included at </w:t>
      </w:r>
      <w:r w:rsidRPr="00DF24E8">
        <w:rPr>
          <w:b/>
        </w:rPr>
        <w:t xml:space="preserve">Appendix </w:t>
      </w:r>
      <w:r w:rsidR="003424DD">
        <w:rPr>
          <w:b/>
        </w:rPr>
        <w:t>3</w:t>
      </w:r>
      <w:r>
        <w:t>.</w:t>
      </w:r>
    </w:p>
    <w:p w14:paraId="5A80701A" w14:textId="77777777" w:rsidR="0067177E" w:rsidRPr="00F237B6" w:rsidRDefault="0067177E" w:rsidP="0067177E">
      <w:r w:rsidRPr="00F237B6">
        <w:t xml:space="preserve">Themes raised during these interviews, which could assist with mitigation of anticoagulant prescribing risks into the future, included: </w:t>
      </w:r>
    </w:p>
    <w:p w14:paraId="0C596DCA" w14:textId="77777777" w:rsidR="0067177E" w:rsidRPr="00F237B6" w:rsidRDefault="0067177E" w:rsidP="0067177E">
      <w:pPr>
        <w:pStyle w:val="ListParagraph"/>
        <w:numPr>
          <w:ilvl w:val="0"/>
          <w:numId w:val="23"/>
        </w:numPr>
      </w:pPr>
      <w:r w:rsidRPr="00F237B6">
        <w:t>Modification of the national standard medication charts to:</w:t>
      </w:r>
    </w:p>
    <w:p w14:paraId="5DD597C7" w14:textId="77777777" w:rsidR="0067177E" w:rsidRPr="00F237B6" w:rsidRDefault="0067177E" w:rsidP="0067177E">
      <w:pPr>
        <w:pStyle w:val="ListParagraph"/>
        <w:numPr>
          <w:ilvl w:val="1"/>
          <w:numId w:val="23"/>
        </w:numPr>
      </w:pPr>
      <w:r w:rsidRPr="00F237B6">
        <w:t>accommodate an anticoagulant management section, or</w:t>
      </w:r>
    </w:p>
    <w:p w14:paraId="662C8C60" w14:textId="77777777" w:rsidR="0067177E" w:rsidRPr="00F237B6" w:rsidRDefault="0067177E" w:rsidP="0067177E">
      <w:pPr>
        <w:pStyle w:val="ListParagraph"/>
        <w:numPr>
          <w:ilvl w:val="1"/>
          <w:numId w:val="23"/>
        </w:numPr>
      </w:pPr>
      <w:r w:rsidRPr="00F237B6">
        <w:t>develop a separate anticoagulant medication chart</w:t>
      </w:r>
    </w:p>
    <w:p w14:paraId="56122BF8" w14:textId="77777777" w:rsidR="0067177E" w:rsidRPr="00F237B6" w:rsidRDefault="0067177E" w:rsidP="0067177E">
      <w:pPr>
        <w:pStyle w:val="ListParagraph"/>
        <w:numPr>
          <w:ilvl w:val="0"/>
          <w:numId w:val="23"/>
        </w:numPr>
      </w:pPr>
      <w:r w:rsidRPr="00F237B6">
        <w:t>Introduction of an anticoagulant ‘stewardship’ program</w:t>
      </w:r>
    </w:p>
    <w:p w14:paraId="122DB4EB" w14:textId="77777777" w:rsidR="0067177E" w:rsidRPr="00F237B6" w:rsidRDefault="0067177E" w:rsidP="0067177E">
      <w:pPr>
        <w:pStyle w:val="ListParagraph"/>
        <w:numPr>
          <w:ilvl w:val="0"/>
          <w:numId w:val="23"/>
        </w:numPr>
      </w:pPr>
      <w:r w:rsidRPr="00F237B6">
        <w:t>Support and guidance regarding suitable indicators.</w:t>
      </w:r>
    </w:p>
    <w:p w14:paraId="7E825D74" w14:textId="3195D5C5" w:rsidR="0067177E" w:rsidRDefault="0067177E" w:rsidP="0067177E">
      <w:r w:rsidRPr="008C4FCD">
        <w:t>These findings were presented and discussed at the March 2020 meeting of HSMEAG, where members were asked to respond to a series of questions about implementation of the</w:t>
      </w:r>
      <w:r w:rsidR="00F61536">
        <w:t xml:space="preserve"> </w:t>
      </w:r>
      <w:r w:rsidRPr="008C4FCD">
        <w:t>Commission resources released since 2017</w:t>
      </w:r>
      <w:r w:rsidR="003424DD">
        <w:t xml:space="preserve">: </w:t>
      </w:r>
    </w:p>
    <w:p w14:paraId="1C197C12" w14:textId="77777777" w:rsidR="003424DD" w:rsidRPr="00977537" w:rsidRDefault="002D45FC" w:rsidP="003424DD">
      <w:pPr>
        <w:pStyle w:val="ListParagraph"/>
        <w:keepLines w:val="0"/>
        <w:numPr>
          <w:ilvl w:val="0"/>
          <w:numId w:val="53"/>
        </w:numPr>
        <w:spacing w:after="240"/>
        <w:rPr>
          <w:rStyle w:val="Blue"/>
          <w:color w:val="auto"/>
        </w:rPr>
      </w:pPr>
      <w:hyperlink r:id="rId29" w:anchor="the-vte-prevention-clinical-care-standard" w:history="1">
        <w:r w:rsidR="003424DD" w:rsidRPr="00635D97">
          <w:rPr>
            <w:rStyle w:val="Hyperlink"/>
            <w:i/>
            <w:iCs/>
          </w:rPr>
          <w:t>VTE Prevention Clinical Care Standard</w:t>
        </w:r>
      </w:hyperlink>
      <w:r w:rsidR="003424DD" w:rsidRPr="00977537">
        <w:rPr>
          <w:rStyle w:val="Blue"/>
          <w:color w:val="auto"/>
        </w:rPr>
        <w:t xml:space="preserve"> (published 2018)</w:t>
      </w:r>
    </w:p>
    <w:p w14:paraId="18B99156" w14:textId="77777777" w:rsidR="003424DD" w:rsidRPr="00977537" w:rsidRDefault="002D45FC" w:rsidP="003424DD">
      <w:pPr>
        <w:pStyle w:val="ListParagraph"/>
        <w:keepLines w:val="0"/>
        <w:numPr>
          <w:ilvl w:val="0"/>
          <w:numId w:val="53"/>
        </w:numPr>
        <w:spacing w:after="240"/>
        <w:rPr>
          <w:rStyle w:val="Blue"/>
          <w:i/>
          <w:color w:val="auto"/>
        </w:rPr>
      </w:pPr>
      <w:hyperlink r:id="rId30" w:history="1">
        <w:r w:rsidR="003424DD" w:rsidRPr="00977537">
          <w:rPr>
            <w:rStyle w:val="Hyperlink"/>
          </w:rPr>
          <w:t>Hospital Acquired Complications – Medication Complications</w:t>
        </w:r>
      </w:hyperlink>
      <w:r w:rsidR="003424DD" w:rsidRPr="00977537">
        <w:rPr>
          <w:rStyle w:val="Blue"/>
          <w:color w:val="auto"/>
        </w:rPr>
        <w:t xml:space="preserve"> (published 2018)</w:t>
      </w:r>
    </w:p>
    <w:p w14:paraId="22095F12" w14:textId="77777777" w:rsidR="003424DD" w:rsidRPr="00977537" w:rsidRDefault="002D45FC" w:rsidP="003424DD">
      <w:pPr>
        <w:pStyle w:val="ListParagraph"/>
        <w:keepLines w:val="0"/>
        <w:numPr>
          <w:ilvl w:val="0"/>
          <w:numId w:val="53"/>
        </w:numPr>
        <w:spacing w:after="240"/>
        <w:rPr>
          <w:rStyle w:val="Blue"/>
          <w:i/>
          <w:color w:val="auto"/>
        </w:rPr>
      </w:pPr>
      <w:hyperlink r:id="rId31" w:history="1">
        <w:r w:rsidR="003424DD" w:rsidRPr="00977537">
          <w:rPr>
            <w:rStyle w:val="Hyperlink"/>
          </w:rPr>
          <w:t xml:space="preserve">Introduction of </w:t>
        </w:r>
        <w:r w:rsidR="003424DD">
          <w:rPr>
            <w:rStyle w:val="Hyperlink"/>
          </w:rPr>
          <w:t>m</w:t>
        </w:r>
        <w:r w:rsidR="003424DD" w:rsidRPr="00977537">
          <w:rPr>
            <w:rStyle w:val="Hyperlink"/>
          </w:rPr>
          <w:t xml:space="preserve">edication </w:t>
        </w:r>
        <w:r w:rsidR="003424DD">
          <w:rPr>
            <w:rStyle w:val="Hyperlink"/>
          </w:rPr>
          <w:t>r</w:t>
        </w:r>
        <w:r w:rsidR="003424DD" w:rsidRPr="00977537">
          <w:rPr>
            <w:rStyle w:val="Hyperlink"/>
          </w:rPr>
          <w:t>eview (Action 4.10) into the</w:t>
        </w:r>
        <w:r w:rsidR="003424DD">
          <w:rPr>
            <w:rStyle w:val="Hyperlink"/>
          </w:rPr>
          <w:t xml:space="preserve"> </w:t>
        </w:r>
        <w:r w:rsidR="003424DD" w:rsidRPr="00977537">
          <w:rPr>
            <w:rStyle w:val="Hyperlink"/>
          </w:rPr>
          <w:t>NSQHS Standards</w:t>
        </w:r>
      </w:hyperlink>
      <w:r w:rsidR="003424DD" w:rsidRPr="00977537">
        <w:rPr>
          <w:rStyle w:val="Blue"/>
          <w:color w:val="auto"/>
        </w:rPr>
        <w:t xml:space="preserve"> (Implementation commenced in 2019)</w:t>
      </w:r>
    </w:p>
    <w:p w14:paraId="5C90EC4F" w14:textId="563B7C7F" w:rsidR="003424DD" w:rsidRPr="00635D97" w:rsidRDefault="003424DD" w:rsidP="00635D97">
      <w:pPr>
        <w:pStyle w:val="ListParagraph"/>
        <w:numPr>
          <w:ilvl w:val="0"/>
          <w:numId w:val="53"/>
        </w:numPr>
        <w:rPr>
          <w:rStyle w:val="Blue"/>
          <w:color w:val="auto"/>
        </w:rPr>
      </w:pPr>
      <w:r w:rsidRPr="00635D97">
        <w:rPr>
          <w:rStyle w:val="Blue"/>
          <w:color w:val="auto"/>
        </w:rPr>
        <w:t xml:space="preserve">High-risk medicines online course </w:t>
      </w:r>
      <w:r w:rsidR="00635D97">
        <w:rPr>
          <w:rStyle w:val="Blue"/>
          <w:color w:val="auto"/>
        </w:rPr>
        <w:t>–</w:t>
      </w:r>
      <w:r w:rsidRPr="00635D97">
        <w:rPr>
          <w:rStyle w:val="Blue"/>
          <w:color w:val="auto"/>
        </w:rPr>
        <w:t xml:space="preserve"> module on anticoagulants (made available nationally in 2018/19 via </w:t>
      </w:r>
      <w:hyperlink r:id="rId32" w:history="1">
        <w:r w:rsidRPr="005D04EC">
          <w:rPr>
            <w:rStyle w:val="Hyperlink"/>
          </w:rPr>
          <w:t>www.hrmeducation.health.gov.au/</w:t>
        </w:r>
      </w:hyperlink>
      <w:r w:rsidRPr="00635D97">
        <w:rPr>
          <w:rStyle w:val="Blue"/>
          <w:color w:val="auto"/>
        </w:rPr>
        <w:t>)</w:t>
      </w:r>
    </w:p>
    <w:p w14:paraId="46CE9B01" w14:textId="2C0CBF11" w:rsidR="003424DD" w:rsidRPr="008C4FCD" w:rsidRDefault="003424DD" w:rsidP="0067177E">
      <w:r>
        <w:t>The questions asked in relation to these resources were:</w:t>
      </w:r>
    </w:p>
    <w:p w14:paraId="6A483348" w14:textId="77777777" w:rsidR="0067177E" w:rsidRPr="00A464CA" w:rsidRDefault="0067177E" w:rsidP="0067177E">
      <w:pPr>
        <w:pStyle w:val="ListParagraph"/>
        <w:numPr>
          <w:ilvl w:val="0"/>
          <w:numId w:val="24"/>
        </w:numPr>
      </w:pPr>
      <w:r w:rsidRPr="00A464CA">
        <w:t>How have these resources been implemented to date?</w:t>
      </w:r>
    </w:p>
    <w:p w14:paraId="6EE45301" w14:textId="77777777" w:rsidR="0067177E" w:rsidRPr="00A464CA" w:rsidRDefault="0067177E" w:rsidP="0067177E">
      <w:pPr>
        <w:pStyle w:val="ListParagraph"/>
        <w:numPr>
          <w:ilvl w:val="0"/>
          <w:numId w:val="24"/>
        </w:numPr>
      </w:pPr>
      <w:r w:rsidRPr="00A464CA">
        <w:t>What barriers to their implementation have been identified?</w:t>
      </w:r>
    </w:p>
    <w:p w14:paraId="48514540" w14:textId="77777777" w:rsidR="0067177E" w:rsidRPr="00A464CA" w:rsidRDefault="0067177E" w:rsidP="0067177E">
      <w:pPr>
        <w:pStyle w:val="ListParagraph"/>
        <w:numPr>
          <w:ilvl w:val="0"/>
          <w:numId w:val="24"/>
        </w:numPr>
      </w:pPr>
      <w:r w:rsidRPr="00A464CA">
        <w:t>What indicators are being captured and reviewed as part of these implementations?</w:t>
      </w:r>
    </w:p>
    <w:p w14:paraId="70DA73B3" w14:textId="77777777" w:rsidR="0067177E" w:rsidRPr="00A464CA" w:rsidRDefault="0067177E" w:rsidP="0067177E">
      <w:pPr>
        <w:pStyle w:val="ListParagraph"/>
        <w:numPr>
          <w:ilvl w:val="0"/>
          <w:numId w:val="24"/>
        </w:numPr>
      </w:pPr>
      <w:r w:rsidRPr="00A464CA">
        <w:t xml:space="preserve">How is this data being used and are there any tangible improvements being realised regarding the incidence of inappropriate concomitant prescribing of anticoagulants? </w:t>
      </w:r>
    </w:p>
    <w:p w14:paraId="079596DD" w14:textId="77777777" w:rsidR="0067177E" w:rsidRPr="00A464CA" w:rsidRDefault="0067177E" w:rsidP="0067177E">
      <w:pPr>
        <w:pStyle w:val="ListParagraph"/>
        <w:numPr>
          <w:ilvl w:val="0"/>
          <w:numId w:val="24"/>
        </w:numPr>
      </w:pPr>
      <w:r w:rsidRPr="00A464CA">
        <w:t>What successes have been experienced from more localised interventions?</w:t>
      </w:r>
    </w:p>
    <w:p w14:paraId="10C94114" w14:textId="77777777" w:rsidR="0067177E" w:rsidRPr="00AA7B0A" w:rsidRDefault="0067177E" w:rsidP="0067177E">
      <w:r w:rsidRPr="00AA7B0A">
        <w:t>It was noted that:</w:t>
      </w:r>
    </w:p>
    <w:p w14:paraId="13D256DD" w14:textId="77777777" w:rsidR="0067177E" w:rsidRPr="00D13C67" w:rsidRDefault="0067177E" w:rsidP="0067177E">
      <w:pPr>
        <w:pStyle w:val="ListParagraph"/>
        <w:numPr>
          <w:ilvl w:val="0"/>
          <w:numId w:val="25"/>
        </w:numPr>
      </w:pPr>
      <w:r w:rsidRPr="008C4FCD">
        <w:t>T</w:t>
      </w:r>
      <w:r w:rsidRPr="00D13C67">
        <w:t>here is an extensive array of resources available to clinicians, however, operationalising these resources continues to be a challenge</w:t>
      </w:r>
    </w:p>
    <w:p w14:paraId="075B116A" w14:textId="77777777" w:rsidR="0067177E" w:rsidRPr="00D13C67" w:rsidRDefault="0067177E" w:rsidP="0067177E">
      <w:pPr>
        <w:pStyle w:val="ListParagraph"/>
        <w:numPr>
          <w:ilvl w:val="0"/>
          <w:numId w:val="25"/>
        </w:numPr>
      </w:pPr>
      <w:r w:rsidRPr="00D13C67">
        <w:t xml:space="preserve">The themes presented were generally supported </w:t>
      </w:r>
    </w:p>
    <w:p w14:paraId="4BB7BAAB" w14:textId="77777777" w:rsidR="0067177E" w:rsidRPr="00D13C67" w:rsidRDefault="0067177E" w:rsidP="0067177E">
      <w:pPr>
        <w:pStyle w:val="ListParagraph"/>
        <w:numPr>
          <w:ilvl w:val="0"/>
          <w:numId w:val="25"/>
        </w:numPr>
      </w:pPr>
      <w:r w:rsidRPr="00D13C67">
        <w:t>Most states and territories indicated state-wide or local strategies and initiatives were currently in use or being implemented – including EMM systems.</w:t>
      </w:r>
    </w:p>
    <w:p w14:paraId="6280FD92" w14:textId="7AF1F02B" w:rsidR="0067177E" w:rsidRPr="00955096" w:rsidRDefault="0067177E" w:rsidP="00955096">
      <w:r w:rsidRPr="00955096">
        <w:t>Both WA and Tasmania advised that they are likely to remain using hard copy medication charts for the foreseeable future. In response to the WA incident</w:t>
      </w:r>
      <w:r w:rsidR="0032266E" w:rsidRPr="00955096">
        <w:t xml:space="preserve"> analysis report</w:t>
      </w:r>
      <w:r w:rsidRPr="00955096">
        <w:t xml:space="preserve">, a revision of the existing local WA anticoagulant chart was pursued. </w:t>
      </w:r>
    </w:p>
    <w:p w14:paraId="6ABBBA9E" w14:textId="7F4C1EC4" w:rsidR="00770E1A" w:rsidRPr="00935D0E" w:rsidRDefault="00935D0E" w:rsidP="00935D0E">
      <w:pPr>
        <w:pStyle w:val="Heading2"/>
      </w:pPr>
      <w:bookmarkStart w:id="29" w:name="_Toc80021286"/>
      <w:r>
        <w:lastRenderedPageBreak/>
        <w:t xml:space="preserve">7. </w:t>
      </w:r>
      <w:r w:rsidR="002211FC" w:rsidRPr="00935D0E">
        <w:t>R</w:t>
      </w:r>
      <w:r w:rsidR="00770E1A" w:rsidRPr="00935D0E">
        <w:t>ecommendations</w:t>
      </w:r>
      <w:bookmarkEnd w:id="29"/>
    </w:p>
    <w:p w14:paraId="1671154F" w14:textId="5827951F" w:rsidR="002211FC" w:rsidRPr="00780371" w:rsidRDefault="002211FC" w:rsidP="00935D0E">
      <w:pPr>
        <w:pStyle w:val="Heading3"/>
      </w:pPr>
      <w:bookmarkStart w:id="30" w:name="_Toc80021287"/>
      <w:r w:rsidRPr="00780371">
        <w:t>Recommendation 1</w:t>
      </w:r>
      <w:bookmarkEnd w:id="30"/>
    </w:p>
    <w:p w14:paraId="22E71357" w14:textId="77777777" w:rsidR="002211FC" w:rsidRPr="00780371" w:rsidRDefault="002211FC" w:rsidP="00935D0E">
      <w:pPr>
        <w:pStyle w:val="BoxText"/>
      </w:pPr>
      <w:r>
        <w:t xml:space="preserve">Review and implement education programs for </w:t>
      </w:r>
      <w:r w:rsidRPr="00780371">
        <w:t xml:space="preserve">clinicians </w:t>
      </w:r>
      <w:r>
        <w:t xml:space="preserve">on </w:t>
      </w:r>
      <w:r w:rsidRPr="00780371">
        <w:t>incident management system</w:t>
      </w:r>
      <w:r>
        <w:t>s and the importance of data quality</w:t>
      </w:r>
      <w:r w:rsidRPr="00780371">
        <w:t xml:space="preserve"> </w:t>
      </w:r>
    </w:p>
    <w:p w14:paraId="0B4B43C1" w14:textId="1D5A37A8" w:rsidR="002211FC" w:rsidRPr="00780371" w:rsidRDefault="002211FC" w:rsidP="00282958">
      <w:pPr>
        <w:rPr>
          <w:b/>
        </w:rPr>
      </w:pPr>
      <w:r w:rsidRPr="00780371">
        <w:t>I</w:t>
      </w:r>
      <w:r>
        <w:t>n general, i</w:t>
      </w:r>
      <w:r w:rsidRPr="00780371">
        <w:t xml:space="preserve">ncident data provided for this analysis was of poor quality. Information documented was often inconsistent, incomplete or inaccurate, (for example administration of a medicine was referred to as ‘dispensing’ a medicine). </w:t>
      </w:r>
      <w:r>
        <w:t>Clinician</w:t>
      </w:r>
      <w:r w:rsidRPr="00780371">
        <w:t xml:space="preserve"> educatio</w:t>
      </w:r>
      <w:r>
        <w:t>n</w:t>
      </w:r>
      <w:r w:rsidRPr="00780371">
        <w:t xml:space="preserve"> is required to ensure incident entries are complete, accurate and provide the information necessary to </w:t>
      </w:r>
      <w:r w:rsidR="00CA54D4">
        <w:t>enhance or develop</w:t>
      </w:r>
      <w:r w:rsidRPr="00780371">
        <w:t xml:space="preserve"> policy or </w:t>
      </w:r>
      <w:r>
        <w:t xml:space="preserve">implement </w:t>
      </w:r>
      <w:r w:rsidRPr="00780371">
        <w:t>pr</w:t>
      </w:r>
      <w:r>
        <w:t>actice change that s</w:t>
      </w:r>
      <w:r w:rsidR="00CA54D4">
        <w:t>upports</w:t>
      </w:r>
      <w:r>
        <w:t xml:space="preserve"> safe medicine </w:t>
      </w:r>
      <w:r w:rsidRPr="00780371">
        <w:t>use.</w:t>
      </w:r>
      <w:r w:rsidR="002D2E45">
        <w:t xml:space="preserve"> </w:t>
      </w:r>
    </w:p>
    <w:p w14:paraId="343DFDFD" w14:textId="7C747891" w:rsidR="002211FC" w:rsidRPr="00780371" w:rsidRDefault="002211FC" w:rsidP="00935D0E">
      <w:pPr>
        <w:pStyle w:val="Heading3"/>
      </w:pPr>
      <w:bookmarkStart w:id="31" w:name="_Toc80021288"/>
      <w:r w:rsidRPr="00780371">
        <w:t>Recommendation 2</w:t>
      </w:r>
      <w:bookmarkEnd w:id="31"/>
    </w:p>
    <w:p w14:paraId="4E03F5A1" w14:textId="760D298D" w:rsidR="002211FC" w:rsidRPr="00780371" w:rsidRDefault="002211FC" w:rsidP="00282958">
      <w:pPr>
        <w:pStyle w:val="BoxText"/>
      </w:pPr>
      <w:r w:rsidRPr="00780371">
        <w:t xml:space="preserve">Implement </w:t>
      </w:r>
      <w:r w:rsidR="0067177E">
        <w:t>m</w:t>
      </w:r>
      <w:r w:rsidRPr="00780371">
        <w:t xml:space="preserve">edication </w:t>
      </w:r>
      <w:r w:rsidR="0067177E">
        <w:t>r</w:t>
      </w:r>
      <w:r w:rsidRPr="00780371">
        <w:t>eview as outlined in</w:t>
      </w:r>
      <w:r w:rsidR="0067177E">
        <w:t xml:space="preserve"> Action 4.10 of</w:t>
      </w:r>
      <w:r w:rsidRPr="00780371">
        <w:t xml:space="preserve"> the N</w:t>
      </w:r>
      <w:r w:rsidR="0067177E">
        <w:t xml:space="preserve">ational </w:t>
      </w:r>
      <w:r w:rsidRPr="00780371">
        <w:t>S</w:t>
      </w:r>
      <w:r w:rsidR="0067177E">
        <w:t xml:space="preserve">afety and </w:t>
      </w:r>
      <w:r w:rsidRPr="00780371">
        <w:t>Q</w:t>
      </w:r>
      <w:r w:rsidR="0067177E">
        <w:t xml:space="preserve">uality </w:t>
      </w:r>
      <w:r w:rsidRPr="00780371">
        <w:t>H</w:t>
      </w:r>
      <w:r w:rsidR="0067177E">
        <w:t xml:space="preserve">ealth </w:t>
      </w:r>
      <w:r w:rsidRPr="00780371">
        <w:t>S</w:t>
      </w:r>
      <w:r w:rsidR="0067177E">
        <w:t>ervice</w:t>
      </w:r>
      <w:r w:rsidRPr="00780371">
        <w:t xml:space="preserve"> </w:t>
      </w:r>
      <w:r>
        <w:t>Medication Safety Standard</w:t>
      </w:r>
      <w:r w:rsidR="00CA54D4">
        <w:t xml:space="preserve"> </w:t>
      </w:r>
      <w:r w:rsidR="00CA54D4" w:rsidRPr="00CA54D4">
        <w:t>and enhance</w:t>
      </w:r>
      <w:r w:rsidR="00BE2B85">
        <w:t xml:space="preserve"> local or state/territory resources</w:t>
      </w:r>
      <w:r w:rsidR="00BE2B85" w:rsidRPr="00CA54D4">
        <w:t xml:space="preserve"> </w:t>
      </w:r>
      <w:r w:rsidR="00340250">
        <w:t xml:space="preserve">reflecting on case studies and </w:t>
      </w:r>
      <w:r w:rsidR="00CA54D4" w:rsidRPr="00CA54D4">
        <w:t>lessons learned</w:t>
      </w:r>
    </w:p>
    <w:p w14:paraId="1435D099" w14:textId="794E68C0" w:rsidR="00CA54D4" w:rsidRDefault="002211FC" w:rsidP="00282958">
      <w:r w:rsidRPr="00780371">
        <w:t>Duplicate therapy was the top prescri</w:t>
      </w:r>
      <w:r>
        <w:t>bing incident identified from the national data</w:t>
      </w:r>
      <w:r w:rsidRPr="00780371">
        <w:t xml:space="preserve"> analysis</w:t>
      </w:r>
      <w:r>
        <w:t>,</w:t>
      </w:r>
      <w:r w:rsidRPr="00780371">
        <w:t xml:space="preserve"> </w:t>
      </w:r>
      <w:r>
        <w:t>with</w:t>
      </w:r>
      <w:r w:rsidRPr="00780371">
        <w:t xml:space="preserve"> administra</w:t>
      </w:r>
      <w:r>
        <w:t>tion of these medicines occurring</w:t>
      </w:r>
      <w:r w:rsidRPr="00780371">
        <w:t xml:space="preserve"> in all but two cases. </w:t>
      </w:r>
      <w:r w:rsidR="0032266E">
        <w:t>T</w:t>
      </w:r>
      <w:r w:rsidRPr="00780371">
        <w:t xml:space="preserve">he </w:t>
      </w:r>
      <w:hyperlink r:id="rId33" w:history="1">
        <w:r w:rsidRPr="002F54D3">
          <w:rPr>
            <w:rStyle w:val="Hyperlink"/>
          </w:rPr>
          <w:t xml:space="preserve">National Safety and Quality Health Service (NSQHS) Medication </w:t>
        </w:r>
        <w:r w:rsidR="0055587E">
          <w:rPr>
            <w:rStyle w:val="Hyperlink"/>
          </w:rPr>
          <w:t>S</w:t>
        </w:r>
        <w:r w:rsidRPr="002F54D3">
          <w:rPr>
            <w:rStyle w:val="Hyperlink"/>
          </w:rPr>
          <w:t>afety Standard</w:t>
        </w:r>
      </w:hyperlink>
      <w:r>
        <w:t xml:space="preserve"> includes </w:t>
      </w:r>
      <w:r w:rsidRPr="00780371">
        <w:t>medication review</w:t>
      </w:r>
      <w:r>
        <w:t xml:space="preserve"> as a specific action (Action 4.10). Medication review is considered a multidisciplinary responsibility. To ensure safe and appropriate use of medicine</w:t>
      </w:r>
      <w:r w:rsidRPr="00780371">
        <w:t>s</w:t>
      </w:r>
      <w:r>
        <w:t>, c</w:t>
      </w:r>
      <w:r w:rsidRPr="00780371">
        <w:t xml:space="preserve">linicians </w:t>
      </w:r>
      <w:r>
        <w:t xml:space="preserve">who prescribe, administer or dispense </w:t>
      </w:r>
      <w:r w:rsidRPr="00780371">
        <w:t>medicines for patients are required to undertake a medication review within the</w:t>
      </w:r>
      <w:r>
        <w:t>ir</w:t>
      </w:r>
      <w:r w:rsidRPr="00780371">
        <w:t xml:space="preserve"> scope of practice. </w:t>
      </w:r>
    </w:p>
    <w:p w14:paraId="49459A77" w14:textId="1B0EF5D5" w:rsidR="002211FC" w:rsidRPr="00FE52FC" w:rsidRDefault="002211FC" w:rsidP="00FE52FC">
      <w:r w:rsidRPr="00FE52FC">
        <w:t xml:space="preserve">In 2019, the CEC in NSW published </w:t>
      </w:r>
      <w:hyperlink r:id="rId34" w:history="1">
        <w:r w:rsidRPr="00FE52FC">
          <w:rPr>
            <w:rStyle w:val="Hyperlink"/>
            <w:i/>
            <w:iCs/>
          </w:rPr>
          <w:t xml:space="preserve">A </w:t>
        </w:r>
        <w:r w:rsidR="00B658B7" w:rsidRPr="00FE52FC">
          <w:rPr>
            <w:rStyle w:val="Hyperlink"/>
            <w:i/>
            <w:iCs/>
          </w:rPr>
          <w:t>G</w:t>
        </w:r>
        <w:r w:rsidRPr="00FE52FC">
          <w:rPr>
            <w:rStyle w:val="Hyperlink"/>
            <w:i/>
            <w:iCs/>
          </w:rPr>
          <w:t xml:space="preserve">uide to </w:t>
        </w:r>
        <w:r w:rsidR="00B658B7" w:rsidRPr="00FE52FC">
          <w:rPr>
            <w:rStyle w:val="Hyperlink"/>
            <w:i/>
            <w:iCs/>
          </w:rPr>
          <w:t>M</w:t>
        </w:r>
        <w:r w:rsidRPr="00FE52FC">
          <w:rPr>
            <w:rStyle w:val="Hyperlink"/>
            <w:i/>
            <w:iCs/>
          </w:rPr>
          <w:t xml:space="preserve">edication </w:t>
        </w:r>
        <w:r w:rsidR="00B658B7" w:rsidRPr="00FE52FC">
          <w:rPr>
            <w:rStyle w:val="Hyperlink"/>
            <w:i/>
            <w:iCs/>
          </w:rPr>
          <w:t>R</w:t>
        </w:r>
        <w:r w:rsidRPr="00FE52FC">
          <w:rPr>
            <w:rStyle w:val="Hyperlink"/>
            <w:i/>
            <w:iCs/>
          </w:rPr>
          <w:t xml:space="preserve">eviews for NSW </w:t>
        </w:r>
        <w:r w:rsidR="00B658B7" w:rsidRPr="00FE52FC">
          <w:rPr>
            <w:rStyle w:val="Hyperlink"/>
            <w:i/>
            <w:iCs/>
          </w:rPr>
          <w:t>H</w:t>
        </w:r>
        <w:r w:rsidRPr="00FE52FC">
          <w:rPr>
            <w:rStyle w:val="Hyperlink"/>
            <w:i/>
            <w:iCs/>
          </w:rPr>
          <w:t xml:space="preserve">ealth </w:t>
        </w:r>
        <w:r w:rsidR="00B658B7" w:rsidRPr="00FE52FC">
          <w:rPr>
            <w:rStyle w:val="Hyperlink"/>
            <w:i/>
            <w:iCs/>
          </w:rPr>
          <w:t>S</w:t>
        </w:r>
        <w:r w:rsidRPr="00FE52FC">
          <w:rPr>
            <w:rStyle w:val="Hyperlink"/>
            <w:i/>
            <w:iCs/>
          </w:rPr>
          <w:t>ervices</w:t>
        </w:r>
      </w:hyperlink>
      <w:r w:rsidRPr="00FE52FC">
        <w:t>.</w:t>
      </w:r>
      <w:r w:rsidR="00CA54D4" w:rsidRPr="00FE52FC">
        <w:t xml:space="preserve"> Documents such as th</w:t>
      </w:r>
      <w:r w:rsidR="00575C10" w:rsidRPr="00FE52FC">
        <w:t>ese</w:t>
      </w:r>
      <w:r w:rsidR="00CA54D4" w:rsidRPr="00FE52FC">
        <w:t xml:space="preserve"> have provided a sound</w:t>
      </w:r>
      <w:r w:rsidR="006F1C04" w:rsidRPr="00FE52FC">
        <w:t xml:space="preserve"> foundation for implementation. L</w:t>
      </w:r>
      <w:r w:rsidR="00CA54D4" w:rsidRPr="00FE52FC">
        <w:t>essons learned from these incident data</w:t>
      </w:r>
      <w:r w:rsidR="006F1C04" w:rsidRPr="00FE52FC">
        <w:t xml:space="preserve"> present an opportunity to</w:t>
      </w:r>
      <w:r w:rsidR="00CA54D4" w:rsidRPr="00FE52FC">
        <w:t xml:space="preserve"> enhance</w:t>
      </w:r>
      <w:r w:rsidR="006F1C04" w:rsidRPr="00FE52FC">
        <w:t xml:space="preserve"> messaging </w:t>
      </w:r>
      <w:r w:rsidR="00CA54D4" w:rsidRPr="00FE52FC">
        <w:t>by u</w:t>
      </w:r>
      <w:r w:rsidR="006F1C04" w:rsidRPr="00FE52FC">
        <w:t xml:space="preserve">sing practical, </w:t>
      </w:r>
      <w:r w:rsidR="00CA54D4" w:rsidRPr="00FE52FC">
        <w:t>de-identified examples</w:t>
      </w:r>
      <w:r w:rsidR="006F1C04" w:rsidRPr="00FE52FC">
        <w:t>, highlighting the most common errors</w:t>
      </w:r>
      <w:r w:rsidR="00CA54D4" w:rsidRPr="00FE52FC">
        <w:t xml:space="preserve"> a</w:t>
      </w:r>
      <w:r w:rsidR="006F1C04" w:rsidRPr="00FE52FC">
        <w:t>s well as</w:t>
      </w:r>
      <w:r w:rsidR="00CA54D4" w:rsidRPr="00FE52FC">
        <w:t xml:space="preserve"> drawing on </w:t>
      </w:r>
      <w:r w:rsidR="006F1C04" w:rsidRPr="00FE52FC">
        <w:t xml:space="preserve">information </w:t>
      </w:r>
      <w:r w:rsidR="006863AD" w:rsidRPr="00FE52FC">
        <w:t>available</w:t>
      </w:r>
      <w:r w:rsidR="0067177E" w:rsidRPr="00FE52FC">
        <w:t xml:space="preserve"> in</w:t>
      </w:r>
      <w:r w:rsidR="006863AD" w:rsidRPr="00FE52FC">
        <w:t xml:space="preserve"> </w:t>
      </w:r>
      <w:r w:rsidR="00CA54D4" w:rsidRPr="00FE52FC">
        <w:t>published literature</w:t>
      </w:r>
      <w:r w:rsidR="006F1C04" w:rsidRPr="00FE52FC">
        <w:t xml:space="preserve"> around anticoagulant error</w:t>
      </w:r>
      <w:r w:rsidR="006863AD" w:rsidRPr="00FE52FC">
        <w:t>.</w:t>
      </w:r>
      <w:r w:rsidR="006863AD" w:rsidRPr="00FE52FC">
        <w:rPr>
          <w:vertAlign w:val="superscript"/>
        </w:rPr>
        <w:footnoteReference w:id="9"/>
      </w:r>
      <w:r w:rsidR="006863AD" w:rsidRPr="00FE52FC">
        <w:rPr>
          <w:vertAlign w:val="superscript"/>
        </w:rPr>
        <w:t>,</w:t>
      </w:r>
      <w:r w:rsidR="006863AD" w:rsidRPr="00FE52FC">
        <w:rPr>
          <w:vertAlign w:val="superscript"/>
        </w:rPr>
        <w:footnoteReference w:id="10"/>
      </w:r>
      <w:r w:rsidR="006863AD" w:rsidRPr="00FE52FC">
        <w:rPr>
          <w:vertAlign w:val="superscript"/>
        </w:rPr>
        <w:t>,</w:t>
      </w:r>
      <w:r w:rsidR="006863AD" w:rsidRPr="00FE52FC">
        <w:rPr>
          <w:vertAlign w:val="superscript"/>
        </w:rPr>
        <w:footnoteReference w:id="11"/>
      </w:r>
      <w:r w:rsidR="0067177E" w:rsidRPr="00FE52FC">
        <w:rPr>
          <w:vertAlign w:val="superscript"/>
        </w:rPr>
        <w:t xml:space="preserve">, </w:t>
      </w:r>
      <w:r w:rsidR="0067177E" w:rsidRPr="00FE52FC">
        <w:rPr>
          <w:vertAlign w:val="superscript"/>
        </w:rPr>
        <w:footnoteReference w:id="12"/>
      </w:r>
      <w:r w:rsidR="002D2E45" w:rsidRPr="00FE52FC">
        <w:t xml:space="preserve"> </w:t>
      </w:r>
    </w:p>
    <w:p w14:paraId="34D0EA1E" w14:textId="6774DB5B" w:rsidR="002211FC" w:rsidRPr="002211FC" w:rsidRDefault="002211FC" w:rsidP="00935D0E">
      <w:pPr>
        <w:pStyle w:val="Heading3"/>
      </w:pPr>
      <w:bookmarkStart w:id="32" w:name="_Toc80021289"/>
      <w:r w:rsidRPr="00780371">
        <w:lastRenderedPageBreak/>
        <w:t>Recommendation 3</w:t>
      </w:r>
      <w:bookmarkEnd w:id="32"/>
    </w:p>
    <w:p w14:paraId="4DB253FE" w14:textId="4E09D9BD" w:rsidR="002211FC" w:rsidRPr="00780371" w:rsidRDefault="002211FC" w:rsidP="00ED220E">
      <w:pPr>
        <w:pStyle w:val="BoxText"/>
      </w:pPr>
      <w:r>
        <w:t>Continue to i</w:t>
      </w:r>
      <w:r w:rsidRPr="00780371">
        <w:t>mplement</w:t>
      </w:r>
      <w:r>
        <w:t xml:space="preserve"> and optimise</w:t>
      </w:r>
      <w:r w:rsidRPr="00780371">
        <w:t xml:space="preserve"> electronic medication management </w:t>
      </w:r>
      <w:r>
        <w:t xml:space="preserve">systems </w:t>
      </w:r>
      <w:r w:rsidRPr="00780371">
        <w:t>to</w:t>
      </w:r>
      <w:r>
        <w:t xml:space="preserve"> facilitate the identification and </w:t>
      </w:r>
      <w:r w:rsidRPr="00780371">
        <w:t>prevent</w:t>
      </w:r>
      <w:r>
        <w:t>ion</w:t>
      </w:r>
      <w:r w:rsidRPr="00780371">
        <w:t xml:space="preserve"> </w:t>
      </w:r>
      <w:r>
        <w:t xml:space="preserve">of </w:t>
      </w:r>
      <w:r w:rsidRPr="00780371">
        <w:t>missed doses, incorrect doses and duplicate therapy</w:t>
      </w:r>
      <w:r w:rsidRPr="002C0003">
        <w:t xml:space="preserve"> </w:t>
      </w:r>
      <w:r>
        <w:t>orders</w:t>
      </w:r>
    </w:p>
    <w:p w14:paraId="216A516A" w14:textId="30031462" w:rsidR="002211FC" w:rsidRPr="00780371" w:rsidRDefault="002211FC" w:rsidP="00ED220E">
      <w:r w:rsidRPr="00780371">
        <w:t xml:space="preserve">The top three incident types </w:t>
      </w:r>
      <w:r>
        <w:t>identified</w:t>
      </w:r>
      <w:r w:rsidRPr="00780371">
        <w:t xml:space="preserve"> through this review can all be </w:t>
      </w:r>
      <w:r>
        <w:t>minimised</w:t>
      </w:r>
      <w:r w:rsidRPr="00780371">
        <w:t xml:space="preserve"> through </w:t>
      </w:r>
      <w:r>
        <w:t xml:space="preserve">the </w:t>
      </w:r>
      <w:r w:rsidRPr="00780371">
        <w:t>use of electronic medication management (EMM) systems. These systems not only provide support through data entry, alerts and reminders, but medication administration reports from these systems could be used to provide accurate and timely information about</w:t>
      </w:r>
      <w:r w:rsidR="002D2E45">
        <w:t xml:space="preserve"> </w:t>
      </w:r>
      <w:r w:rsidRPr="00780371">
        <w:t>omitted doses in particular.</w:t>
      </w:r>
      <w:r w:rsidR="002D2E45">
        <w:t xml:space="preserve"> </w:t>
      </w:r>
      <w:r>
        <w:t>This information can also be used to support quality improvement and practice</w:t>
      </w:r>
      <w:r w:rsidR="00C21396">
        <w:t> </w:t>
      </w:r>
      <w:r>
        <w:t>change.</w:t>
      </w:r>
    </w:p>
    <w:p w14:paraId="475425A5" w14:textId="77777777" w:rsidR="00B05293" w:rsidRPr="002211FC" w:rsidRDefault="00B05293" w:rsidP="00B05293">
      <w:pPr>
        <w:pStyle w:val="Heading3"/>
      </w:pPr>
      <w:bookmarkStart w:id="33" w:name="_Toc80021290"/>
      <w:r>
        <w:t>Recommendation 4</w:t>
      </w:r>
      <w:bookmarkEnd w:id="33"/>
    </w:p>
    <w:p w14:paraId="02350E3A" w14:textId="77777777" w:rsidR="00B05293" w:rsidRPr="00780371" w:rsidRDefault="00B05293" w:rsidP="00B05293">
      <w:pPr>
        <w:pStyle w:val="BoxText"/>
      </w:pPr>
      <w:r w:rsidRPr="00706C49">
        <w:t>Commission</w:t>
      </w:r>
      <w:r>
        <w:t xml:space="preserve"> to partner with Tasmania on a suitable paper-based solution, including potential modification of the National Inpatient Medication Chart (NIMC)</w:t>
      </w:r>
    </w:p>
    <w:p w14:paraId="486F6E08" w14:textId="77777777" w:rsidR="00B05293" w:rsidRDefault="00B05293" w:rsidP="00B05293">
      <w:r>
        <w:t>Per Recommendation 3, most states and territories are continuing to implement and optimise EMM systems. Two states however, WA and Tasmania, identified that they were unlikely to transition to an EMM system in the short to medium term. Tasmania, will require a paper-based medication chart solution and WA will continue management of anticoagulant medicines using the locally developed chart.</w:t>
      </w:r>
    </w:p>
    <w:p w14:paraId="75DD1421" w14:textId="77777777" w:rsidR="00B05293" w:rsidRPr="008C4FCD" w:rsidRDefault="00B05293" w:rsidP="00B05293">
      <w:pPr>
        <w:rPr>
          <w:rStyle w:val="Blue"/>
          <w:color w:val="auto"/>
        </w:rPr>
      </w:pPr>
      <w:r>
        <w:t>One of the themes identified in discussion with stakeholders included potential modification</w:t>
      </w:r>
      <w:r>
        <w:rPr>
          <w:rStyle w:val="Blue"/>
        </w:rPr>
        <w:t xml:space="preserve"> </w:t>
      </w:r>
      <w:r w:rsidRPr="008C4FCD">
        <w:rPr>
          <w:rStyle w:val="Blue"/>
          <w:color w:val="auto"/>
        </w:rPr>
        <w:t xml:space="preserve">of the national standard medication </w:t>
      </w:r>
      <w:r w:rsidRPr="00CE3559">
        <w:t>charts</w:t>
      </w:r>
      <w:r w:rsidRPr="008C4FCD">
        <w:rPr>
          <w:rStyle w:val="Blue"/>
          <w:color w:val="auto"/>
        </w:rPr>
        <w:t xml:space="preserve"> (NSMCs) to:</w:t>
      </w:r>
    </w:p>
    <w:p w14:paraId="3D5A240F" w14:textId="6F94AEDB" w:rsidR="00B05293" w:rsidRPr="00CE3559" w:rsidRDefault="00416F05" w:rsidP="00B05293">
      <w:pPr>
        <w:pStyle w:val="ListParagraph"/>
        <w:numPr>
          <w:ilvl w:val="0"/>
          <w:numId w:val="26"/>
        </w:numPr>
      </w:pPr>
      <w:r>
        <w:t>a</w:t>
      </w:r>
      <w:r w:rsidR="00B05293" w:rsidRPr="00CE3559">
        <w:t>ccommodate an anticoagulant management section, or</w:t>
      </w:r>
    </w:p>
    <w:p w14:paraId="462626D8" w14:textId="3605066A" w:rsidR="00B05293" w:rsidRPr="00CE3559" w:rsidRDefault="00416F05" w:rsidP="00B05293">
      <w:pPr>
        <w:pStyle w:val="ListParagraph"/>
        <w:numPr>
          <w:ilvl w:val="0"/>
          <w:numId w:val="26"/>
        </w:numPr>
      </w:pPr>
      <w:r>
        <w:t>d</w:t>
      </w:r>
      <w:r w:rsidR="00B05293" w:rsidRPr="00CE3559">
        <w:t>evelop a separate anticoagulant medication chart.</w:t>
      </w:r>
    </w:p>
    <w:p w14:paraId="0F598AEE" w14:textId="77777777" w:rsidR="00B05293" w:rsidRDefault="00B05293" w:rsidP="00B459E9">
      <w:pPr>
        <w:sectPr w:rsidR="00B05293" w:rsidSect="006803BA">
          <w:pgSz w:w="11906" w:h="16838"/>
          <w:pgMar w:top="1440" w:right="1440" w:bottom="1440" w:left="1440" w:header="708" w:footer="708" w:gutter="0"/>
          <w:cols w:space="708"/>
          <w:docGrid w:linePitch="360"/>
        </w:sectPr>
      </w:pPr>
    </w:p>
    <w:p w14:paraId="7A4A5234" w14:textId="3F6C9B9C" w:rsidR="00B459E9" w:rsidRPr="001C597E" w:rsidRDefault="001C597E" w:rsidP="001C597E">
      <w:pPr>
        <w:pStyle w:val="Heading2"/>
      </w:pPr>
      <w:bookmarkStart w:id="34" w:name="_Toc80021291"/>
      <w:r>
        <w:lastRenderedPageBreak/>
        <w:t xml:space="preserve">8. </w:t>
      </w:r>
      <w:r w:rsidR="00B459E9" w:rsidRPr="001C597E">
        <w:t>Conclusion</w:t>
      </w:r>
      <w:bookmarkEnd w:id="34"/>
    </w:p>
    <w:p w14:paraId="10408F8D" w14:textId="3AFDCBE2" w:rsidR="005D5861" w:rsidRDefault="001F7877" w:rsidP="005E011C">
      <w:r>
        <w:t>The</w:t>
      </w:r>
      <w:r w:rsidR="008061EE">
        <w:t>se</w:t>
      </w:r>
      <w:r>
        <w:t xml:space="preserve"> findings </w:t>
      </w:r>
      <w:r w:rsidR="005D5861">
        <w:t>confirm</w:t>
      </w:r>
      <w:r>
        <w:t>ed</w:t>
      </w:r>
      <w:r w:rsidR="005D5861">
        <w:t xml:space="preserve"> that inappropriate concomitant prescribing and administration of anticoagulants is </w:t>
      </w:r>
      <w:r w:rsidR="001F61FB">
        <w:t xml:space="preserve">a problem. </w:t>
      </w:r>
      <w:r w:rsidR="005D5861">
        <w:t xml:space="preserve">However, lack of </w:t>
      </w:r>
      <w:r w:rsidR="003D1767">
        <w:t xml:space="preserve">severity </w:t>
      </w:r>
      <w:r w:rsidR="005D5861">
        <w:t>ratings mean</w:t>
      </w:r>
      <w:r w:rsidR="003D1767">
        <w:t>t</w:t>
      </w:r>
      <w:r w:rsidR="005D5861">
        <w:t xml:space="preserve"> it </w:t>
      </w:r>
      <w:r w:rsidR="003D1767">
        <w:t>was</w:t>
      </w:r>
      <w:r w:rsidR="005D5861">
        <w:t xml:space="preserve"> difficult to understand the consequences of these incidents for patient</w:t>
      </w:r>
      <w:r w:rsidR="003D1767">
        <w:t>s</w:t>
      </w:r>
      <w:r w:rsidR="005D5861">
        <w:t>.</w:t>
      </w:r>
    </w:p>
    <w:p w14:paraId="17CFD50A" w14:textId="55C03ED2" w:rsidR="001F61FB" w:rsidRDefault="005D5861" w:rsidP="005E011C">
      <w:r>
        <w:t>For prescribers, duplicate therapy was revealed as the most frequent</w:t>
      </w:r>
      <w:r w:rsidR="00BB22C3">
        <w:t>ly occurring incident. For nursing staff however, o</w:t>
      </w:r>
      <w:r>
        <w:t>mitted dose</w:t>
      </w:r>
      <w:r w:rsidR="00BB22C3">
        <w:t>,</w:t>
      </w:r>
      <w:r>
        <w:t xml:space="preserve"> followed by </w:t>
      </w:r>
      <w:r w:rsidRPr="00AE5F73">
        <w:t>incorrect rate of administration</w:t>
      </w:r>
      <w:r w:rsidR="00BB22C3" w:rsidRPr="00AE5F73">
        <w:t xml:space="preserve"> were the two most frequent incident types respectively</w:t>
      </w:r>
      <w:r w:rsidRPr="00AE5F73">
        <w:t>.</w:t>
      </w:r>
      <w:r>
        <w:t xml:space="preserve"> </w:t>
      </w:r>
    </w:p>
    <w:p w14:paraId="1B2C98AF" w14:textId="655433F6" w:rsidR="005D5861" w:rsidRDefault="001F61FB" w:rsidP="005E011C">
      <w:r>
        <w:t xml:space="preserve">Heparins were </w:t>
      </w:r>
      <w:r w:rsidR="004C6D49">
        <w:t>identified as</w:t>
      </w:r>
      <w:r>
        <w:t xml:space="preserve"> most frequently involved in incidents. </w:t>
      </w:r>
      <w:r w:rsidR="005D5861">
        <w:t>On review of the information entered</w:t>
      </w:r>
      <w:r>
        <w:t>,</w:t>
      </w:r>
      <w:r w:rsidR="005D5861">
        <w:t xml:space="preserve"> it is clear that</w:t>
      </w:r>
      <w:r w:rsidR="004C6D49">
        <w:t xml:space="preserve"> the multiple</w:t>
      </w:r>
      <w:r w:rsidR="005D5861">
        <w:t xml:space="preserve"> </w:t>
      </w:r>
      <w:r>
        <w:t>medication management processes</w:t>
      </w:r>
      <w:r w:rsidR="005D5861">
        <w:t xml:space="preserve"> around</w:t>
      </w:r>
      <w:r w:rsidR="004C6D49">
        <w:t xml:space="preserve"> the</w:t>
      </w:r>
      <w:r>
        <w:t xml:space="preserve"> use of </w:t>
      </w:r>
      <w:r w:rsidR="005D5861">
        <w:t xml:space="preserve">heparin </w:t>
      </w:r>
      <w:r w:rsidR="00A30586">
        <w:t xml:space="preserve">(unfractionated) </w:t>
      </w:r>
      <w:r w:rsidR="00C34AF9">
        <w:t>are</w:t>
      </w:r>
      <w:r>
        <w:t xml:space="preserve"> complicated</w:t>
      </w:r>
      <w:r w:rsidR="00C34AF9">
        <w:t xml:space="preserve"> and</w:t>
      </w:r>
      <w:r w:rsidR="004C6D49">
        <w:t xml:space="preserve"> can be</w:t>
      </w:r>
      <w:r w:rsidR="00C34AF9">
        <w:t xml:space="preserve"> </w:t>
      </w:r>
      <w:r w:rsidR="005D5861">
        <w:t>easily confused.</w:t>
      </w:r>
      <w:r>
        <w:t xml:space="preserve"> Clear and consistent communication is required to accurately prescribe, monitor and administer </w:t>
      </w:r>
      <w:r w:rsidR="008061EE">
        <w:t>these medicines</w:t>
      </w:r>
      <w:r>
        <w:t xml:space="preserve">. Workflows relating to </w:t>
      </w:r>
      <w:r w:rsidR="009F7D0C">
        <w:t xml:space="preserve">review, </w:t>
      </w:r>
      <w:r>
        <w:t xml:space="preserve">administration and documentation need </w:t>
      </w:r>
      <w:r w:rsidR="00C34AF9">
        <w:t xml:space="preserve">to be </w:t>
      </w:r>
      <w:r w:rsidR="00A30586">
        <w:t>addressed to</w:t>
      </w:r>
      <w:r w:rsidR="00C34AF9">
        <w:t xml:space="preserve"> improve </w:t>
      </w:r>
      <w:r w:rsidR="008061EE">
        <w:t>safe</w:t>
      </w:r>
      <w:r w:rsidR="00C34AF9">
        <w:t xml:space="preserve"> use.</w:t>
      </w:r>
      <w:r>
        <w:t xml:space="preserve"> </w:t>
      </w:r>
    </w:p>
    <w:p w14:paraId="18EA1FF5" w14:textId="399D3D2E" w:rsidR="005D5861" w:rsidRDefault="005D5861" w:rsidP="005E011C">
      <w:r>
        <w:t>While</w:t>
      </w:r>
      <w:r w:rsidR="004C6D49">
        <w:t xml:space="preserve"> the</w:t>
      </w:r>
      <w:r>
        <w:t xml:space="preserve"> TGA reports </w:t>
      </w:r>
      <w:r w:rsidR="004C6D49">
        <w:t>identified</w:t>
      </w:r>
      <w:r w:rsidR="00F61536">
        <w:t xml:space="preserve"> </w:t>
      </w:r>
      <w:r>
        <w:t>some of the adverse outcomes from administration of anticoagulant medicines (particularly DOACs), the information and the events did not lend themselves to the classification process described. The reports did help to identify groups of me</w:t>
      </w:r>
      <w:r w:rsidR="006B263F">
        <w:t>dicines that had been involved in events.</w:t>
      </w:r>
      <w:r>
        <w:t xml:space="preserve"> </w:t>
      </w:r>
    </w:p>
    <w:p w14:paraId="68D8BE30" w14:textId="3DF6DB77" w:rsidR="0088128D" w:rsidRDefault="00975EF4" w:rsidP="005E011C">
      <w:r>
        <w:t>Some incidents</w:t>
      </w:r>
      <w:r w:rsidR="004C6D49">
        <w:t xml:space="preserve"> will be substantially reduced</w:t>
      </w:r>
      <w:r w:rsidR="00D02DD1">
        <w:t xml:space="preserve"> with the introduction of EMM</w:t>
      </w:r>
      <w:r>
        <w:t>, particularly</w:t>
      </w:r>
      <w:r w:rsidR="00D02DD1">
        <w:t xml:space="preserve"> for the top three </w:t>
      </w:r>
      <w:r w:rsidR="001F61FB">
        <w:t xml:space="preserve">national </w:t>
      </w:r>
      <w:r w:rsidR="00D02DD1">
        <w:t>incident types</w:t>
      </w:r>
      <w:r w:rsidR="001F61FB">
        <w:t xml:space="preserve"> identified. However, systems will need</w:t>
      </w:r>
      <w:r>
        <w:t xml:space="preserve"> to be assessed to provide assurance.</w:t>
      </w:r>
      <w:r w:rsidR="00D02DD1">
        <w:t xml:space="preserve"> Other problems where there are no hard barriers in place for workflows, such as administration of unfractionated heparin are harder to address.</w:t>
      </w:r>
    </w:p>
    <w:p w14:paraId="5E051C84" w14:textId="4EC4294E" w:rsidR="0088128D" w:rsidRDefault="0088128D" w:rsidP="005E011C">
      <w:r>
        <w:t>EMM provides an opportunity to capture this data through a medication administration report. Consideration needs to be given as to whether manual entry of these (types of) data into a separate incident management systems is the most efficient, accurate and worthwhile use of resources moving forward. In addition, these systems could be used to provide information at the point of administration on how to access the medicine after hours if it is required and staff are uncertain.</w:t>
      </w:r>
    </w:p>
    <w:p w14:paraId="49CB9438" w14:textId="163B15FC" w:rsidR="005D5861" w:rsidRPr="005D5861" w:rsidRDefault="005D5861" w:rsidP="005D5861"/>
    <w:p w14:paraId="2C0FECD1" w14:textId="77777777" w:rsidR="001C597E" w:rsidRDefault="001C597E" w:rsidP="005E011C">
      <w:pPr>
        <w:pStyle w:val="Heading1"/>
      </w:pPr>
      <w:r>
        <w:br w:type="page"/>
      </w:r>
    </w:p>
    <w:p w14:paraId="346784F4" w14:textId="69CBC254" w:rsidR="00EB379C" w:rsidRPr="00DF24E8" w:rsidRDefault="00DF24E8" w:rsidP="00DF24E8">
      <w:pPr>
        <w:pStyle w:val="Heading1"/>
        <w:rPr>
          <w:rFonts w:eastAsia="Calibri"/>
          <w:lang w:eastAsia="en-US"/>
        </w:rPr>
      </w:pPr>
      <w:bookmarkStart w:id="35" w:name="_Toc80021292"/>
      <w:r w:rsidRPr="00D277D3">
        <w:rPr>
          <w:rFonts w:eastAsia="Calibri"/>
          <w:lang w:eastAsia="en-US"/>
        </w:rPr>
        <w:lastRenderedPageBreak/>
        <w:t xml:space="preserve">Appendix </w:t>
      </w:r>
      <w:r w:rsidR="004C6D49">
        <w:rPr>
          <w:rFonts w:eastAsia="Calibri"/>
          <w:lang w:eastAsia="en-US"/>
        </w:rPr>
        <w:t>1</w:t>
      </w:r>
      <w:bookmarkEnd w:id="35"/>
    </w:p>
    <w:p w14:paraId="646067C4" w14:textId="27643E9E" w:rsidR="00220F33" w:rsidRPr="00220F33" w:rsidRDefault="00220F33" w:rsidP="009F7D0C">
      <w:pPr>
        <w:pStyle w:val="Heading2"/>
        <w:rPr>
          <w:rFonts w:eastAsia="Calibri"/>
          <w:lang w:eastAsia="en-US"/>
        </w:rPr>
      </w:pPr>
      <w:bookmarkStart w:id="36" w:name="_Toc80021293"/>
      <w:r w:rsidRPr="00220F33">
        <w:rPr>
          <w:rFonts w:eastAsia="Calibri"/>
          <w:lang w:eastAsia="en-US"/>
        </w:rPr>
        <w:t>Anticoagulation Incident Review Protocol</w:t>
      </w:r>
      <w:bookmarkEnd w:id="36"/>
    </w:p>
    <w:p w14:paraId="6179B2E0" w14:textId="77777777" w:rsidR="00220F33" w:rsidRPr="009F7D0C" w:rsidRDefault="00220F33" w:rsidP="00293AE7">
      <w:pPr>
        <w:pStyle w:val="Heading3"/>
        <w:rPr>
          <w:rFonts w:eastAsia="Calibri"/>
          <w:lang w:eastAsia="en-US"/>
        </w:rPr>
      </w:pPr>
      <w:bookmarkStart w:id="37" w:name="_Toc80021294"/>
      <w:r w:rsidRPr="009F7D0C">
        <w:rPr>
          <w:rFonts w:eastAsia="Calibri"/>
          <w:lang w:eastAsia="en-US"/>
        </w:rPr>
        <w:t>Purpose</w:t>
      </w:r>
      <w:bookmarkEnd w:id="37"/>
    </w:p>
    <w:p w14:paraId="14D03210" w14:textId="3079FFFD" w:rsidR="00220F33" w:rsidRPr="009F7D0C" w:rsidRDefault="00220F33" w:rsidP="009F7D0C">
      <w:pPr>
        <w:rPr>
          <w:rFonts w:eastAsia="Calibri" w:cstheme="minorHAnsi"/>
          <w:lang w:eastAsia="en-US"/>
        </w:rPr>
      </w:pPr>
      <w:r w:rsidRPr="009F7D0C">
        <w:rPr>
          <w:rFonts w:eastAsia="Calibri" w:cstheme="minorHAnsi"/>
          <w:lang w:eastAsia="en-US"/>
        </w:rPr>
        <w:t>Health Services Medication Expert Advisory Group members and other stakeholders have raised concerns that incidents involving anticoagulant medicines are on the rise. Of</w:t>
      </w:r>
      <w:r w:rsidR="008339DF">
        <w:rPr>
          <w:rFonts w:eastAsia="Calibri" w:cstheme="minorHAnsi"/>
          <w:lang w:eastAsia="en-US"/>
        </w:rPr>
        <w:t> </w:t>
      </w:r>
      <w:r w:rsidRPr="009F7D0C">
        <w:rPr>
          <w:rFonts w:eastAsia="Calibri" w:cstheme="minorHAnsi"/>
          <w:lang w:eastAsia="en-US"/>
        </w:rPr>
        <w:t>particular concern is the inappropriate concomitant prescribing (and administration) of heparins and direct oral anticoagulants (DOACs). Failure to recognise medicines within the DOAC group has been, anecdotally, described as a contributing factor to this problem. While medicines of the same type can sometimes be prescribed to work together to enhance their effect, in this case to thin the blood, inadvertent and inappropriate prescribing can increase risks of severe bleeding.</w:t>
      </w:r>
      <w:r w:rsidR="002D2E45">
        <w:rPr>
          <w:rFonts w:eastAsia="Calibri" w:cstheme="minorHAnsi"/>
          <w:lang w:eastAsia="en-US"/>
        </w:rPr>
        <w:t xml:space="preserve"> </w:t>
      </w:r>
    </w:p>
    <w:p w14:paraId="121D5EDD" w14:textId="2FC51926" w:rsidR="00220F33" w:rsidRPr="009F7D0C" w:rsidRDefault="00220F33" w:rsidP="009F7D0C">
      <w:pPr>
        <w:rPr>
          <w:rFonts w:eastAsia="Calibri" w:cstheme="minorHAnsi"/>
          <w:lang w:eastAsia="en-US"/>
        </w:rPr>
      </w:pPr>
      <w:r w:rsidRPr="009F7D0C">
        <w:rPr>
          <w:rFonts w:eastAsia="Calibri" w:cstheme="minorHAnsi"/>
          <w:lang w:eastAsia="en-US"/>
        </w:rPr>
        <w:t>Th</w:t>
      </w:r>
      <w:r w:rsidR="006B23CB">
        <w:rPr>
          <w:rFonts w:eastAsia="Calibri" w:cstheme="minorHAnsi"/>
          <w:lang w:eastAsia="en-US"/>
        </w:rPr>
        <w:t>e</w:t>
      </w:r>
      <w:r w:rsidRPr="009F7D0C">
        <w:rPr>
          <w:rFonts w:eastAsia="Calibri" w:cstheme="minorHAnsi"/>
          <w:lang w:eastAsia="en-US"/>
        </w:rPr>
        <w:t xml:space="preserve"> aim of this project is to describe and quantify incidents that have involved anticoagulants nationally. These incidents have been captured from hospital settings in states and territories across Australia.</w:t>
      </w:r>
      <w:r w:rsidR="006B23CB">
        <w:rPr>
          <w:rFonts w:eastAsia="Calibri" w:cstheme="minorHAnsi"/>
          <w:lang w:eastAsia="en-US"/>
        </w:rPr>
        <w:t xml:space="preserve"> </w:t>
      </w:r>
      <w:r w:rsidRPr="009F7D0C">
        <w:rPr>
          <w:rFonts w:eastAsia="Calibri" w:cstheme="minorHAnsi"/>
          <w:lang w:eastAsia="en-US"/>
        </w:rPr>
        <w:t>In the first instance, the review will focus on concomitant use of anticoagulants, that is, inappropriate therapeutic duplication of anticoagulants involving DOAC and heparin-based medicines.</w:t>
      </w:r>
    </w:p>
    <w:p w14:paraId="0BCD0FF7" w14:textId="77777777" w:rsidR="00220F33" w:rsidRPr="009F7D0C" w:rsidRDefault="00220F33" w:rsidP="009F7D0C">
      <w:pPr>
        <w:rPr>
          <w:rFonts w:eastAsia="Calibri" w:cstheme="minorHAnsi"/>
          <w:lang w:eastAsia="en-US"/>
        </w:rPr>
      </w:pPr>
      <w:r w:rsidRPr="009F7D0C">
        <w:rPr>
          <w:rFonts w:eastAsia="Calibri" w:cstheme="minorHAnsi"/>
          <w:lang w:eastAsia="en-US"/>
        </w:rPr>
        <w:t xml:space="preserve">Findings from this project will be used to provide an evidence-base for formulating targeted interventions in healthcare settings. </w:t>
      </w:r>
    </w:p>
    <w:p w14:paraId="54EA3BBD" w14:textId="77777777" w:rsidR="00220F33" w:rsidRPr="00293AE7" w:rsidRDefault="00220F33" w:rsidP="00293AE7">
      <w:pPr>
        <w:pStyle w:val="Heading3"/>
        <w:rPr>
          <w:rFonts w:eastAsia="Calibri"/>
        </w:rPr>
      </w:pPr>
      <w:bookmarkStart w:id="38" w:name="_Toc80021295"/>
      <w:r w:rsidRPr="00293AE7">
        <w:rPr>
          <w:rFonts w:eastAsia="Calibri"/>
        </w:rPr>
        <w:t>Aim</w:t>
      </w:r>
      <w:bookmarkEnd w:id="38"/>
    </w:p>
    <w:p w14:paraId="3902A6AA" w14:textId="77777777" w:rsidR="00220F33" w:rsidRPr="00293AE7" w:rsidRDefault="00220F33" w:rsidP="00293AE7">
      <w:pPr>
        <w:rPr>
          <w:rFonts w:eastAsia="Calibri"/>
        </w:rPr>
      </w:pPr>
      <w:r w:rsidRPr="00293AE7">
        <w:rPr>
          <w:rFonts w:eastAsia="Calibri"/>
        </w:rPr>
        <w:t>To understand current gaps in practice by identifying and describing</w:t>
      </w:r>
      <w:r w:rsidR="00D83BE1" w:rsidRPr="00293AE7">
        <w:rPr>
          <w:rFonts w:eastAsia="Calibri"/>
        </w:rPr>
        <w:t xml:space="preserve"> (quantitatively and qualitatively)</w:t>
      </w:r>
      <w:r w:rsidRPr="00293AE7">
        <w:rPr>
          <w:rFonts w:eastAsia="Calibri"/>
        </w:rPr>
        <w:t xml:space="preserve"> the incidents involving anticoagulants in Australian healthcare settings.</w:t>
      </w:r>
    </w:p>
    <w:p w14:paraId="3929C615" w14:textId="77777777" w:rsidR="00220F33" w:rsidRPr="00293AE7" w:rsidRDefault="00220F33" w:rsidP="00293AE7">
      <w:pPr>
        <w:pStyle w:val="Heading3"/>
        <w:rPr>
          <w:rFonts w:eastAsia="Calibri"/>
        </w:rPr>
      </w:pPr>
      <w:bookmarkStart w:id="39" w:name="_Toc80021296"/>
      <w:r w:rsidRPr="00293AE7">
        <w:rPr>
          <w:rFonts w:eastAsia="Calibri"/>
        </w:rPr>
        <w:t>Method</w:t>
      </w:r>
      <w:bookmarkEnd w:id="39"/>
    </w:p>
    <w:p w14:paraId="7BD914C8" w14:textId="2A2B2D86" w:rsidR="00220F33" w:rsidRPr="009F7D0C" w:rsidRDefault="00220F33" w:rsidP="009F7D0C">
      <w:pPr>
        <w:rPr>
          <w:rFonts w:eastAsia="Calibri" w:cstheme="minorHAnsi"/>
          <w:b/>
          <w:lang w:eastAsia="en-US"/>
        </w:rPr>
      </w:pPr>
      <w:r w:rsidRPr="009F7D0C">
        <w:rPr>
          <w:rFonts w:eastAsia="Calibri" w:cstheme="minorHAnsi"/>
          <w:lang w:eastAsia="en-US"/>
        </w:rPr>
        <w:t>Interrogation of incident data, both qualitative and quantitative</w:t>
      </w:r>
      <w:r w:rsidR="00810A60" w:rsidRPr="009F7D0C">
        <w:rPr>
          <w:rFonts w:eastAsia="Calibri" w:cstheme="minorHAnsi"/>
          <w:lang w:eastAsia="en-US"/>
        </w:rPr>
        <w:t>, is to be conducted using the templates and information in Tables A, B, C and D</w:t>
      </w:r>
      <w:r w:rsidR="00F556F8" w:rsidRPr="009F7D0C">
        <w:rPr>
          <w:rFonts w:eastAsia="Calibri" w:cstheme="minorHAnsi"/>
          <w:lang w:eastAsia="en-US"/>
        </w:rPr>
        <w:t>. To facilitate comparison</w:t>
      </w:r>
      <w:r w:rsidR="00810A60" w:rsidRPr="009F7D0C">
        <w:rPr>
          <w:rFonts w:eastAsia="Calibri" w:cstheme="minorHAnsi"/>
          <w:lang w:eastAsia="en-US"/>
        </w:rPr>
        <w:t xml:space="preserve"> the incident classification definitions, types and c</w:t>
      </w:r>
      <w:r w:rsidR="00F556F8" w:rsidRPr="009F7D0C">
        <w:rPr>
          <w:rFonts w:eastAsia="Calibri" w:cstheme="minorHAnsi"/>
          <w:lang w:eastAsia="en-US"/>
        </w:rPr>
        <w:t>ausative factors have been adopted or adapted according to those used by WA Health.</w:t>
      </w:r>
    </w:p>
    <w:p w14:paraId="51FF4746" w14:textId="77777777" w:rsidR="00220F33" w:rsidRPr="00293AE7" w:rsidRDefault="00220F33" w:rsidP="00293AE7">
      <w:pPr>
        <w:rPr>
          <w:rFonts w:eastAsia="Calibri"/>
        </w:rPr>
      </w:pPr>
      <w:r w:rsidRPr="00293AE7">
        <w:rPr>
          <w:rFonts w:eastAsia="Calibri"/>
        </w:rPr>
        <w:t>The following information will be captured as part of the review:</w:t>
      </w:r>
    </w:p>
    <w:p w14:paraId="495E23C4" w14:textId="47389312" w:rsidR="00220F33" w:rsidRPr="00293AE7" w:rsidRDefault="00810A60" w:rsidP="00FC6ABE">
      <w:pPr>
        <w:pStyle w:val="ListParagraph"/>
        <w:numPr>
          <w:ilvl w:val="0"/>
          <w:numId w:val="27"/>
        </w:numPr>
        <w:rPr>
          <w:rFonts w:eastAsia="Calibri"/>
        </w:rPr>
      </w:pPr>
      <w:r w:rsidRPr="00293AE7">
        <w:rPr>
          <w:rFonts w:eastAsia="Calibri"/>
        </w:rPr>
        <w:t xml:space="preserve">Anticoagulant medicine name </w:t>
      </w:r>
      <w:r w:rsidR="007E4016" w:rsidRPr="00293AE7">
        <w:rPr>
          <w:rFonts w:eastAsia="Calibri"/>
        </w:rPr>
        <w:t xml:space="preserve">and </w:t>
      </w:r>
      <w:r w:rsidRPr="00293AE7">
        <w:rPr>
          <w:rFonts w:eastAsia="Calibri"/>
        </w:rPr>
        <w:t>class (Table A)</w:t>
      </w:r>
    </w:p>
    <w:p w14:paraId="3B8F0027" w14:textId="54E98441" w:rsidR="00220F33" w:rsidRPr="00293AE7" w:rsidRDefault="00220F33" w:rsidP="00FC6ABE">
      <w:pPr>
        <w:pStyle w:val="ListParagraph"/>
        <w:numPr>
          <w:ilvl w:val="0"/>
          <w:numId w:val="27"/>
        </w:numPr>
        <w:rPr>
          <w:rFonts w:eastAsia="Calibri"/>
        </w:rPr>
      </w:pPr>
      <w:r w:rsidRPr="00293AE7">
        <w:rPr>
          <w:rFonts w:eastAsia="Calibri"/>
        </w:rPr>
        <w:t>Stage at which the incident occurred in the medication management cycle. These</w:t>
      </w:r>
      <w:r w:rsidR="007E4016" w:rsidRPr="00293AE7">
        <w:rPr>
          <w:rFonts w:eastAsia="Calibri"/>
        </w:rPr>
        <w:t xml:space="preserve"> stages</w:t>
      </w:r>
      <w:r w:rsidRPr="00293AE7">
        <w:rPr>
          <w:rFonts w:eastAsia="Calibri"/>
        </w:rPr>
        <w:t xml:space="preserve"> will be defined </w:t>
      </w:r>
      <w:r w:rsidR="007E4016" w:rsidRPr="00293AE7">
        <w:rPr>
          <w:rFonts w:eastAsia="Calibri"/>
        </w:rPr>
        <w:t xml:space="preserve">according to </w:t>
      </w:r>
      <w:r w:rsidRPr="00293AE7">
        <w:rPr>
          <w:rFonts w:eastAsia="Calibri"/>
        </w:rPr>
        <w:t>existing WA Health def</w:t>
      </w:r>
      <w:r w:rsidR="00D277D3" w:rsidRPr="00293AE7">
        <w:rPr>
          <w:rFonts w:eastAsia="Calibri"/>
        </w:rPr>
        <w:t>initions (</w:t>
      </w:r>
      <w:r w:rsidR="00810A60" w:rsidRPr="00293AE7">
        <w:rPr>
          <w:rFonts w:eastAsia="Calibri"/>
        </w:rPr>
        <w:t>Table B</w:t>
      </w:r>
      <w:r w:rsidR="00F7095E" w:rsidRPr="00293AE7">
        <w:rPr>
          <w:rFonts w:eastAsia="Calibri"/>
        </w:rPr>
        <w:t>) with additions according to a process of harmonisation of terminologies</w:t>
      </w:r>
      <w:r w:rsidR="00810A60" w:rsidRPr="00293AE7">
        <w:rPr>
          <w:rFonts w:eastAsia="Calibri"/>
        </w:rPr>
        <w:t>/taxonomies</w:t>
      </w:r>
    </w:p>
    <w:p w14:paraId="7805ABDC" w14:textId="121250BB" w:rsidR="00220F33" w:rsidRPr="00293AE7" w:rsidRDefault="00220F33" w:rsidP="00FC6ABE">
      <w:pPr>
        <w:pStyle w:val="ListParagraph"/>
        <w:numPr>
          <w:ilvl w:val="0"/>
          <w:numId w:val="27"/>
        </w:numPr>
        <w:rPr>
          <w:rFonts w:eastAsia="Calibri"/>
        </w:rPr>
      </w:pPr>
      <w:r w:rsidRPr="00293AE7">
        <w:rPr>
          <w:rFonts w:eastAsia="Calibri"/>
        </w:rPr>
        <w:t>Incident type</w:t>
      </w:r>
      <w:r w:rsidR="007E4016" w:rsidRPr="00293AE7">
        <w:rPr>
          <w:rFonts w:eastAsia="Calibri"/>
        </w:rPr>
        <w:t xml:space="preserve"> will be allocated as classif</w:t>
      </w:r>
      <w:r w:rsidR="00DD1CFB" w:rsidRPr="00293AE7">
        <w:rPr>
          <w:rFonts w:eastAsia="Calibri"/>
        </w:rPr>
        <w:t>i</w:t>
      </w:r>
      <w:r w:rsidR="007E4016" w:rsidRPr="00293AE7">
        <w:rPr>
          <w:rFonts w:eastAsia="Calibri"/>
        </w:rPr>
        <w:t>ed</w:t>
      </w:r>
      <w:r w:rsidRPr="00293AE7">
        <w:rPr>
          <w:rFonts w:eastAsia="Calibri"/>
        </w:rPr>
        <w:t xml:space="preserve"> by WA Health (</w:t>
      </w:r>
      <w:r w:rsidR="00810A60" w:rsidRPr="00293AE7">
        <w:rPr>
          <w:rFonts w:eastAsia="Calibri"/>
        </w:rPr>
        <w:t>Table C</w:t>
      </w:r>
      <w:r w:rsidRPr="00293AE7">
        <w:rPr>
          <w:rFonts w:eastAsia="Calibri"/>
        </w:rPr>
        <w:t>)</w:t>
      </w:r>
    </w:p>
    <w:p w14:paraId="0C9F1302" w14:textId="02ECE3BD" w:rsidR="00220F33" w:rsidRPr="00293AE7" w:rsidRDefault="00220F33" w:rsidP="00FC6ABE">
      <w:pPr>
        <w:pStyle w:val="ListParagraph"/>
        <w:numPr>
          <w:ilvl w:val="0"/>
          <w:numId w:val="27"/>
        </w:numPr>
        <w:rPr>
          <w:rFonts w:eastAsia="Calibri"/>
        </w:rPr>
      </w:pPr>
      <w:r w:rsidRPr="00293AE7">
        <w:rPr>
          <w:rFonts w:eastAsia="Calibri"/>
        </w:rPr>
        <w:t>Causative factors will be assessed and categorised in line with WA Health policy (</w:t>
      </w:r>
      <w:r w:rsidR="00810A60" w:rsidRPr="00293AE7">
        <w:rPr>
          <w:rFonts w:eastAsia="Calibri"/>
        </w:rPr>
        <w:t>Table D</w:t>
      </w:r>
      <w:r w:rsidRPr="00293AE7">
        <w:rPr>
          <w:rFonts w:eastAsia="Calibri"/>
        </w:rPr>
        <w:t>)</w:t>
      </w:r>
      <w:r w:rsidR="002348A4">
        <w:rPr>
          <w:rFonts w:eastAsia="Calibri"/>
        </w:rPr>
        <w:t>.</w:t>
      </w:r>
    </w:p>
    <w:p w14:paraId="628F9503" w14:textId="0DAB63D8" w:rsidR="00220F33" w:rsidRPr="00293AE7" w:rsidRDefault="00220F33" w:rsidP="00293AE7">
      <w:pPr>
        <w:rPr>
          <w:rFonts w:eastAsia="Calibri"/>
        </w:rPr>
      </w:pPr>
      <w:r w:rsidRPr="00293AE7">
        <w:rPr>
          <w:rFonts w:eastAsia="Calibri"/>
        </w:rPr>
        <w:t>Method for interrogation of data</w:t>
      </w:r>
      <w:r w:rsidR="00293AE7">
        <w:rPr>
          <w:rFonts w:eastAsia="Calibri"/>
        </w:rPr>
        <w:t>:</w:t>
      </w:r>
    </w:p>
    <w:p w14:paraId="39547413" w14:textId="5AC906F8" w:rsidR="00220F33" w:rsidRPr="002348A4" w:rsidRDefault="00220F33" w:rsidP="00FC6ABE">
      <w:pPr>
        <w:pStyle w:val="ListParagraph"/>
        <w:numPr>
          <w:ilvl w:val="0"/>
          <w:numId w:val="28"/>
        </w:numPr>
        <w:rPr>
          <w:rFonts w:eastAsia="Calibri"/>
        </w:rPr>
      </w:pPr>
      <w:r w:rsidRPr="002348A4">
        <w:rPr>
          <w:rFonts w:eastAsia="Calibri"/>
        </w:rPr>
        <w:t>All incident data consolidated to one spreadsheet where possible</w:t>
      </w:r>
    </w:p>
    <w:p w14:paraId="77F5CA86" w14:textId="77777777" w:rsidR="00220F33" w:rsidRPr="002348A4" w:rsidRDefault="00220F33" w:rsidP="00FC6ABE">
      <w:pPr>
        <w:pStyle w:val="ListParagraph"/>
        <w:numPr>
          <w:ilvl w:val="0"/>
          <w:numId w:val="28"/>
        </w:numPr>
        <w:rPr>
          <w:rFonts w:eastAsia="Calibri"/>
        </w:rPr>
      </w:pPr>
      <w:r w:rsidRPr="002348A4">
        <w:rPr>
          <w:rFonts w:eastAsia="Calibri"/>
        </w:rPr>
        <w:t xml:space="preserve">Harmonise medication management cycle </w:t>
      </w:r>
      <w:r w:rsidR="005F3DD9" w:rsidRPr="002348A4">
        <w:rPr>
          <w:rFonts w:eastAsia="Calibri"/>
        </w:rPr>
        <w:t>terms across states and territories</w:t>
      </w:r>
    </w:p>
    <w:p w14:paraId="2B677DC7" w14:textId="77777777" w:rsidR="00220F33" w:rsidRPr="002348A4" w:rsidRDefault="00220F33" w:rsidP="00FC6ABE">
      <w:pPr>
        <w:pStyle w:val="ListParagraph"/>
        <w:numPr>
          <w:ilvl w:val="0"/>
          <w:numId w:val="28"/>
        </w:numPr>
        <w:rPr>
          <w:rFonts w:eastAsia="Calibri"/>
        </w:rPr>
      </w:pPr>
      <w:r w:rsidRPr="002348A4">
        <w:rPr>
          <w:rFonts w:eastAsia="Calibri"/>
        </w:rPr>
        <w:lastRenderedPageBreak/>
        <w:t>Randomly select 350 records to review</w:t>
      </w:r>
      <w:r w:rsidRPr="002348A4">
        <w:rPr>
          <w:rFonts w:eastAsia="Calibri"/>
          <w:vertAlign w:val="superscript"/>
        </w:rPr>
        <w:footnoteReference w:id="13"/>
      </w:r>
    </w:p>
    <w:p w14:paraId="3C5101F3" w14:textId="77777777" w:rsidR="005F3DD9" w:rsidRPr="002348A4" w:rsidRDefault="005F3DD9" w:rsidP="00FC6ABE">
      <w:pPr>
        <w:pStyle w:val="ListParagraph"/>
        <w:numPr>
          <w:ilvl w:val="0"/>
          <w:numId w:val="28"/>
        </w:numPr>
        <w:rPr>
          <w:rFonts w:eastAsia="Calibri"/>
        </w:rPr>
      </w:pPr>
      <w:r w:rsidRPr="002348A4">
        <w:rPr>
          <w:rFonts w:eastAsia="Calibri"/>
        </w:rPr>
        <w:t>Allocate/confirm medicine(s) involved in the incident (primary and secondary)</w:t>
      </w:r>
    </w:p>
    <w:p w14:paraId="0AC4AC22" w14:textId="3047C354" w:rsidR="00220F33" w:rsidRPr="002348A4" w:rsidRDefault="00220F33" w:rsidP="00FC6ABE">
      <w:pPr>
        <w:pStyle w:val="ListParagraph"/>
        <w:numPr>
          <w:ilvl w:val="0"/>
          <w:numId w:val="28"/>
        </w:numPr>
        <w:rPr>
          <w:rFonts w:eastAsia="Calibri"/>
        </w:rPr>
      </w:pPr>
      <w:r w:rsidRPr="002348A4">
        <w:rPr>
          <w:rFonts w:eastAsia="Calibri"/>
        </w:rPr>
        <w:t>Allocate/confirm stage at which incident occurred in the medication management</w:t>
      </w:r>
      <w:r w:rsidR="00FE3BEF">
        <w:rPr>
          <w:rFonts w:eastAsia="Calibri"/>
        </w:rPr>
        <w:t> </w:t>
      </w:r>
      <w:r w:rsidRPr="002348A4">
        <w:rPr>
          <w:rFonts w:eastAsia="Calibri"/>
        </w:rPr>
        <w:t>cycle</w:t>
      </w:r>
    </w:p>
    <w:p w14:paraId="360C5A8F" w14:textId="77777777" w:rsidR="00220F33" w:rsidRPr="002348A4" w:rsidRDefault="00220F33" w:rsidP="00FC6ABE">
      <w:pPr>
        <w:pStyle w:val="ListParagraph"/>
        <w:numPr>
          <w:ilvl w:val="0"/>
          <w:numId w:val="28"/>
        </w:numPr>
        <w:rPr>
          <w:rFonts w:eastAsia="Calibri"/>
        </w:rPr>
      </w:pPr>
      <w:r w:rsidRPr="002348A4">
        <w:rPr>
          <w:rFonts w:eastAsia="Calibri"/>
        </w:rPr>
        <w:t>Allocate/confirm causative factors</w:t>
      </w:r>
      <w:r w:rsidR="00F7095E" w:rsidRPr="002348A4">
        <w:rPr>
          <w:rFonts w:eastAsia="Calibri"/>
        </w:rPr>
        <w:t xml:space="preserve"> where possible</w:t>
      </w:r>
      <w:r w:rsidRPr="002348A4">
        <w:rPr>
          <w:rFonts w:eastAsia="Calibri"/>
        </w:rPr>
        <w:t xml:space="preserve"> </w:t>
      </w:r>
    </w:p>
    <w:p w14:paraId="426FDEFE" w14:textId="0A2E2855" w:rsidR="00DD1CFB" w:rsidRPr="002348A4" w:rsidRDefault="005F3DD9" w:rsidP="00FC6ABE">
      <w:pPr>
        <w:pStyle w:val="ListParagraph"/>
        <w:numPr>
          <w:ilvl w:val="1"/>
          <w:numId w:val="28"/>
        </w:numPr>
        <w:rPr>
          <w:rFonts w:eastAsia="Calibri"/>
        </w:rPr>
      </w:pPr>
      <w:r w:rsidRPr="002348A4">
        <w:rPr>
          <w:rFonts w:eastAsia="Calibri"/>
        </w:rPr>
        <w:t>Special consideration:</w:t>
      </w:r>
      <w:r w:rsidR="002348A4" w:rsidRPr="002348A4">
        <w:rPr>
          <w:rFonts w:eastAsia="Calibri"/>
        </w:rPr>
        <w:t xml:space="preserve"> </w:t>
      </w:r>
      <w:r w:rsidR="00220F33" w:rsidRPr="002348A4">
        <w:rPr>
          <w:rFonts w:eastAsia="Calibri"/>
        </w:rPr>
        <w:t>Use of enoxaparin and warfarin can be used appropriately in practice. Incidents involving these two medicines will be classified according to their relationship to enoxaparin (LMWH)</w:t>
      </w:r>
      <w:r w:rsidRPr="002348A4">
        <w:rPr>
          <w:rFonts w:eastAsia="Calibri"/>
        </w:rPr>
        <w:t>. Enoxaparin will be the</w:t>
      </w:r>
      <w:r w:rsidR="00FB3BEB" w:rsidRPr="002348A4">
        <w:rPr>
          <w:rFonts w:eastAsia="Calibri"/>
        </w:rPr>
        <w:t xml:space="preserve"> classified as the</w:t>
      </w:r>
      <w:r w:rsidRPr="002348A4">
        <w:rPr>
          <w:rFonts w:eastAsia="Calibri"/>
        </w:rPr>
        <w:t xml:space="preserve"> primary medicine involved in the incident, warfarin the secondary medicine</w:t>
      </w:r>
    </w:p>
    <w:p w14:paraId="58CA956E" w14:textId="27CDFAD4" w:rsidR="00F7095E" w:rsidRPr="002348A4" w:rsidRDefault="00F7095E" w:rsidP="00FC6ABE">
      <w:pPr>
        <w:pStyle w:val="ListParagraph"/>
        <w:numPr>
          <w:ilvl w:val="0"/>
          <w:numId w:val="28"/>
        </w:numPr>
        <w:rPr>
          <w:rFonts w:eastAsia="Calibri"/>
        </w:rPr>
      </w:pPr>
      <w:r w:rsidRPr="002348A4">
        <w:rPr>
          <w:rFonts w:eastAsia="Calibri"/>
        </w:rPr>
        <w:t>One project officer will be responsible for review and allocation/confirmation of each of these incidents</w:t>
      </w:r>
    </w:p>
    <w:p w14:paraId="6ED39106" w14:textId="77777777" w:rsidR="00F7095E" w:rsidRPr="002348A4" w:rsidRDefault="00F7095E" w:rsidP="00FC6ABE">
      <w:pPr>
        <w:pStyle w:val="ListParagraph"/>
        <w:numPr>
          <w:ilvl w:val="0"/>
          <w:numId w:val="28"/>
        </w:numPr>
        <w:rPr>
          <w:rFonts w:eastAsia="Calibri"/>
          <w:lang w:eastAsia="en-US"/>
        </w:rPr>
      </w:pPr>
      <w:r w:rsidRPr="002348A4">
        <w:rPr>
          <w:rFonts w:eastAsia="Calibri"/>
        </w:rPr>
        <w:t>On completion of this task, a second project officer will randomly select 5% of these incidents to confirm</w:t>
      </w:r>
      <w:r w:rsidR="00DD1CFB" w:rsidRPr="002348A4">
        <w:rPr>
          <w:rFonts w:eastAsia="Calibri"/>
        </w:rPr>
        <w:t xml:space="preserve"> that</w:t>
      </w:r>
      <w:r w:rsidRPr="002348A4">
        <w:rPr>
          <w:rFonts w:eastAsia="Calibri"/>
        </w:rPr>
        <w:t xml:space="preserve"> classifications have been recorded appropriately.</w:t>
      </w:r>
      <w:r w:rsidRPr="002348A4">
        <w:rPr>
          <w:rFonts w:eastAsia="Calibri"/>
          <w:lang w:eastAsia="en-US"/>
        </w:rPr>
        <w:t xml:space="preserve"> </w:t>
      </w:r>
    </w:p>
    <w:p w14:paraId="456F7AE1" w14:textId="241C6877" w:rsidR="005F3DD9" w:rsidRPr="008C1FC2" w:rsidRDefault="00220F33" w:rsidP="008C1FC2">
      <w:pPr>
        <w:rPr>
          <w:rFonts w:eastAsia="Calibri"/>
        </w:rPr>
      </w:pPr>
      <w:r w:rsidRPr="008C1FC2">
        <w:rPr>
          <w:rFonts w:eastAsia="Calibri"/>
        </w:rPr>
        <w:t>Questions for interrogation of data</w:t>
      </w:r>
      <w:r w:rsidR="008C1FC2">
        <w:rPr>
          <w:rFonts w:eastAsia="Calibri"/>
        </w:rPr>
        <w:t>:</w:t>
      </w:r>
    </w:p>
    <w:p w14:paraId="60C9F290" w14:textId="1A04713F" w:rsidR="00220F33" w:rsidRPr="00565D16" w:rsidRDefault="00220F33" w:rsidP="00FC6ABE">
      <w:pPr>
        <w:pStyle w:val="ListParagraph"/>
        <w:numPr>
          <w:ilvl w:val="0"/>
          <w:numId w:val="29"/>
        </w:numPr>
        <w:rPr>
          <w:rFonts w:eastAsia="Calibri"/>
        </w:rPr>
      </w:pPr>
      <w:r w:rsidRPr="00565D16">
        <w:rPr>
          <w:rFonts w:eastAsia="Calibri"/>
        </w:rPr>
        <w:t>How many incidents have involved inappropriate concomitant prescribing and administration of DOAC and heparin</w:t>
      </w:r>
      <w:r w:rsidR="008C1FC2" w:rsidRPr="00565D16">
        <w:rPr>
          <w:rFonts w:eastAsia="Calibri"/>
        </w:rPr>
        <w:t>-</w:t>
      </w:r>
      <w:r w:rsidRPr="00565D16">
        <w:rPr>
          <w:rFonts w:eastAsia="Calibri"/>
        </w:rPr>
        <w:t>based medicines?</w:t>
      </w:r>
    </w:p>
    <w:p w14:paraId="3E6B5C93" w14:textId="77777777" w:rsidR="005F3DD9" w:rsidRPr="00565D16" w:rsidRDefault="00220F33" w:rsidP="00FC6ABE">
      <w:pPr>
        <w:pStyle w:val="ListParagraph"/>
        <w:numPr>
          <w:ilvl w:val="0"/>
          <w:numId w:val="29"/>
        </w:numPr>
        <w:rPr>
          <w:rFonts w:eastAsia="Calibri"/>
        </w:rPr>
      </w:pPr>
      <w:r w:rsidRPr="00565D16">
        <w:rPr>
          <w:rFonts w:eastAsia="Calibri"/>
        </w:rPr>
        <w:t xml:space="preserve">How many warfarin related incidents have occurred? </w:t>
      </w:r>
      <w:r w:rsidR="005F3DD9" w:rsidRPr="00565D16">
        <w:rPr>
          <w:rFonts w:eastAsia="Calibri"/>
        </w:rPr>
        <w:t>What were the top three incidents that occurred with this medicine?</w:t>
      </w:r>
    </w:p>
    <w:p w14:paraId="37CB3A36" w14:textId="77777777" w:rsidR="005F3DD9" w:rsidRPr="00565D16" w:rsidRDefault="00220F33" w:rsidP="00FC6ABE">
      <w:pPr>
        <w:pStyle w:val="ListParagraph"/>
        <w:numPr>
          <w:ilvl w:val="0"/>
          <w:numId w:val="29"/>
        </w:numPr>
        <w:rPr>
          <w:rFonts w:eastAsia="Calibri"/>
        </w:rPr>
      </w:pPr>
      <w:r w:rsidRPr="00565D16">
        <w:rPr>
          <w:rFonts w:eastAsia="Calibri"/>
        </w:rPr>
        <w:t>How many DOAC incidents, including those involved in concomitant prescribing?</w:t>
      </w:r>
    </w:p>
    <w:p w14:paraId="0A84F60C" w14:textId="77777777" w:rsidR="005F3DD9" w:rsidRPr="00565D16" w:rsidRDefault="00220F33" w:rsidP="00FC6ABE">
      <w:pPr>
        <w:pStyle w:val="ListParagraph"/>
        <w:numPr>
          <w:ilvl w:val="0"/>
          <w:numId w:val="29"/>
        </w:numPr>
        <w:rPr>
          <w:rFonts w:eastAsia="Calibri"/>
        </w:rPr>
      </w:pPr>
      <w:r w:rsidRPr="00565D16">
        <w:rPr>
          <w:rFonts w:eastAsia="Calibri"/>
        </w:rPr>
        <w:t>How many LMWH incidents have occurred?</w:t>
      </w:r>
    </w:p>
    <w:p w14:paraId="0C06B4B8" w14:textId="76405A93" w:rsidR="00D277D3" w:rsidRPr="00565D16" w:rsidRDefault="00220F33" w:rsidP="00FC6ABE">
      <w:pPr>
        <w:pStyle w:val="ListParagraph"/>
        <w:numPr>
          <w:ilvl w:val="0"/>
          <w:numId w:val="29"/>
        </w:numPr>
        <w:rPr>
          <w:rFonts w:eastAsia="Calibri"/>
        </w:rPr>
      </w:pPr>
      <w:r w:rsidRPr="00565D16">
        <w:rPr>
          <w:rFonts w:eastAsia="Calibri"/>
        </w:rPr>
        <w:t>How many heparin incidents?</w:t>
      </w:r>
    </w:p>
    <w:p w14:paraId="5DC6784C" w14:textId="77777777" w:rsidR="00463744" w:rsidRDefault="00463744" w:rsidP="00C002A9">
      <w:pPr>
        <w:pStyle w:val="Caption"/>
        <w:rPr>
          <w:rFonts w:eastAsia="Calibri"/>
          <w:lang w:eastAsia="en-US"/>
        </w:rPr>
      </w:pPr>
      <w:r>
        <w:rPr>
          <w:rFonts w:eastAsia="Calibri"/>
          <w:lang w:eastAsia="en-US"/>
        </w:rPr>
        <w:br w:type="page"/>
      </w:r>
    </w:p>
    <w:p w14:paraId="4038124C" w14:textId="11E01D08" w:rsidR="001965D1" w:rsidRPr="009F7D0C" w:rsidRDefault="001965D1" w:rsidP="00C002A9">
      <w:pPr>
        <w:pStyle w:val="Caption"/>
        <w:rPr>
          <w:rFonts w:eastAsia="Calibri"/>
          <w:lang w:eastAsia="en-US"/>
        </w:rPr>
      </w:pPr>
      <w:r w:rsidRPr="009F7D0C">
        <w:rPr>
          <w:rFonts w:eastAsia="Calibri"/>
          <w:lang w:eastAsia="en-US"/>
        </w:rPr>
        <w:lastRenderedPageBreak/>
        <w:t>Table A</w:t>
      </w:r>
      <w:r w:rsidR="00C002A9">
        <w:rPr>
          <w:rFonts w:eastAsia="Calibri"/>
          <w:lang w:eastAsia="en-US"/>
        </w:rPr>
        <w:t>:</w:t>
      </w:r>
      <w:r w:rsidR="00810A60" w:rsidRPr="009F7D0C">
        <w:rPr>
          <w:rFonts w:eastAsia="Calibri"/>
          <w:lang w:eastAsia="en-US"/>
        </w:rPr>
        <w:t xml:space="preserve"> Anticoagulant medicine names grouped by medicine class</w:t>
      </w:r>
    </w:p>
    <w:tbl>
      <w:tblPr>
        <w:tblStyle w:val="TableGrid"/>
        <w:tblW w:w="5000" w:type="pct"/>
        <w:tblLook w:val="0620" w:firstRow="1" w:lastRow="0" w:firstColumn="0" w:lastColumn="0" w:noHBand="1" w:noVBand="1"/>
        <w:tblDescription w:val="Table A: Anticoagulant medicine names grouped by medicine class"/>
      </w:tblPr>
      <w:tblGrid>
        <w:gridCol w:w="2829"/>
        <w:gridCol w:w="6187"/>
      </w:tblGrid>
      <w:tr w:rsidR="001965D1" w:rsidRPr="00A047EC" w14:paraId="47EAA34A" w14:textId="77777777" w:rsidTr="00D62DC9">
        <w:trPr>
          <w:cnfStyle w:val="100000000000" w:firstRow="1" w:lastRow="0" w:firstColumn="0" w:lastColumn="0" w:oddVBand="0" w:evenVBand="0" w:oddHBand="0" w:evenHBand="0" w:firstRowFirstColumn="0" w:firstRowLastColumn="0" w:lastRowFirstColumn="0" w:lastRowLastColumn="0"/>
          <w:tblHeader/>
        </w:trPr>
        <w:tc>
          <w:tcPr>
            <w:tcW w:w="1569" w:type="pct"/>
          </w:tcPr>
          <w:p w14:paraId="1CB2CCBC" w14:textId="77777777" w:rsidR="001965D1" w:rsidRPr="00A047EC" w:rsidRDefault="001965D1" w:rsidP="00A047EC">
            <w:r w:rsidRPr="00A047EC">
              <w:t>Medicine class</w:t>
            </w:r>
          </w:p>
        </w:tc>
        <w:tc>
          <w:tcPr>
            <w:tcW w:w="3431" w:type="pct"/>
          </w:tcPr>
          <w:p w14:paraId="1265012C" w14:textId="45C38FF5" w:rsidR="001965D1" w:rsidRPr="00A047EC" w:rsidRDefault="00810A60" w:rsidP="00A047EC">
            <w:r w:rsidRPr="00A047EC">
              <w:t>Anticoagulant m</w:t>
            </w:r>
            <w:r w:rsidR="001965D1" w:rsidRPr="00A047EC">
              <w:t>edicines with this class (trade name)</w:t>
            </w:r>
            <w:r w:rsidR="00A047EC" w:rsidRPr="00A047EC">
              <w:rPr>
                <w:rStyle w:val="FootnoteReference"/>
                <w:b w:val="0"/>
                <w:bCs/>
              </w:rPr>
              <w:footnoteReference w:id="14"/>
            </w:r>
          </w:p>
        </w:tc>
      </w:tr>
      <w:tr w:rsidR="001965D1" w:rsidRPr="00A047EC" w14:paraId="0F0F17EB" w14:textId="77777777" w:rsidTr="0038493B">
        <w:tc>
          <w:tcPr>
            <w:tcW w:w="1569" w:type="pct"/>
            <w:vMerge w:val="restart"/>
          </w:tcPr>
          <w:p w14:paraId="0F873177" w14:textId="77777777" w:rsidR="001965D1" w:rsidRPr="00A047EC" w:rsidRDefault="001965D1" w:rsidP="00A047EC">
            <w:r w:rsidRPr="00A047EC">
              <w:t>Direct Oral Anticoagulant (DOAC)</w:t>
            </w:r>
          </w:p>
        </w:tc>
        <w:tc>
          <w:tcPr>
            <w:tcW w:w="3431" w:type="pct"/>
          </w:tcPr>
          <w:p w14:paraId="50816511" w14:textId="77777777" w:rsidR="001965D1" w:rsidRPr="00A047EC" w:rsidRDefault="001965D1" w:rsidP="00A047EC">
            <w:r w:rsidRPr="00A047EC">
              <w:t>Apixaban (Eliquis)</w:t>
            </w:r>
          </w:p>
        </w:tc>
      </w:tr>
      <w:tr w:rsidR="001965D1" w:rsidRPr="00A047EC" w14:paraId="3B53911D" w14:textId="77777777" w:rsidTr="0038493B">
        <w:trPr>
          <w:trHeight w:val="357"/>
        </w:trPr>
        <w:tc>
          <w:tcPr>
            <w:tcW w:w="1569" w:type="pct"/>
            <w:vMerge/>
          </w:tcPr>
          <w:p w14:paraId="51154493" w14:textId="77777777" w:rsidR="001965D1" w:rsidRPr="00A047EC" w:rsidRDefault="001965D1" w:rsidP="00A047EC"/>
        </w:tc>
        <w:tc>
          <w:tcPr>
            <w:tcW w:w="3431" w:type="pct"/>
          </w:tcPr>
          <w:p w14:paraId="37F489B4" w14:textId="77777777" w:rsidR="001965D1" w:rsidRPr="00A047EC" w:rsidRDefault="001965D1" w:rsidP="00A047EC">
            <w:r w:rsidRPr="00A047EC">
              <w:t>Dabigatran (Pradaxa)</w:t>
            </w:r>
          </w:p>
        </w:tc>
      </w:tr>
      <w:tr w:rsidR="001965D1" w:rsidRPr="00A047EC" w14:paraId="510C897D" w14:textId="77777777" w:rsidTr="0038493B">
        <w:tc>
          <w:tcPr>
            <w:tcW w:w="1569" w:type="pct"/>
            <w:vMerge/>
          </w:tcPr>
          <w:p w14:paraId="0FF2CD65" w14:textId="77777777" w:rsidR="001965D1" w:rsidRPr="00A047EC" w:rsidRDefault="001965D1" w:rsidP="00A047EC"/>
        </w:tc>
        <w:tc>
          <w:tcPr>
            <w:tcW w:w="3431" w:type="pct"/>
          </w:tcPr>
          <w:p w14:paraId="70BE5695" w14:textId="77777777" w:rsidR="001965D1" w:rsidRPr="00A047EC" w:rsidRDefault="001965D1" w:rsidP="00A047EC">
            <w:r w:rsidRPr="00A047EC">
              <w:t>Rivaroxaban (Xarelto)</w:t>
            </w:r>
          </w:p>
        </w:tc>
      </w:tr>
      <w:tr w:rsidR="001965D1" w:rsidRPr="00A047EC" w14:paraId="3EE6F13A" w14:textId="77777777" w:rsidTr="0038493B">
        <w:trPr>
          <w:trHeight w:val="271"/>
        </w:trPr>
        <w:tc>
          <w:tcPr>
            <w:tcW w:w="1569" w:type="pct"/>
            <w:vMerge w:val="restart"/>
          </w:tcPr>
          <w:p w14:paraId="690367E2" w14:textId="77777777" w:rsidR="001965D1" w:rsidRPr="00A047EC" w:rsidRDefault="001965D1" w:rsidP="00A047EC">
            <w:r w:rsidRPr="00A047EC">
              <w:t>Heparins</w:t>
            </w:r>
          </w:p>
        </w:tc>
        <w:tc>
          <w:tcPr>
            <w:tcW w:w="3431" w:type="pct"/>
          </w:tcPr>
          <w:p w14:paraId="42B54362" w14:textId="77777777" w:rsidR="001965D1" w:rsidRPr="00A047EC" w:rsidRDefault="001965D1" w:rsidP="00A047EC">
            <w:r w:rsidRPr="00A047EC">
              <w:t>Heparin [Unfractionated heparin]</w:t>
            </w:r>
          </w:p>
        </w:tc>
      </w:tr>
      <w:tr w:rsidR="001965D1" w:rsidRPr="00A047EC" w14:paraId="1BF1133B" w14:textId="77777777" w:rsidTr="0038493B">
        <w:trPr>
          <w:trHeight w:val="276"/>
        </w:trPr>
        <w:tc>
          <w:tcPr>
            <w:tcW w:w="1569" w:type="pct"/>
            <w:vMerge/>
          </w:tcPr>
          <w:p w14:paraId="3CC103C1" w14:textId="77777777" w:rsidR="001965D1" w:rsidRPr="00A047EC" w:rsidRDefault="001965D1" w:rsidP="00A047EC"/>
        </w:tc>
        <w:tc>
          <w:tcPr>
            <w:tcW w:w="3431" w:type="pct"/>
          </w:tcPr>
          <w:p w14:paraId="53B9DA1B" w14:textId="77777777" w:rsidR="001965D1" w:rsidRPr="00A047EC" w:rsidRDefault="001965D1" w:rsidP="00A047EC">
            <w:r w:rsidRPr="00A047EC">
              <w:t>Heparinised saline</w:t>
            </w:r>
          </w:p>
        </w:tc>
      </w:tr>
      <w:tr w:rsidR="001965D1" w:rsidRPr="00A047EC" w14:paraId="3F97E5E1" w14:textId="77777777" w:rsidTr="0038493B">
        <w:tc>
          <w:tcPr>
            <w:tcW w:w="1569" w:type="pct"/>
            <w:vMerge w:val="restart"/>
          </w:tcPr>
          <w:p w14:paraId="0A7B749C" w14:textId="77777777" w:rsidR="001965D1" w:rsidRPr="00A047EC" w:rsidRDefault="001965D1" w:rsidP="00A047EC">
            <w:r w:rsidRPr="00A047EC">
              <w:t>Low Molecular Weight Heparins (LMWH)</w:t>
            </w:r>
          </w:p>
        </w:tc>
        <w:tc>
          <w:tcPr>
            <w:tcW w:w="3431" w:type="pct"/>
          </w:tcPr>
          <w:p w14:paraId="3D3544A9" w14:textId="77777777" w:rsidR="001965D1" w:rsidRPr="00A047EC" w:rsidRDefault="001965D1" w:rsidP="00A047EC">
            <w:r w:rsidRPr="00A047EC">
              <w:t>Enoxaparin (Clexane)</w:t>
            </w:r>
          </w:p>
        </w:tc>
      </w:tr>
      <w:tr w:rsidR="001965D1" w:rsidRPr="00A047EC" w14:paraId="7D0AEE57" w14:textId="77777777" w:rsidTr="0038493B">
        <w:tc>
          <w:tcPr>
            <w:tcW w:w="1569" w:type="pct"/>
            <w:vMerge/>
          </w:tcPr>
          <w:p w14:paraId="415AC473" w14:textId="77777777" w:rsidR="001965D1" w:rsidRPr="00A047EC" w:rsidRDefault="001965D1" w:rsidP="00A047EC"/>
        </w:tc>
        <w:tc>
          <w:tcPr>
            <w:tcW w:w="3431" w:type="pct"/>
          </w:tcPr>
          <w:p w14:paraId="522F5634" w14:textId="77777777" w:rsidR="001965D1" w:rsidRPr="00A047EC" w:rsidRDefault="001965D1" w:rsidP="00A047EC">
            <w:r w:rsidRPr="00A047EC">
              <w:t>Danaparoid (Orgaran)</w:t>
            </w:r>
          </w:p>
        </w:tc>
      </w:tr>
      <w:tr w:rsidR="001965D1" w:rsidRPr="00A047EC" w14:paraId="6BDE308D" w14:textId="77777777" w:rsidTr="0038493B">
        <w:tc>
          <w:tcPr>
            <w:tcW w:w="1569" w:type="pct"/>
            <w:vMerge/>
          </w:tcPr>
          <w:p w14:paraId="27667D90" w14:textId="77777777" w:rsidR="001965D1" w:rsidRPr="00A047EC" w:rsidRDefault="001965D1" w:rsidP="00A047EC"/>
        </w:tc>
        <w:tc>
          <w:tcPr>
            <w:tcW w:w="3431" w:type="pct"/>
          </w:tcPr>
          <w:p w14:paraId="21EBBDD4" w14:textId="77777777" w:rsidR="001965D1" w:rsidRPr="00A047EC" w:rsidRDefault="001965D1" w:rsidP="00A047EC">
            <w:r w:rsidRPr="00A047EC">
              <w:t>Dalteparin (Fragmin)</w:t>
            </w:r>
          </w:p>
        </w:tc>
      </w:tr>
      <w:tr w:rsidR="001965D1" w:rsidRPr="00A047EC" w14:paraId="15762BB1" w14:textId="77777777" w:rsidTr="0038493B">
        <w:tc>
          <w:tcPr>
            <w:tcW w:w="1569" w:type="pct"/>
            <w:vMerge/>
          </w:tcPr>
          <w:p w14:paraId="45F97673" w14:textId="77777777" w:rsidR="001965D1" w:rsidRPr="00A047EC" w:rsidRDefault="001965D1" w:rsidP="00A047EC"/>
        </w:tc>
        <w:tc>
          <w:tcPr>
            <w:tcW w:w="3431" w:type="pct"/>
          </w:tcPr>
          <w:p w14:paraId="0E4202E8" w14:textId="77777777" w:rsidR="001965D1" w:rsidRPr="00A047EC" w:rsidRDefault="001965D1" w:rsidP="00A047EC">
            <w:r w:rsidRPr="00A047EC">
              <w:t>Nadroparin (Fraxiparine)</w:t>
            </w:r>
          </w:p>
        </w:tc>
      </w:tr>
      <w:tr w:rsidR="001965D1" w:rsidRPr="00A047EC" w14:paraId="281C63F8" w14:textId="77777777" w:rsidTr="0038493B">
        <w:trPr>
          <w:trHeight w:val="371"/>
        </w:trPr>
        <w:tc>
          <w:tcPr>
            <w:tcW w:w="1569" w:type="pct"/>
          </w:tcPr>
          <w:p w14:paraId="7176DB9F" w14:textId="77777777" w:rsidR="001965D1" w:rsidRPr="00A047EC" w:rsidRDefault="001965D1" w:rsidP="00A047EC">
            <w:r w:rsidRPr="00A047EC">
              <w:t>Vitamin K antagonists</w:t>
            </w:r>
          </w:p>
        </w:tc>
        <w:tc>
          <w:tcPr>
            <w:tcW w:w="3431" w:type="pct"/>
          </w:tcPr>
          <w:p w14:paraId="77D4570C" w14:textId="45E4596C" w:rsidR="001965D1" w:rsidRPr="00A047EC" w:rsidRDefault="001965D1" w:rsidP="00A047EC">
            <w:r w:rsidRPr="00A047EC">
              <w:t>Warfarin (Coumadin and Marevan)</w:t>
            </w:r>
          </w:p>
        </w:tc>
      </w:tr>
      <w:tr w:rsidR="001965D1" w:rsidRPr="00A047EC" w14:paraId="3B4B2192" w14:textId="77777777" w:rsidTr="0038493B">
        <w:tc>
          <w:tcPr>
            <w:tcW w:w="1569" w:type="pct"/>
          </w:tcPr>
          <w:p w14:paraId="6433D744" w14:textId="0CCDE7C5" w:rsidR="001965D1" w:rsidRPr="00A047EC" w:rsidRDefault="001965D1" w:rsidP="00A047EC">
            <w:r w:rsidRPr="00A047EC">
              <w:t>Factor Xa Inhibitor</w:t>
            </w:r>
            <w:r w:rsidR="00A047EC">
              <w:rPr>
                <w:rStyle w:val="FootnoteReference"/>
              </w:rPr>
              <w:footnoteReference w:id="15"/>
            </w:r>
          </w:p>
        </w:tc>
        <w:tc>
          <w:tcPr>
            <w:tcW w:w="3431" w:type="pct"/>
          </w:tcPr>
          <w:p w14:paraId="33D6320E" w14:textId="77777777" w:rsidR="001965D1" w:rsidRPr="00A047EC" w:rsidRDefault="001965D1" w:rsidP="00A047EC">
            <w:r w:rsidRPr="00A047EC">
              <w:t>Fondaparinux (Arixtra)</w:t>
            </w:r>
          </w:p>
        </w:tc>
      </w:tr>
    </w:tbl>
    <w:p w14:paraId="76B48E0C" w14:textId="77777777" w:rsidR="00463744" w:rsidRDefault="00463744" w:rsidP="00BE0A1B">
      <w:pPr>
        <w:pStyle w:val="Caption"/>
        <w:rPr>
          <w:rFonts w:eastAsia="Calibri"/>
          <w:lang w:eastAsia="en-US"/>
        </w:rPr>
      </w:pPr>
      <w:r>
        <w:rPr>
          <w:rFonts w:eastAsia="Calibri"/>
          <w:lang w:eastAsia="en-US"/>
        </w:rPr>
        <w:br w:type="page"/>
      </w:r>
    </w:p>
    <w:p w14:paraId="57458B77" w14:textId="7486E964" w:rsidR="00F556F8" w:rsidRPr="00BE0A1B" w:rsidRDefault="00F556F8" w:rsidP="00BE0A1B">
      <w:pPr>
        <w:pStyle w:val="Caption"/>
        <w:rPr>
          <w:rFonts w:eastAsia="Calibri"/>
          <w:b w:val="0"/>
          <w:bCs/>
          <w:lang w:eastAsia="en-US"/>
        </w:rPr>
      </w:pPr>
      <w:r w:rsidRPr="009F7D0C">
        <w:rPr>
          <w:rFonts w:eastAsia="Calibri"/>
          <w:lang w:eastAsia="en-US"/>
        </w:rPr>
        <w:lastRenderedPageBreak/>
        <w:t>Table B</w:t>
      </w:r>
      <w:r w:rsidR="00BE0A1B">
        <w:rPr>
          <w:rFonts w:eastAsia="Calibri"/>
          <w:lang w:eastAsia="en-US"/>
        </w:rPr>
        <w:t>:</w:t>
      </w:r>
      <w:r w:rsidRPr="009F7D0C">
        <w:rPr>
          <w:rFonts w:eastAsia="Calibri"/>
          <w:lang w:eastAsia="en-US"/>
        </w:rPr>
        <w:t xml:space="preserve"> Incident definition related to the medication management process involved</w:t>
      </w:r>
      <w:r w:rsidR="00BE0A1B">
        <w:rPr>
          <w:rFonts w:eastAsia="Calibri"/>
          <w:lang w:eastAsia="en-US"/>
        </w:rPr>
        <w:t xml:space="preserve"> </w:t>
      </w:r>
      <w:r w:rsidRPr="00BE0A1B">
        <w:rPr>
          <w:rFonts w:eastAsia="Calibri" w:cstheme="minorHAnsi"/>
          <w:b w:val="0"/>
          <w:bCs/>
          <w:lang w:eastAsia="en-US"/>
        </w:rPr>
        <w:t>(</w:t>
      </w:r>
      <w:r w:rsidR="00BE0A1B" w:rsidRPr="00BE0A1B">
        <w:rPr>
          <w:rFonts w:eastAsia="Calibri" w:cstheme="minorHAnsi"/>
          <w:b w:val="0"/>
          <w:bCs/>
          <w:lang w:eastAsia="en-US"/>
        </w:rPr>
        <w:t>a</w:t>
      </w:r>
      <w:r w:rsidRPr="00BE0A1B">
        <w:rPr>
          <w:rFonts w:eastAsia="Calibri" w:cstheme="minorHAnsi"/>
          <w:b w:val="0"/>
          <w:bCs/>
          <w:lang w:eastAsia="en-US"/>
        </w:rPr>
        <w:t>dapted from WA Health definitions)</w:t>
      </w:r>
    </w:p>
    <w:tbl>
      <w:tblPr>
        <w:tblStyle w:val="TableGrid"/>
        <w:tblW w:w="5000" w:type="pct"/>
        <w:tblLook w:val="0220" w:firstRow="1" w:lastRow="0" w:firstColumn="0" w:lastColumn="0" w:noHBand="1" w:noVBand="0"/>
        <w:tblDescription w:val="Table B: Incident definition related to the medication management process involved"/>
      </w:tblPr>
      <w:tblGrid>
        <w:gridCol w:w="2122"/>
        <w:gridCol w:w="6894"/>
      </w:tblGrid>
      <w:tr w:rsidR="00FD0C6C" w:rsidRPr="00FD0C6C" w14:paraId="18B44530" w14:textId="07B453C8" w:rsidTr="00BE2652">
        <w:trPr>
          <w:cnfStyle w:val="100000000000" w:firstRow="1" w:lastRow="0" w:firstColumn="0" w:lastColumn="0" w:oddVBand="0" w:evenVBand="0" w:oddHBand="0" w:evenHBand="0" w:firstRowFirstColumn="0" w:firstRowLastColumn="0" w:lastRowFirstColumn="0" w:lastRowLastColumn="0"/>
          <w:trHeight w:val="21"/>
          <w:tblHeader/>
        </w:trPr>
        <w:tc>
          <w:tcPr>
            <w:tcW w:w="1177" w:type="pct"/>
          </w:tcPr>
          <w:p w14:paraId="7217DE33" w14:textId="677FF64A" w:rsidR="00FD0C6C" w:rsidRPr="00FD0C6C" w:rsidRDefault="00FD0C6C" w:rsidP="00FD0C6C">
            <w:pPr>
              <w:rPr>
                <w:rFonts w:eastAsia="Calibri"/>
              </w:rPr>
            </w:pPr>
            <w:r w:rsidRPr="00FD0C6C">
              <w:rPr>
                <w:rFonts w:eastAsia="Calibri"/>
              </w:rPr>
              <w:t>Process</w:t>
            </w:r>
          </w:p>
        </w:tc>
        <w:tc>
          <w:tcPr>
            <w:tcW w:w="3823" w:type="pct"/>
          </w:tcPr>
          <w:p w14:paraId="1EB31A62" w14:textId="166400EC" w:rsidR="00FD0C6C" w:rsidRPr="00FD0C6C" w:rsidRDefault="00FD0C6C" w:rsidP="00FD0C6C">
            <w:pPr>
              <w:rPr>
                <w:rFonts w:eastAsia="Calibri"/>
              </w:rPr>
            </w:pPr>
            <w:r w:rsidRPr="00FD0C6C">
              <w:rPr>
                <w:rFonts w:eastAsia="Calibri"/>
              </w:rPr>
              <w:t>Description</w:t>
            </w:r>
          </w:p>
        </w:tc>
      </w:tr>
      <w:tr w:rsidR="00FD0C6C" w:rsidRPr="00FD0C6C" w14:paraId="0C17AB37" w14:textId="77777777" w:rsidTr="0038493B">
        <w:trPr>
          <w:trHeight w:val="526"/>
        </w:trPr>
        <w:tc>
          <w:tcPr>
            <w:tcW w:w="1177" w:type="pct"/>
          </w:tcPr>
          <w:p w14:paraId="2887CF8E" w14:textId="22A215CC" w:rsidR="00FD0C6C" w:rsidRPr="00FD0C6C" w:rsidRDefault="00FD0C6C" w:rsidP="00FD0C6C">
            <w:pPr>
              <w:rPr>
                <w:rFonts w:eastAsia="Calibri"/>
              </w:rPr>
            </w:pPr>
            <w:r w:rsidRPr="00FD0C6C">
              <w:rPr>
                <w:rFonts w:eastAsia="Calibri"/>
              </w:rPr>
              <w:t xml:space="preserve">Administration process </w:t>
            </w:r>
          </w:p>
        </w:tc>
        <w:tc>
          <w:tcPr>
            <w:tcW w:w="3823" w:type="pct"/>
          </w:tcPr>
          <w:p w14:paraId="7D3241EA" w14:textId="76CABBB8" w:rsidR="00FD0C6C" w:rsidRPr="00FD0C6C" w:rsidRDefault="00FD0C6C" w:rsidP="00FD0C6C">
            <w:pPr>
              <w:rPr>
                <w:rFonts w:eastAsia="Calibri"/>
              </w:rPr>
            </w:pPr>
            <w:r>
              <w:rPr>
                <w:rFonts w:eastAsia="Calibri"/>
              </w:rPr>
              <w:t>T</w:t>
            </w:r>
            <w:r w:rsidRPr="00FD0C6C">
              <w:rPr>
                <w:rFonts w:eastAsia="Calibri"/>
              </w:rPr>
              <w:t xml:space="preserve">his step encompasses re-assessment of the need for the medicine, the selection of the correct medicine and appropriate preparation and administration of the medicine by a suitable skilled clinician to the correct patient on each occasion. This includes a record of administration as well. </w:t>
            </w:r>
          </w:p>
        </w:tc>
      </w:tr>
      <w:tr w:rsidR="00FD0C6C" w:rsidRPr="00FD0C6C" w14:paraId="5EBC8CA8" w14:textId="679AEC2E" w:rsidTr="0038493B">
        <w:trPr>
          <w:trHeight w:val="940"/>
        </w:trPr>
        <w:tc>
          <w:tcPr>
            <w:tcW w:w="1177" w:type="pct"/>
          </w:tcPr>
          <w:p w14:paraId="56CF0340" w14:textId="3F2AE72F" w:rsidR="00FD0C6C" w:rsidRPr="00FD0C6C" w:rsidRDefault="00FD0C6C" w:rsidP="00FD0C6C">
            <w:pPr>
              <w:rPr>
                <w:rFonts w:eastAsia="Calibri"/>
              </w:rPr>
            </w:pPr>
            <w:r w:rsidRPr="00FD0C6C">
              <w:rPr>
                <w:rFonts w:eastAsia="Calibri"/>
              </w:rPr>
              <w:t xml:space="preserve">Prescribing process </w:t>
            </w:r>
          </w:p>
        </w:tc>
        <w:tc>
          <w:tcPr>
            <w:tcW w:w="3823" w:type="pct"/>
          </w:tcPr>
          <w:p w14:paraId="4251F1BC" w14:textId="70D4C667" w:rsidR="00FD0C6C" w:rsidRPr="00FD0C6C" w:rsidRDefault="00FD0C6C" w:rsidP="00FD0C6C">
            <w:pPr>
              <w:rPr>
                <w:rFonts w:eastAsia="Calibri"/>
              </w:rPr>
            </w:pPr>
            <w:r>
              <w:rPr>
                <w:rFonts w:eastAsia="Calibri"/>
              </w:rPr>
              <w:t>T</w:t>
            </w:r>
            <w:r w:rsidRPr="00FD0C6C">
              <w:rPr>
                <w:rFonts w:eastAsia="Calibri"/>
              </w:rPr>
              <w:t>his step relates to the prescriber and their need for accurate, comprehensive, complete and up-to-date patient specific information to assess the most suitable treatment option in light of the best available evidence and the patient’s treatment goal. This step also includes the record of the medicine order on the medication chart or prescription by the prescriber. The medicine order needs to be legible, unambiguous and contain enough information to support the use of the medication as intended. Where a medication history or co-morbidities dictate use of a medicine that has not been charted or recharted, these incidents are included under prescribing process. Medicine orders that do not document the administration times in the administration section of the order have been included as part of a prescribing process problem for an incomplete order.</w:t>
            </w:r>
          </w:p>
        </w:tc>
      </w:tr>
      <w:tr w:rsidR="00FD0C6C" w:rsidRPr="00FD0C6C" w14:paraId="2B449D44" w14:textId="2F8620AF" w:rsidTr="0038493B">
        <w:trPr>
          <w:trHeight w:val="526"/>
        </w:trPr>
        <w:tc>
          <w:tcPr>
            <w:tcW w:w="1177" w:type="pct"/>
          </w:tcPr>
          <w:p w14:paraId="026D0424" w14:textId="6BF3D921" w:rsidR="00FD0C6C" w:rsidRPr="00FD0C6C" w:rsidRDefault="00FD0C6C" w:rsidP="00FD0C6C">
            <w:pPr>
              <w:rPr>
                <w:rFonts w:eastAsia="Calibri"/>
              </w:rPr>
            </w:pPr>
            <w:r w:rsidRPr="00FD0C6C">
              <w:rPr>
                <w:rFonts w:eastAsia="Calibri"/>
              </w:rPr>
              <w:t xml:space="preserve">Dispensing process </w:t>
            </w:r>
          </w:p>
        </w:tc>
        <w:tc>
          <w:tcPr>
            <w:tcW w:w="3823" w:type="pct"/>
          </w:tcPr>
          <w:p w14:paraId="7182077A" w14:textId="120B6723" w:rsidR="00FD0C6C" w:rsidRPr="00FD0C6C" w:rsidRDefault="00FD0C6C" w:rsidP="00FD0C6C">
            <w:pPr>
              <w:rPr>
                <w:rFonts w:eastAsia="Calibri"/>
              </w:rPr>
            </w:pPr>
            <w:r>
              <w:rPr>
                <w:rFonts w:eastAsia="Calibri"/>
              </w:rPr>
              <w:t>T</w:t>
            </w:r>
            <w:r w:rsidRPr="00FD0C6C">
              <w:rPr>
                <w:rFonts w:eastAsia="Calibri"/>
              </w:rPr>
              <w:t xml:space="preserve">his step includes the process of dispensing the medication from a pharmacy undertaken by a pharmacist. The correct medicine should be manufactured or selected, then labelled fully and clearly, in line with legislative requirements and a record is made in the pharmacy’s dispensing software. </w:t>
            </w:r>
          </w:p>
        </w:tc>
      </w:tr>
      <w:tr w:rsidR="00FD0C6C" w:rsidRPr="00FD0C6C" w14:paraId="1DB412FD" w14:textId="7A8B8120" w:rsidTr="0038493B">
        <w:trPr>
          <w:trHeight w:val="112"/>
        </w:trPr>
        <w:tc>
          <w:tcPr>
            <w:tcW w:w="1177" w:type="pct"/>
          </w:tcPr>
          <w:p w14:paraId="0251F86D" w14:textId="38F7595E" w:rsidR="00FD0C6C" w:rsidRPr="00FD0C6C" w:rsidRDefault="00FD0C6C" w:rsidP="00FD0C6C">
            <w:pPr>
              <w:rPr>
                <w:rFonts w:eastAsia="Calibri"/>
              </w:rPr>
            </w:pPr>
            <w:r w:rsidRPr="00FD0C6C">
              <w:rPr>
                <w:rFonts w:eastAsia="Calibri"/>
              </w:rPr>
              <w:t xml:space="preserve">Supply process </w:t>
            </w:r>
          </w:p>
        </w:tc>
        <w:tc>
          <w:tcPr>
            <w:tcW w:w="3823" w:type="pct"/>
          </w:tcPr>
          <w:p w14:paraId="7025FC39" w14:textId="0C6C70FB" w:rsidR="00FD0C6C" w:rsidRPr="00FD0C6C" w:rsidRDefault="00FD0C6C" w:rsidP="00FD0C6C">
            <w:pPr>
              <w:rPr>
                <w:rFonts w:eastAsia="Calibri"/>
              </w:rPr>
            </w:pPr>
            <w:r>
              <w:rPr>
                <w:rFonts w:eastAsia="Calibri"/>
              </w:rPr>
              <w:t>T</w:t>
            </w:r>
            <w:r w:rsidRPr="00FD0C6C">
              <w:rPr>
                <w:rFonts w:eastAsia="Calibri"/>
              </w:rPr>
              <w:t xml:space="preserve">his step involves the distribution of medication to the ward or unit. </w:t>
            </w:r>
          </w:p>
        </w:tc>
      </w:tr>
      <w:tr w:rsidR="00FD0C6C" w:rsidRPr="00FD0C6C" w14:paraId="3524DF5A" w14:textId="0923236C" w:rsidTr="0038493B">
        <w:trPr>
          <w:trHeight w:val="388"/>
        </w:trPr>
        <w:tc>
          <w:tcPr>
            <w:tcW w:w="1177" w:type="pct"/>
          </w:tcPr>
          <w:p w14:paraId="20493FE4" w14:textId="3A07CA0D" w:rsidR="00FD0C6C" w:rsidRPr="00FD0C6C" w:rsidRDefault="00FD0C6C" w:rsidP="00FD0C6C">
            <w:pPr>
              <w:rPr>
                <w:rFonts w:eastAsia="Calibri"/>
              </w:rPr>
            </w:pPr>
            <w:r w:rsidRPr="00FD0C6C">
              <w:rPr>
                <w:rFonts w:eastAsia="Calibri"/>
              </w:rPr>
              <w:t xml:space="preserve">Storage process </w:t>
            </w:r>
          </w:p>
        </w:tc>
        <w:tc>
          <w:tcPr>
            <w:tcW w:w="3823" w:type="pct"/>
          </w:tcPr>
          <w:p w14:paraId="3D95060D" w14:textId="55157A13" w:rsidR="00FD0C6C" w:rsidRPr="00FD0C6C" w:rsidRDefault="00FD0C6C" w:rsidP="00FD0C6C">
            <w:pPr>
              <w:rPr>
                <w:rFonts w:eastAsia="Calibri"/>
              </w:rPr>
            </w:pPr>
            <w:r>
              <w:rPr>
                <w:rFonts w:eastAsia="Calibri"/>
              </w:rPr>
              <w:t>T</w:t>
            </w:r>
            <w:r w:rsidRPr="00FD0C6C">
              <w:rPr>
                <w:rFonts w:eastAsia="Calibri"/>
              </w:rPr>
              <w:t xml:space="preserve">his process relates to the storage of the medication and encompasses any special storage conditions related to stability of the medication or legislative requirements. </w:t>
            </w:r>
          </w:p>
        </w:tc>
      </w:tr>
      <w:tr w:rsidR="00FD0C6C" w:rsidRPr="00FD0C6C" w14:paraId="2DE4C746" w14:textId="78D64A54" w:rsidTr="0038493B">
        <w:trPr>
          <w:trHeight w:val="250"/>
        </w:trPr>
        <w:tc>
          <w:tcPr>
            <w:tcW w:w="1177" w:type="pct"/>
          </w:tcPr>
          <w:p w14:paraId="62994B25" w14:textId="64C096A7" w:rsidR="00FD0C6C" w:rsidRPr="00FD0C6C" w:rsidRDefault="00FD0C6C" w:rsidP="00FD0C6C">
            <w:pPr>
              <w:rPr>
                <w:rFonts w:eastAsia="Calibri"/>
              </w:rPr>
            </w:pPr>
            <w:r w:rsidRPr="00FD0C6C">
              <w:rPr>
                <w:rFonts w:eastAsia="Calibri"/>
              </w:rPr>
              <w:t>Self-</w:t>
            </w:r>
            <w:r>
              <w:rPr>
                <w:rFonts w:eastAsia="Calibri"/>
              </w:rPr>
              <w:t>a</w:t>
            </w:r>
            <w:r w:rsidRPr="00FD0C6C">
              <w:rPr>
                <w:rFonts w:eastAsia="Calibri"/>
              </w:rPr>
              <w:t xml:space="preserve">dministration process </w:t>
            </w:r>
          </w:p>
        </w:tc>
        <w:tc>
          <w:tcPr>
            <w:tcW w:w="3823" w:type="pct"/>
          </w:tcPr>
          <w:p w14:paraId="78AAD578" w14:textId="503964E2" w:rsidR="00FD0C6C" w:rsidRPr="00FD0C6C" w:rsidRDefault="00FD0C6C" w:rsidP="00FD0C6C">
            <w:pPr>
              <w:rPr>
                <w:rFonts w:eastAsia="Calibri"/>
              </w:rPr>
            </w:pPr>
            <w:r>
              <w:rPr>
                <w:rFonts w:eastAsia="Calibri"/>
              </w:rPr>
              <w:t>T</w:t>
            </w:r>
            <w:r w:rsidRPr="00FD0C6C">
              <w:rPr>
                <w:rFonts w:eastAsia="Calibri"/>
              </w:rPr>
              <w:t>his process relates to a patient self-administering a medication</w:t>
            </w:r>
            <w:r w:rsidR="00C66329">
              <w:rPr>
                <w:rFonts w:eastAsia="Calibri"/>
              </w:rPr>
              <w:t>.</w:t>
            </w:r>
          </w:p>
        </w:tc>
      </w:tr>
      <w:tr w:rsidR="00FD0C6C" w:rsidRPr="00FD0C6C" w14:paraId="4FCDDC58" w14:textId="0A4C6003" w:rsidTr="0038493B">
        <w:trPr>
          <w:trHeight w:val="250"/>
        </w:trPr>
        <w:tc>
          <w:tcPr>
            <w:tcW w:w="1177" w:type="pct"/>
          </w:tcPr>
          <w:p w14:paraId="3CBD936F" w14:textId="4B607609" w:rsidR="00FD0C6C" w:rsidRPr="00FD0C6C" w:rsidRDefault="00FD0C6C" w:rsidP="00FD0C6C">
            <w:pPr>
              <w:rPr>
                <w:rFonts w:eastAsia="Calibri"/>
              </w:rPr>
            </w:pPr>
            <w:r w:rsidRPr="00FD0C6C">
              <w:rPr>
                <w:rFonts w:eastAsia="Calibri"/>
              </w:rPr>
              <w:t xml:space="preserve">Post monitoring process </w:t>
            </w:r>
          </w:p>
        </w:tc>
        <w:tc>
          <w:tcPr>
            <w:tcW w:w="3823" w:type="pct"/>
          </w:tcPr>
          <w:p w14:paraId="54143242" w14:textId="4595E482" w:rsidR="00FD0C6C" w:rsidRPr="00FD0C6C" w:rsidRDefault="00FD0C6C" w:rsidP="00FD0C6C">
            <w:pPr>
              <w:rPr>
                <w:rFonts w:eastAsia="Calibri"/>
              </w:rPr>
            </w:pPr>
            <w:r>
              <w:rPr>
                <w:rFonts w:eastAsia="Calibri"/>
              </w:rPr>
              <w:t>T</w:t>
            </w:r>
            <w:r w:rsidRPr="00FD0C6C">
              <w:rPr>
                <w:rFonts w:eastAsia="Calibri"/>
              </w:rPr>
              <w:t xml:space="preserve">he step encompasses a suitable skilled clinician to assess the patient and the effect that the prescribed medication is having. </w:t>
            </w:r>
          </w:p>
        </w:tc>
      </w:tr>
      <w:tr w:rsidR="00FD0C6C" w:rsidRPr="00FD0C6C" w14:paraId="1A8046CD" w14:textId="7AC0E1B7" w:rsidTr="0038493B">
        <w:trPr>
          <w:trHeight w:val="250"/>
        </w:trPr>
        <w:tc>
          <w:tcPr>
            <w:tcW w:w="1177" w:type="pct"/>
          </w:tcPr>
          <w:p w14:paraId="278AFFB3" w14:textId="4E9D0A4A" w:rsidR="00FD0C6C" w:rsidRPr="00FD0C6C" w:rsidRDefault="00FD0C6C" w:rsidP="00FD0C6C">
            <w:pPr>
              <w:rPr>
                <w:rFonts w:eastAsia="Calibri"/>
              </w:rPr>
            </w:pPr>
            <w:r w:rsidRPr="00FD0C6C">
              <w:rPr>
                <w:rFonts w:eastAsia="Calibri"/>
              </w:rPr>
              <w:t xml:space="preserve">Documentation process </w:t>
            </w:r>
          </w:p>
        </w:tc>
        <w:tc>
          <w:tcPr>
            <w:tcW w:w="3823" w:type="pct"/>
          </w:tcPr>
          <w:p w14:paraId="0BC97F8B" w14:textId="69F66FEF" w:rsidR="00FD0C6C" w:rsidRPr="00FD0C6C" w:rsidRDefault="00FD0C6C" w:rsidP="00FD0C6C">
            <w:pPr>
              <w:rPr>
                <w:rFonts w:eastAsia="Calibri"/>
              </w:rPr>
            </w:pPr>
            <w:r>
              <w:rPr>
                <w:rFonts w:eastAsia="Calibri"/>
              </w:rPr>
              <w:t>T</w:t>
            </w:r>
            <w:r w:rsidRPr="00FD0C6C">
              <w:rPr>
                <w:rFonts w:eastAsia="Calibri"/>
              </w:rPr>
              <w:t>his step relates to incomplete or incorrect documentation in the medical record or the medication order/prescription</w:t>
            </w:r>
            <w:r w:rsidR="00C66329">
              <w:rPr>
                <w:rFonts w:eastAsia="Calibri"/>
              </w:rPr>
              <w:t>.</w:t>
            </w:r>
          </w:p>
        </w:tc>
      </w:tr>
      <w:tr w:rsidR="00FD0C6C" w:rsidRPr="00FD0C6C" w14:paraId="2CE41B69" w14:textId="200FC8E0" w:rsidTr="0038493B">
        <w:trPr>
          <w:trHeight w:val="250"/>
        </w:trPr>
        <w:tc>
          <w:tcPr>
            <w:tcW w:w="1177" w:type="pct"/>
          </w:tcPr>
          <w:p w14:paraId="4628F8F8" w14:textId="79A09C9C" w:rsidR="00FD0C6C" w:rsidRPr="00FD0C6C" w:rsidRDefault="00FD0C6C" w:rsidP="00FD0C6C">
            <w:pPr>
              <w:rPr>
                <w:rFonts w:eastAsia="Calibri"/>
              </w:rPr>
            </w:pPr>
            <w:r w:rsidRPr="00FD0C6C">
              <w:rPr>
                <w:rFonts w:eastAsia="Calibri"/>
              </w:rPr>
              <w:t xml:space="preserve">Consumer advice and information </w:t>
            </w:r>
          </w:p>
        </w:tc>
        <w:tc>
          <w:tcPr>
            <w:tcW w:w="3823" w:type="pct"/>
          </w:tcPr>
          <w:p w14:paraId="35BB001F" w14:textId="6322A39E" w:rsidR="00FD0C6C" w:rsidRPr="00FD0C6C" w:rsidRDefault="00FD0C6C" w:rsidP="00FD0C6C">
            <w:pPr>
              <w:rPr>
                <w:rFonts w:eastAsia="Calibri"/>
              </w:rPr>
            </w:pPr>
            <w:r>
              <w:rPr>
                <w:rFonts w:eastAsia="Calibri"/>
              </w:rPr>
              <w:t>T</w:t>
            </w:r>
            <w:r w:rsidRPr="00FD0C6C">
              <w:rPr>
                <w:rFonts w:eastAsia="Calibri"/>
              </w:rPr>
              <w:t>his process relates to the provision of information to the patient</w:t>
            </w:r>
            <w:r w:rsidR="00C66329">
              <w:rPr>
                <w:rFonts w:eastAsia="Calibri"/>
              </w:rPr>
              <w:t>.</w:t>
            </w:r>
          </w:p>
        </w:tc>
      </w:tr>
    </w:tbl>
    <w:p w14:paraId="45FC5267" w14:textId="77777777" w:rsidR="00F556F8" w:rsidRPr="00220F33" w:rsidRDefault="00F556F8" w:rsidP="00F556F8">
      <w:pPr>
        <w:spacing w:line="276" w:lineRule="auto"/>
        <w:rPr>
          <w:rFonts w:ascii="Calibri" w:eastAsia="Calibri" w:hAnsi="Calibri"/>
          <w:lang w:eastAsia="en-US"/>
        </w:rPr>
      </w:pPr>
    </w:p>
    <w:p w14:paraId="77787B90" w14:textId="77777777" w:rsidR="00F556F8" w:rsidRDefault="00F556F8">
      <w:pPr>
        <w:spacing w:after="80"/>
        <w:rPr>
          <w:rFonts w:ascii="Calibri" w:eastAsia="Calibri" w:hAnsi="Calibri" w:cs="Calibri"/>
          <w:b/>
          <w:lang w:eastAsia="en-US"/>
        </w:rPr>
      </w:pPr>
      <w:r>
        <w:rPr>
          <w:rFonts w:ascii="Calibri" w:eastAsia="Calibri" w:hAnsi="Calibri" w:cs="Calibri"/>
          <w:b/>
          <w:lang w:eastAsia="en-US"/>
        </w:rPr>
        <w:br w:type="page"/>
      </w:r>
    </w:p>
    <w:p w14:paraId="784FA5D2" w14:textId="3D9493E1" w:rsidR="00220F33" w:rsidRPr="00ED71BB" w:rsidRDefault="001965D1" w:rsidP="00B06813">
      <w:pPr>
        <w:pStyle w:val="Caption"/>
        <w:spacing w:after="0"/>
        <w:rPr>
          <w:rFonts w:eastAsia="Calibri"/>
          <w:lang w:eastAsia="en-US"/>
        </w:rPr>
      </w:pPr>
      <w:r w:rsidRPr="00ED71BB">
        <w:rPr>
          <w:rFonts w:eastAsia="Calibri"/>
          <w:lang w:eastAsia="en-US"/>
        </w:rPr>
        <w:lastRenderedPageBreak/>
        <w:t>T</w:t>
      </w:r>
      <w:r w:rsidR="00810A60" w:rsidRPr="00ED71BB">
        <w:rPr>
          <w:rFonts w:eastAsia="Calibri"/>
          <w:lang w:eastAsia="en-US"/>
        </w:rPr>
        <w:t>able C</w:t>
      </w:r>
      <w:r w:rsidR="0038493B">
        <w:rPr>
          <w:rFonts w:eastAsia="Calibri"/>
          <w:lang w:eastAsia="en-US"/>
        </w:rPr>
        <w:t>:</w:t>
      </w:r>
      <w:r w:rsidR="00810A60" w:rsidRPr="00ED71BB">
        <w:rPr>
          <w:rFonts w:eastAsia="Calibri"/>
          <w:lang w:eastAsia="en-US"/>
        </w:rPr>
        <w:t xml:space="preserve"> Incident type</w:t>
      </w:r>
    </w:p>
    <w:tbl>
      <w:tblPr>
        <w:tblStyle w:val="TableGrid"/>
        <w:tblW w:w="5000" w:type="pct"/>
        <w:tblLayout w:type="fixed"/>
        <w:tblLook w:val="0600" w:firstRow="0" w:lastRow="0" w:firstColumn="0" w:lastColumn="0" w:noHBand="1" w:noVBand="1"/>
        <w:tblDescription w:val="Table C: Incident type"/>
      </w:tblPr>
      <w:tblGrid>
        <w:gridCol w:w="4962"/>
        <w:gridCol w:w="4064"/>
      </w:tblGrid>
      <w:tr w:rsidR="00B06813" w:rsidRPr="00B06813" w14:paraId="57842306" w14:textId="77777777" w:rsidTr="00B06813">
        <w:trPr>
          <w:trHeight w:val="57"/>
          <w:tblHeader/>
        </w:trPr>
        <w:tc>
          <w:tcPr>
            <w:tcW w:w="2749" w:type="pct"/>
            <w:tcBorders>
              <w:top w:val="nil"/>
              <w:left w:val="nil"/>
              <w:bottom w:val="single" w:sz="4" w:space="0" w:color="auto"/>
              <w:right w:val="nil"/>
            </w:tcBorders>
          </w:tcPr>
          <w:p w14:paraId="28E000F7" w14:textId="77777777" w:rsidR="00053B38" w:rsidRPr="00B06813" w:rsidRDefault="00053B38" w:rsidP="00B06813">
            <w:pPr>
              <w:rPr>
                <w:color w:val="FFFFFF" w:themeColor="background1"/>
                <w:sz w:val="2"/>
                <w:szCs w:val="2"/>
              </w:rPr>
            </w:pPr>
            <w:r w:rsidRPr="00B06813">
              <w:rPr>
                <w:rFonts w:eastAsia="Calibri"/>
                <w:color w:val="FFFFFF" w:themeColor="background1"/>
                <w:sz w:val="2"/>
                <w:szCs w:val="2"/>
              </w:rPr>
              <w:t>Incident type</w:t>
            </w:r>
          </w:p>
        </w:tc>
        <w:tc>
          <w:tcPr>
            <w:tcW w:w="2251" w:type="pct"/>
            <w:tcBorders>
              <w:top w:val="nil"/>
              <w:left w:val="nil"/>
              <w:bottom w:val="single" w:sz="4" w:space="0" w:color="auto"/>
              <w:right w:val="nil"/>
            </w:tcBorders>
          </w:tcPr>
          <w:p w14:paraId="3491C6CB" w14:textId="77777777" w:rsidR="00053B38" w:rsidRPr="00B06813" w:rsidRDefault="00053B38" w:rsidP="00B06813">
            <w:pPr>
              <w:rPr>
                <w:color w:val="FFFFFF" w:themeColor="background1"/>
                <w:sz w:val="2"/>
                <w:szCs w:val="2"/>
              </w:rPr>
            </w:pPr>
            <w:r w:rsidRPr="00B06813">
              <w:rPr>
                <w:rFonts w:eastAsia="Calibri"/>
                <w:color w:val="FFFFFF" w:themeColor="background1"/>
                <w:sz w:val="2"/>
                <w:szCs w:val="2"/>
              </w:rPr>
              <w:t>Incident type</w:t>
            </w:r>
          </w:p>
        </w:tc>
      </w:tr>
      <w:tr w:rsidR="0038493B" w:rsidRPr="00B06813" w14:paraId="55336A03" w14:textId="77777777" w:rsidTr="00B06813">
        <w:tc>
          <w:tcPr>
            <w:tcW w:w="2749" w:type="pct"/>
            <w:tcBorders>
              <w:top w:val="single" w:sz="4" w:space="0" w:color="auto"/>
            </w:tcBorders>
          </w:tcPr>
          <w:p w14:paraId="29075B9A" w14:textId="793F667C" w:rsidR="0038493B" w:rsidRPr="00B06813" w:rsidRDefault="0038493B" w:rsidP="00B06813">
            <w:r w:rsidRPr="00B06813">
              <w:t xml:space="preserve">Omitted dose </w:t>
            </w:r>
          </w:p>
        </w:tc>
        <w:tc>
          <w:tcPr>
            <w:tcW w:w="2251" w:type="pct"/>
            <w:tcBorders>
              <w:top w:val="single" w:sz="4" w:space="0" w:color="auto"/>
            </w:tcBorders>
          </w:tcPr>
          <w:p w14:paraId="1A51F512" w14:textId="34E29A89" w:rsidR="0038493B" w:rsidRPr="00B06813" w:rsidRDefault="0038493B" w:rsidP="00B06813">
            <w:r w:rsidRPr="00B06813">
              <w:t xml:space="preserve">Illegible prescription </w:t>
            </w:r>
          </w:p>
        </w:tc>
      </w:tr>
      <w:tr w:rsidR="0038493B" w:rsidRPr="00B06813" w14:paraId="09866C02" w14:textId="77777777" w:rsidTr="00B06813">
        <w:tc>
          <w:tcPr>
            <w:tcW w:w="2749" w:type="pct"/>
          </w:tcPr>
          <w:p w14:paraId="18C112F8" w14:textId="104BACD8" w:rsidR="0038493B" w:rsidRPr="00B06813" w:rsidRDefault="0038493B" w:rsidP="00B06813">
            <w:r w:rsidRPr="00B06813">
              <w:t xml:space="preserve">Incorrect dose </w:t>
            </w:r>
          </w:p>
        </w:tc>
        <w:tc>
          <w:tcPr>
            <w:tcW w:w="2251" w:type="pct"/>
          </w:tcPr>
          <w:p w14:paraId="4A9321D9" w14:textId="744F48E4" w:rsidR="0038493B" w:rsidRPr="00B06813" w:rsidRDefault="0038493B" w:rsidP="00B06813">
            <w:r w:rsidRPr="00B06813">
              <w:t xml:space="preserve">Supplied without prescription </w:t>
            </w:r>
          </w:p>
        </w:tc>
      </w:tr>
      <w:tr w:rsidR="0038493B" w:rsidRPr="00B06813" w14:paraId="53DF71A4" w14:textId="77777777" w:rsidTr="00B06813">
        <w:tc>
          <w:tcPr>
            <w:tcW w:w="2749" w:type="pct"/>
          </w:tcPr>
          <w:p w14:paraId="6B2BB229" w14:textId="615FEFB1" w:rsidR="0038493B" w:rsidRPr="00B06813" w:rsidRDefault="0038493B" w:rsidP="00B06813">
            <w:r w:rsidRPr="00B06813">
              <w:t xml:space="preserve">Incomplete prescription </w:t>
            </w:r>
          </w:p>
        </w:tc>
        <w:tc>
          <w:tcPr>
            <w:tcW w:w="2251" w:type="pct"/>
          </w:tcPr>
          <w:p w14:paraId="44783D96" w14:textId="0CE63812" w:rsidR="0038493B" w:rsidRPr="00B06813" w:rsidRDefault="0038493B" w:rsidP="00B06813">
            <w:r w:rsidRPr="00B06813">
              <w:t xml:space="preserve">Medication not prescribed </w:t>
            </w:r>
          </w:p>
        </w:tc>
      </w:tr>
      <w:tr w:rsidR="0038493B" w:rsidRPr="00B06813" w14:paraId="49C2A34A" w14:textId="77777777" w:rsidTr="00B06813">
        <w:tc>
          <w:tcPr>
            <w:tcW w:w="2749" w:type="pct"/>
          </w:tcPr>
          <w:p w14:paraId="28582EAC" w14:textId="387B5562" w:rsidR="0038493B" w:rsidRPr="00B06813" w:rsidRDefault="0038493B" w:rsidP="00B06813">
            <w:r w:rsidRPr="00B06813">
              <w:t xml:space="preserve">Premature dosing </w:t>
            </w:r>
          </w:p>
        </w:tc>
        <w:tc>
          <w:tcPr>
            <w:tcW w:w="2251" w:type="pct"/>
          </w:tcPr>
          <w:p w14:paraId="48539687" w14:textId="7701D085" w:rsidR="0038493B" w:rsidRPr="00B06813" w:rsidRDefault="0038493B" w:rsidP="00B06813">
            <w:r w:rsidRPr="00B06813">
              <w:t xml:space="preserve">Incorrect strength </w:t>
            </w:r>
          </w:p>
        </w:tc>
      </w:tr>
      <w:tr w:rsidR="0038493B" w:rsidRPr="00B06813" w14:paraId="29556225" w14:textId="77777777" w:rsidTr="00B06813">
        <w:tc>
          <w:tcPr>
            <w:tcW w:w="2749" w:type="pct"/>
          </w:tcPr>
          <w:p w14:paraId="4449466C" w14:textId="5AE0502C" w:rsidR="0038493B" w:rsidRPr="00B06813" w:rsidRDefault="0038493B" w:rsidP="00B06813">
            <w:r w:rsidRPr="00B06813">
              <w:t xml:space="preserve">Incorrect rate of administration </w:t>
            </w:r>
          </w:p>
        </w:tc>
        <w:tc>
          <w:tcPr>
            <w:tcW w:w="2251" w:type="pct"/>
          </w:tcPr>
          <w:p w14:paraId="317324BE" w14:textId="1BA9712F" w:rsidR="0038493B" w:rsidRPr="00B06813" w:rsidRDefault="0038493B" w:rsidP="00B06813">
            <w:r w:rsidRPr="00B06813">
              <w:t xml:space="preserve">Failure to administer </w:t>
            </w:r>
          </w:p>
        </w:tc>
      </w:tr>
      <w:tr w:rsidR="0038493B" w:rsidRPr="00B06813" w14:paraId="0F020480" w14:textId="77777777" w:rsidTr="00B06813">
        <w:tc>
          <w:tcPr>
            <w:tcW w:w="2749" w:type="pct"/>
          </w:tcPr>
          <w:p w14:paraId="43626A48" w14:textId="6A70881D" w:rsidR="0038493B" w:rsidRPr="00B06813" w:rsidRDefault="0038493B" w:rsidP="00B06813">
            <w:r w:rsidRPr="00B06813">
              <w:t xml:space="preserve">Duplicate dose </w:t>
            </w:r>
          </w:p>
        </w:tc>
        <w:tc>
          <w:tcPr>
            <w:tcW w:w="2251" w:type="pct"/>
          </w:tcPr>
          <w:p w14:paraId="1BFB33E1" w14:textId="4E67DD15" w:rsidR="0038493B" w:rsidRPr="00B06813" w:rsidRDefault="0038493B" w:rsidP="00B06813">
            <w:r w:rsidRPr="00B06813">
              <w:t xml:space="preserve">Contraindication </w:t>
            </w:r>
          </w:p>
        </w:tc>
      </w:tr>
      <w:tr w:rsidR="0038493B" w:rsidRPr="00B06813" w14:paraId="49E35B19" w14:textId="77777777" w:rsidTr="00B06813">
        <w:tc>
          <w:tcPr>
            <w:tcW w:w="2749" w:type="pct"/>
          </w:tcPr>
          <w:p w14:paraId="73544260" w14:textId="7A22C275" w:rsidR="0038493B" w:rsidRPr="00B06813" w:rsidRDefault="0038493B" w:rsidP="00B06813">
            <w:r w:rsidRPr="00B06813">
              <w:t xml:space="preserve">Administered when should have been withheld </w:t>
            </w:r>
          </w:p>
        </w:tc>
        <w:tc>
          <w:tcPr>
            <w:tcW w:w="2251" w:type="pct"/>
          </w:tcPr>
          <w:p w14:paraId="050C74A4" w14:textId="019953A3" w:rsidR="0038493B" w:rsidRPr="00B06813" w:rsidRDefault="0038493B" w:rsidP="00B06813">
            <w:r w:rsidRPr="00B06813">
              <w:t xml:space="preserve">Bolus dose given when not required </w:t>
            </w:r>
          </w:p>
        </w:tc>
      </w:tr>
      <w:tr w:rsidR="0038493B" w:rsidRPr="00B06813" w14:paraId="7CC43B2D" w14:textId="77777777" w:rsidTr="00B06813">
        <w:tc>
          <w:tcPr>
            <w:tcW w:w="2749" w:type="pct"/>
          </w:tcPr>
          <w:p w14:paraId="27BAF271" w14:textId="228B015C" w:rsidR="0038493B" w:rsidRPr="00B06813" w:rsidRDefault="0038493B" w:rsidP="00B06813">
            <w:r w:rsidRPr="00B06813">
              <w:t xml:space="preserve">Incorrect patient </w:t>
            </w:r>
          </w:p>
        </w:tc>
        <w:tc>
          <w:tcPr>
            <w:tcW w:w="2251" w:type="pct"/>
          </w:tcPr>
          <w:p w14:paraId="22BE620C" w14:textId="722A41FE" w:rsidR="0038493B" w:rsidRPr="00B06813" w:rsidRDefault="0038493B" w:rsidP="00B06813">
            <w:r w:rsidRPr="00B06813">
              <w:t xml:space="preserve">Blood level monitoring not actioned </w:t>
            </w:r>
          </w:p>
        </w:tc>
      </w:tr>
      <w:tr w:rsidR="0038493B" w:rsidRPr="00B06813" w14:paraId="2463A5B1" w14:textId="77777777" w:rsidTr="00B06813">
        <w:tc>
          <w:tcPr>
            <w:tcW w:w="2749" w:type="pct"/>
          </w:tcPr>
          <w:p w14:paraId="37EFE551" w14:textId="49BFEDD4" w:rsidR="0038493B" w:rsidRPr="00B06813" w:rsidRDefault="0038493B" w:rsidP="00B06813">
            <w:r w:rsidRPr="00B06813">
              <w:t xml:space="preserve">Wrong formulation </w:t>
            </w:r>
          </w:p>
        </w:tc>
        <w:tc>
          <w:tcPr>
            <w:tcW w:w="2251" w:type="pct"/>
          </w:tcPr>
          <w:p w14:paraId="0C6F4982" w14:textId="5A32ACCD" w:rsidR="0038493B" w:rsidRPr="00B06813" w:rsidRDefault="0038493B" w:rsidP="00B06813">
            <w:r w:rsidRPr="00B06813">
              <w:t xml:space="preserve">Unclear labelling </w:t>
            </w:r>
          </w:p>
        </w:tc>
      </w:tr>
      <w:tr w:rsidR="0038493B" w:rsidRPr="00B06813" w14:paraId="741F268C" w14:textId="77777777" w:rsidTr="00B06813">
        <w:tc>
          <w:tcPr>
            <w:tcW w:w="2749" w:type="pct"/>
          </w:tcPr>
          <w:p w14:paraId="1521C834" w14:textId="07197761" w:rsidR="0038493B" w:rsidRPr="00B06813" w:rsidRDefault="0038493B" w:rsidP="00B06813">
            <w:r w:rsidRPr="00B06813">
              <w:t xml:space="preserve">Delayed dose </w:t>
            </w:r>
          </w:p>
        </w:tc>
        <w:tc>
          <w:tcPr>
            <w:tcW w:w="2251" w:type="pct"/>
          </w:tcPr>
          <w:p w14:paraId="1FED77F1" w14:textId="02F8C6BC" w:rsidR="0038493B" w:rsidRPr="00B06813" w:rsidRDefault="0038493B" w:rsidP="00B06813">
            <w:r w:rsidRPr="00B06813">
              <w:t xml:space="preserve">Unclear </w:t>
            </w:r>
          </w:p>
        </w:tc>
      </w:tr>
      <w:tr w:rsidR="0038493B" w:rsidRPr="00B06813" w14:paraId="3C19C05E" w14:textId="77777777" w:rsidTr="00B06813">
        <w:tc>
          <w:tcPr>
            <w:tcW w:w="2749" w:type="pct"/>
          </w:tcPr>
          <w:p w14:paraId="07AD96AB" w14:textId="77058306" w:rsidR="0038493B" w:rsidRPr="00B06813" w:rsidRDefault="0038493B" w:rsidP="00B06813">
            <w:r w:rsidRPr="00B06813">
              <w:t xml:space="preserve">Incorrect frequency </w:t>
            </w:r>
          </w:p>
        </w:tc>
        <w:tc>
          <w:tcPr>
            <w:tcW w:w="2251" w:type="pct"/>
          </w:tcPr>
          <w:p w14:paraId="424DC20A" w14:textId="1CECD053" w:rsidR="0038493B" w:rsidRPr="00B06813" w:rsidRDefault="0038493B" w:rsidP="00B06813">
            <w:r w:rsidRPr="00B06813">
              <w:t xml:space="preserve">Unauthorised self medication </w:t>
            </w:r>
          </w:p>
        </w:tc>
      </w:tr>
      <w:tr w:rsidR="0038493B" w:rsidRPr="00B06813" w14:paraId="4FF2F2E2" w14:textId="77777777" w:rsidTr="00B06813">
        <w:tc>
          <w:tcPr>
            <w:tcW w:w="2749" w:type="pct"/>
          </w:tcPr>
          <w:p w14:paraId="635F71C2" w14:textId="298085A0" w:rsidR="0038493B" w:rsidRPr="00B06813" w:rsidRDefault="0038493B" w:rsidP="00B06813">
            <w:r w:rsidRPr="00B06813">
              <w:t xml:space="preserve">Incorrect dilution </w:t>
            </w:r>
          </w:p>
        </w:tc>
        <w:tc>
          <w:tcPr>
            <w:tcW w:w="2251" w:type="pct"/>
          </w:tcPr>
          <w:p w14:paraId="7EE91C63" w14:textId="4400B235" w:rsidR="0038493B" w:rsidRPr="00B06813" w:rsidRDefault="0038493B" w:rsidP="00B06813">
            <w:r w:rsidRPr="00B06813">
              <w:t xml:space="preserve">Medication withheld inappropriately </w:t>
            </w:r>
          </w:p>
        </w:tc>
      </w:tr>
      <w:tr w:rsidR="0038493B" w:rsidRPr="00B06813" w14:paraId="104A1146" w14:textId="77777777" w:rsidTr="00B06813">
        <w:tc>
          <w:tcPr>
            <w:tcW w:w="2749" w:type="pct"/>
          </w:tcPr>
          <w:p w14:paraId="19367DD0" w14:textId="42931C1F" w:rsidR="0038493B" w:rsidRPr="00B06813" w:rsidRDefault="0038493B" w:rsidP="00B06813">
            <w:r w:rsidRPr="00B06813">
              <w:t xml:space="preserve">Infusion stopped inappropriately </w:t>
            </w:r>
          </w:p>
        </w:tc>
        <w:tc>
          <w:tcPr>
            <w:tcW w:w="2251" w:type="pct"/>
          </w:tcPr>
          <w:p w14:paraId="499911BB" w14:textId="69C1729E" w:rsidR="0038493B" w:rsidRPr="00B06813" w:rsidRDefault="0038493B" w:rsidP="00B06813">
            <w:r w:rsidRPr="00B06813">
              <w:t xml:space="preserve">Medical assessment issue </w:t>
            </w:r>
          </w:p>
        </w:tc>
      </w:tr>
      <w:tr w:rsidR="0038493B" w:rsidRPr="00B06813" w14:paraId="3FD6DEB2" w14:textId="77777777" w:rsidTr="00B06813">
        <w:tc>
          <w:tcPr>
            <w:tcW w:w="2749" w:type="pct"/>
          </w:tcPr>
          <w:p w14:paraId="09A193C7" w14:textId="20AAB8AA" w:rsidR="0038493B" w:rsidRPr="00B06813" w:rsidRDefault="0038493B" w:rsidP="00B06813">
            <w:r w:rsidRPr="00B06813">
              <w:t xml:space="preserve">Contraindication due to medical condition </w:t>
            </w:r>
          </w:p>
        </w:tc>
        <w:tc>
          <w:tcPr>
            <w:tcW w:w="2251" w:type="pct"/>
          </w:tcPr>
          <w:p w14:paraId="515EE07C" w14:textId="3D570FA9" w:rsidR="0038493B" w:rsidRPr="00B06813" w:rsidRDefault="0038493B" w:rsidP="00B06813">
            <w:r w:rsidRPr="00B06813">
              <w:t xml:space="preserve">Incorrect storage </w:t>
            </w:r>
          </w:p>
        </w:tc>
      </w:tr>
      <w:tr w:rsidR="0038493B" w:rsidRPr="00B06813" w14:paraId="24BB566B" w14:textId="77777777" w:rsidTr="00B06813">
        <w:tc>
          <w:tcPr>
            <w:tcW w:w="2749" w:type="pct"/>
          </w:tcPr>
          <w:p w14:paraId="3AA0DB09" w14:textId="507B1EB5" w:rsidR="0038493B" w:rsidRPr="00B06813" w:rsidRDefault="0038493B" w:rsidP="00B06813">
            <w:r w:rsidRPr="00B06813">
              <w:t xml:space="preserve">Incorrect medication </w:t>
            </w:r>
          </w:p>
        </w:tc>
        <w:tc>
          <w:tcPr>
            <w:tcW w:w="2251" w:type="pct"/>
          </w:tcPr>
          <w:p w14:paraId="38620DE2" w14:textId="50008E53" w:rsidR="0038493B" w:rsidRPr="00B06813" w:rsidRDefault="0038493B" w:rsidP="00B06813">
            <w:r w:rsidRPr="00B06813">
              <w:t xml:space="preserve">Incorrect quantity </w:t>
            </w:r>
          </w:p>
        </w:tc>
      </w:tr>
      <w:tr w:rsidR="0038493B" w:rsidRPr="00B06813" w14:paraId="5D39FB3D" w14:textId="77777777" w:rsidTr="00B06813">
        <w:tc>
          <w:tcPr>
            <w:tcW w:w="2749" w:type="pct"/>
          </w:tcPr>
          <w:p w14:paraId="0AD2B9CE" w14:textId="1E55F480" w:rsidR="0038493B" w:rsidRPr="00B06813" w:rsidRDefault="0038493B" w:rsidP="00B06813">
            <w:r w:rsidRPr="00B06813">
              <w:t xml:space="preserve">Duplicate therapy </w:t>
            </w:r>
          </w:p>
        </w:tc>
        <w:tc>
          <w:tcPr>
            <w:tcW w:w="2251" w:type="pct"/>
          </w:tcPr>
          <w:p w14:paraId="0C02A9D5" w14:textId="4060EE61" w:rsidR="0038493B" w:rsidRPr="00B06813" w:rsidRDefault="0038493B" w:rsidP="00B06813">
            <w:r w:rsidRPr="00B06813">
              <w:t xml:space="preserve">Incorrect labelling </w:t>
            </w:r>
          </w:p>
        </w:tc>
      </w:tr>
      <w:tr w:rsidR="0038493B" w:rsidRPr="00B06813" w14:paraId="7AD32C74" w14:textId="77777777" w:rsidTr="00B06813">
        <w:tc>
          <w:tcPr>
            <w:tcW w:w="2749" w:type="pct"/>
          </w:tcPr>
          <w:p w14:paraId="7AFDB165" w14:textId="629197CF" w:rsidR="0038493B" w:rsidRPr="00B06813" w:rsidRDefault="0038493B" w:rsidP="00B06813">
            <w:r w:rsidRPr="00B06813">
              <w:t xml:space="preserve">Incorrect formulation </w:t>
            </w:r>
          </w:p>
        </w:tc>
        <w:tc>
          <w:tcPr>
            <w:tcW w:w="2251" w:type="pct"/>
          </w:tcPr>
          <w:p w14:paraId="0ADDD223" w14:textId="61A5CC1D" w:rsidR="0038493B" w:rsidRPr="00B06813" w:rsidRDefault="0038493B" w:rsidP="00B06813">
            <w:r w:rsidRPr="00B06813">
              <w:t xml:space="preserve">Incorrect duration of treatment </w:t>
            </w:r>
          </w:p>
        </w:tc>
      </w:tr>
      <w:tr w:rsidR="0038493B" w:rsidRPr="00B06813" w14:paraId="2989C818" w14:textId="77777777" w:rsidTr="00B06813">
        <w:tc>
          <w:tcPr>
            <w:tcW w:w="2749" w:type="pct"/>
          </w:tcPr>
          <w:p w14:paraId="20EB1F4F" w14:textId="0679BAB7" w:rsidR="0038493B" w:rsidRPr="00B06813" w:rsidRDefault="0038493B" w:rsidP="00B06813">
            <w:r w:rsidRPr="00B06813">
              <w:t xml:space="preserve">Administered without prescription </w:t>
            </w:r>
          </w:p>
        </w:tc>
        <w:tc>
          <w:tcPr>
            <w:tcW w:w="2251" w:type="pct"/>
          </w:tcPr>
          <w:p w14:paraId="2AAF7E37" w14:textId="30945C50" w:rsidR="0038493B" w:rsidRPr="00B06813" w:rsidRDefault="0038493B" w:rsidP="00B06813">
            <w:r w:rsidRPr="00B06813">
              <w:t xml:space="preserve">Incorrect dose calculation </w:t>
            </w:r>
          </w:p>
        </w:tc>
      </w:tr>
      <w:tr w:rsidR="0038493B" w:rsidRPr="00B06813" w14:paraId="23C8BD8E" w14:textId="77777777" w:rsidTr="00B06813">
        <w:tc>
          <w:tcPr>
            <w:tcW w:w="2749" w:type="pct"/>
          </w:tcPr>
          <w:p w14:paraId="69C1CC76" w14:textId="06FCC225" w:rsidR="0038493B" w:rsidRPr="00B06813" w:rsidRDefault="0038493B" w:rsidP="00B06813">
            <w:r w:rsidRPr="00B06813">
              <w:t xml:space="preserve">Incorrect route of administration </w:t>
            </w:r>
          </w:p>
        </w:tc>
        <w:tc>
          <w:tcPr>
            <w:tcW w:w="2251" w:type="pct"/>
          </w:tcPr>
          <w:p w14:paraId="532DEC22" w14:textId="46A6327E" w:rsidR="0038493B" w:rsidRPr="00B06813" w:rsidRDefault="0038493B" w:rsidP="00B06813">
            <w:r w:rsidRPr="00B06813">
              <w:t xml:space="preserve">Incorrect documentation </w:t>
            </w:r>
          </w:p>
        </w:tc>
      </w:tr>
      <w:tr w:rsidR="0038493B" w:rsidRPr="00B06813" w14:paraId="2E42C831" w14:textId="77777777" w:rsidTr="00B06813">
        <w:tc>
          <w:tcPr>
            <w:tcW w:w="2749" w:type="pct"/>
          </w:tcPr>
          <w:p w14:paraId="50F149EF" w14:textId="29B0B9BE" w:rsidR="0038493B" w:rsidRPr="00B06813" w:rsidRDefault="0038493B" w:rsidP="00B06813">
            <w:r w:rsidRPr="00B06813">
              <w:t xml:space="preserve">Incorrect bolus dose </w:t>
            </w:r>
          </w:p>
        </w:tc>
        <w:tc>
          <w:tcPr>
            <w:tcW w:w="2251" w:type="pct"/>
          </w:tcPr>
          <w:p w14:paraId="5AACB258" w14:textId="70EBE5E9" w:rsidR="0038493B" w:rsidRPr="00B06813" w:rsidRDefault="0038493B" w:rsidP="00B06813">
            <w:r w:rsidRPr="00B06813">
              <w:t xml:space="preserve">Incorrect abbreviation </w:t>
            </w:r>
          </w:p>
        </w:tc>
      </w:tr>
      <w:tr w:rsidR="0038493B" w:rsidRPr="00B06813" w14:paraId="5F818631" w14:textId="77777777" w:rsidTr="00B06813">
        <w:tc>
          <w:tcPr>
            <w:tcW w:w="2749" w:type="pct"/>
          </w:tcPr>
          <w:p w14:paraId="44350FA9" w14:textId="7BD27F9E" w:rsidR="0038493B" w:rsidRPr="00B06813" w:rsidRDefault="0038493B" w:rsidP="00B06813">
            <w:r w:rsidRPr="00B06813">
              <w:t xml:space="preserve">Failure to monitor post dose </w:t>
            </w:r>
          </w:p>
        </w:tc>
        <w:tc>
          <w:tcPr>
            <w:tcW w:w="2251" w:type="pct"/>
          </w:tcPr>
          <w:p w14:paraId="0F663810" w14:textId="24E00931" w:rsidR="0038493B" w:rsidRPr="00B06813" w:rsidRDefault="0038493B" w:rsidP="00B06813">
            <w:r w:rsidRPr="00B06813">
              <w:t xml:space="preserve">Extravasation </w:t>
            </w:r>
          </w:p>
        </w:tc>
      </w:tr>
      <w:tr w:rsidR="0038493B" w:rsidRPr="00B06813" w14:paraId="0923196A" w14:textId="77777777" w:rsidTr="00B06813">
        <w:tc>
          <w:tcPr>
            <w:tcW w:w="2749" w:type="pct"/>
          </w:tcPr>
          <w:p w14:paraId="0A0D8979" w14:textId="5576C92F" w:rsidR="0038493B" w:rsidRPr="00B06813" w:rsidRDefault="0038493B" w:rsidP="00B06813">
            <w:r w:rsidRPr="00B06813">
              <w:t xml:space="preserve">Estimated patient weight – not patient actual weight used to determine dosing/rate of administration </w:t>
            </w:r>
          </w:p>
        </w:tc>
        <w:tc>
          <w:tcPr>
            <w:tcW w:w="2251" w:type="pct"/>
          </w:tcPr>
          <w:p w14:paraId="25214A10" w14:textId="41CD65DB" w:rsidR="0038493B" w:rsidRPr="00B06813" w:rsidRDefault="0038493B" w:rsidP="00B06813">
            <w:r w:rsidRPr="00B06813">
              <w:t xml:space="preserve">Documentation error – no dose </w:t>
            </w:r>
          </w:p>
        </w:tc>
      </w:tr>
      <w:tr w:rsidR="0038493B" w:rsidRPr="00B06813" w14:paraId="4A2FC0A5" w14:textId="77777777" w:rsidTr="00B06813">
        <w:tc>
          <w:tcPr>
            <w:tcW w:w="2749" w:type="pct"/>
          </w:tcPr>
          <w:p w14:paraId="6E99C405" w14:textId="4910E26C" w:rsidR="0038493B" w:rsidRPr="00B06813" w:rsidRDefault="0038493B" w:rsidP="00B06813">
            <w:r w:rsidRPr="00B06813">
              <w:t xml:space="preserve">Contraindication due to monitoring result </w:t>
            </w:r>
          </w:p>
        </w:tc>
        <w:tc>
          <w:tcPr>
            <w:tcW w:w="2251" w:type="pct"/>
          </w:tcPr>
          <w:p w14:paraId="0FD06E9A" w14:textId="7FC96037" w:rsidR="0038493B" w:rsidRPr="00B06813" w:rsidRDefault="0038493B" w:rsidP="00B06813">
            <w:r w:rsidRPr="00B06813">
              <w:t xml:space="preserve">Bolus not administered </w:t>
            </w:r>
          </w:p>
        </w:tc>
      </w:tr>
      <w:tr w:rsidR="0038493B" w:rsidRPr="00B06813" w14:paraId="6F3EDEF7" w14:textId="77777777" w:rsidTr="00B06813">
        <w:tc>
          <w:tcPr>
            <w:tcW w:w="2749" w:type="pct"/>
          </w:tcPr>
          <w:p w14:paraId="4990CBF8" w14:textId="27CB149D" w:rsidR="0038493B" w:rsidRPr="00B06813" w:rsidRDefault="0038493B" w:rsidP="00B06813">
            <w:r w:rsidRPr="00B06813">
              <w:t xml:space="preserve">Administered when order ceased </w:t>
            </w:r>
          </w:p>
        </w:tc>
        <w:tc>
          <w:tcPr>
            <w:tcW w:w="2251" w:type="pct"/>
          </w:tcPr>
          <w:p w14:paraId="070894BE" w14:textId="4B2790A0" w:rsidR="0038493B" w:rsidRPr="00B06813" w:rsidRDefault="0038493B" w:rsidP="00B06813">
            <w:r w:rsidRPr="00B06813">
              <w:t xml:space="preserve">Wrong medication chart used (National Inpatient Medication Chart instead of Anticoagulant Chart) </w:t>
            </w:r>
          </w:p>
        </w:tc>
      </w:tr>
      <w:tr w:rsidR="0038493B" w:rsidRPr="00B06813" w14:paraId="640A9EA7" w14:textId="77777777" w:rsidTr="00B06813">
        <w:tc>
          <w:tcPr>
            <w:tcW w:w="2749" w:type="pct"/>
          </w:tcPr>
          <w:p w14:paraId="59FC8E6F" w14:textId="77777777" w:rsidR="0038493B" w:rsidRPr="00B06813" w:rsidRDefault="0038493B" w:rsidP="00B06813">
            <w:r w:rsidRPr="00B06813">
              <w:t>Administered but not signed</w:t>
            </w:r>
          </w:p>
        </w:tc>
        <w:tc>
          <w:tcPr>
            <w:tcW w:w="2251" w:type="pct"/>
          </w:tcPr>
          <w:p w14:paraId="48F116F5" w14:textId="6B7D2021" w:rsidR="0038493B" w:rsidRPr="00B06813" w:rsidRDefault="0038493B" w:rsidP="00B06813">
            <w:r w:rsidRPr="00B06813">
              <w:t>Other</w:t>
            </w:r>
          </w:p>
        </w:tc>
      </w:tr>
    </w:tbl>
    <w:p w14:paraId="09FD57E7" w14:textId="7FE28559" w:rsidR="00220F33" w:rsidRPr="00ED71BB" w:rsidRDefault="008A69AF" w:rsidP="00D647AB">
      <w:pPr>
        <w:pStyle w:val="Caption"/>
        <w:spacing w:before="360" w:after="0"/>
        <w:rPr>
          <w:rFonts w:eastAsia="Calibri"/>
          <w:lang w:eastAsia="en-US"/>
        </w:rPr>
      </w:pPr>
      <w:r w:rsidRPr="00ED71BB">
        <w:rPr>
          <w:rFonts w:eastAsia="Calibri"/>
          <w:lang w:eastAsia="en-US"/>
        </w:rPr>
        <w:lastRenderedPageBreak/>
        <w:t>Table D</w:t>
      </w:r>
      <w:r w:rsidR="00621680">
        <w:rPr>
          <w:rFonts w:eastAsia="Calibri"/>
          <w:lang w:eastAsia="en-US"/>
        </w:rPr>
        <w:t>:</w:t>
      </w:r>
      <w:r w:rsidR="00810A60" w:rsidRPr="00ED71BB">
        <w:rPr>
          <w:rFonts w:eastAsia="Calibri"/>
          <w:lang w:eastAsia="en-US"/>
        </w:rPr>
        <w:t xml:space="preserve"> Incident causative factors</w:t>
      </w:r>
    </w:p>
    <w:tbl>
      <w:tblPr>
        <w:tblStyle w:val="TableGrid"/>
        <w:tblW w:w="5000" w:type="pct"/>
        <w:tblLook w:val="0600" w:firstRow="0" w:lastRow="0" w:firstColumn="0" w:lastColumn="0" w:noHBand="1" w:noVBand="1"/>
        <w:tblDescription w:val="Table D: Incident causative factors"/>
      </w:tblPr>
      <w:tblGrid>
        <w:gridCol w:w="4459"/>
        <w:gridCol w:w="4567"/>
      </w:tblGrid>
      <w:tr w:rsidR="00B06813" w:rsidRPr="00B06813" w14:paraId="4CB40420" w14:textId="77777777" w:rsidTr="00B06813">
        <w:trPr>
          <w:trHeight w:val="57"/>
          <w:tblHeader/>
        </w:trPr>
        <w:tc>
          <w:tcPr>
            <w:tcW w:w="2470" w:type="pct"/>
            <w:tcBorders>
              <w:top w:val="nil"/>
              <w:left w:val="nil"/>
              <w:bottom w:val="single" w:sz="4" w:space="0" w:color="auto"/>
              <w:right w:val="nil"/>
            </w:tcBorders>
          </w:tcPr>
          <w:p w14:paraId="0B299BD8" w14:textId="5F419C6A" w:rsidR="00053B38" w:rsidRPr="00B06813" w:rsidRDefault="00053B38" w:rsidP="000840E0">
            <w:pPr>
              <w:rPr>
                <w:color w:val="FFFFFF" w:themeColor="background1"/>
                <w:sz w:val="2"/>
                <w:szCs w:val="2"/>
              </w:rPr>
            </w:pPr>
            <w:r w:rsidRPr="00B06813">
              <w:rPr>
                <w:rFonts w:eastAsia="Calibri"/>
                <w:color w:val="FFFFFF" w:themeColor="background1"/>
                <w:sz w:val="2"/>
                <w:szCs w:val="2"/>
              </w:rPr>
              <w:t>Incident causative factors</w:t>
            </w:r>
          </w:p>
        </w:tc>
        <w:tc>
          <w:tcPr>
            <w:tcW w:w="2530" w:type="pct"/>
            <w:tcBorders>
              <w:top w:val="nil"/>
              <w:left w:val="nil"/>
              <w:bottom w:val="single" w:sz="4" w:space="0" w:color="auto"/>
              <w:right w:val="nil"/>
            </w:tcBorders>
          </w:tcPr>
          <w:p w14:paraId="564C6B0F" w14:textId="731A68CB" w:rsidR="00053B38" w:rsidRPr="00B06813" w:rsidRDefault="00053B38" w:rsidP="000840E0">
            <w:pPr>
              <w:rPr>
                <w:color w:val="FFFFFF" w:themeColor="background1"/>
                <w:sz w:val="2"/>
                <w:szCs w:val="2"/>
              </w:rPr>
            </w:pPr>
            <w:r w:rsidRPr="00B06813">
              <w:rPr>
                <w:rFonts w:eastAsia="Calibri"/>
                <w:color w:val="FFFFFF" w:themeColor="background1"/>
                <w:sz w:val="2"/>
                <w:szCs w:val="2"/>
              </w:rPr>
              <w:t>Incident causative factors</w:t>
            </w:r>
          </w:p>
        </w:tc>
      </w:tr>
      <w:tr w:rsidR="00621680" w:rsidRPr="00621680" w14:paraId="7084DE4E" w14:textId="77777777" w:rsidTr="00053B38">
        <w:tc>
          <w:tcPr>
            <w:tcW w:w="2470" w:type="pct"/>
            <w:tcBorders>
              <w:top w:val="single" w:sz="4" w:space="0" w:color="auto"/>
            </w:tcBorders>
          </w:tcPr>
          <w:p w14:paraId="6167AFB2" w14:textId="1701D4E3" w:rsidR="00621680" w:rsidRPr="00621680" w:rsidRDefault="00621680" w:rsidP="00621680">
            <w:r w:rsidRPr="00621680">
              <w:t xml:space="preserve">Not checking properly </w:t>
            </w:r>
          </w:p>
        </w:tc>
        <w:tc>
          <w:tcPr>
            <w:tcW w:w="2530" w:type="pct"/>
            <w:tcBorders>
              <w:top w:val="single" w:sz="4" w:space="0" w:color="auto"/>
            </w:tcBorders>
          </w:tcPr>
          <w:p w14:paraId="61CC2A6F" w14:textId="3CB5438C" w:rsidR="00621680" w:rsidRPr="00621680" w:rsidRDefault="00621680" w:rsidP="00621680">
            <w:r w:rsidRPr="00621680">
              <w:t>Misreading</w:t>
            </w:r>
          </w:p>
        </w:tc>
      </w:tr>
      <w:tr w:rsidR="00220F33" w:rsidRPr="00621680" w14:paraId="4D4B5BDF" w14:textId="77777777" w:rsidTr="00953951">
        <w:tc>
          <w:tcPr>
            <w:tcW w:w="2470" w:type="pct"/>
          </w:tcPr>
          <w:p w14:paraId="722145B9" w14:textId="3C50CBAD" w:rsidR="00220F33" w:rsidRPr="00621680" w:rsidRDefault="00220F33" w:rsidP="00621680">
            <w:r w:rsidRPr="00621680">
              <w:t xml:space="preserve">Documentation </w:t>
            </w:r>
          </w:p>
        </w:tc>
        <w:tc>
          <w:tcPr>
            <w:tcW w:w="2530" w:type="pct"/>
          </w:tcPr>
          <w:p w14:paraId="2AD8769E" w14:textId="1BBFD147" w:rsidR="00220F33" w:rsidRPr="00621680" w:rsidRDefault="00220F33" w:rsidP="00621680">
            <w:r w:rsidRPr="00621680">
              <w:t>Multiple charts active</w:t>
            </w:r>
          </w:p>
        </w:tc>
      </w:tr>
      <w:tr w:rsidR="00220F33" w:rsidRPr="00621680" w14:paraId="78201A69" w14:textId="77777777" w:rsidTr="00953951">
        <w:tc>
          <w:tcPr>
            <w:tcW w:w="2470" w:type="pct"/>
          </w:tcPr>
          <w:p w14:paraId="129F9AA0" w14:textId="02A28311" w:rsidR="00220F33" w:rsidRPr="00621680" w:rsidRDefault="00220F33" w:rsidP="00621680">
            <w:r w:rsidRPr="00621680">
              <w:t xml:space="preserve">Handover </w:t>
            </w:r>
          </w:p>
        </w:tc>
        <w:tc>
          <w:tcPr>
            <w:tcW w:w="2530" w:type="pct"/>
          </w:tcPr>
          <w:p w14:paraId="4399A372" w14:textId="28CC538E" w:rsidR="00220F33" w:rsidRPr="00621680" w:rsidRDefault="00220F33" w:rsidP="00621680">
            <w:r w:rsidRPr="00621680">
              <w:t xml:space="preserve">Medication not available on ward </w:t>
            </w:r>
          </w:p>
        </w:tc>
      </w:tr>
      <w:tr w:rsidR="00220F33" w:rsidRPr="00621680" w14:paraId="04BA4844" w14:textId="77777777" w:rsidTr="00953951">
        <w:tc>
          <w:tcPr>
            <w:tcW w:w="2470" w:type="pct"/>
          </w:tcPr>
          <w:p w14:paraId="235A3830" w14:textId="2F8AE723" w:rsidR="00220F33" w:rsidRPr="00621680" w:rsidRDefault="00220F33" w:rsidP="00621680">
            <w:r w:rsidRPr="00621680">
              <w:t>Lack of knowledge</w:t>
            </w:r>
            <w:r w:rsidR="002D2E45" w:rsidRPr="00621680">
              <w:t xml:space="preserve"> – </w:t>
            </w:r>
            <w:r w:rsidRPr="00621680">
              <w:t xml:space="preserve">clinical </w:t>
            </w:r>
          </w:p>
        </w:tc>
        <w:tc>
          <w:tcPr>
            <w:tcW w:w="2530" w:type="pct"/>
          </w:tcPr>
          <w:p w14:paraId="0B52DB78" w14:textId="41AE425B" w:rsidR="00220F33" w:rsidRPr="00621680" w:rsidRDefault="00220F33" w:rsidP="00621680">
            <w:r w:rsidRPr="00621680">
              <w:t xml:space="preserve">Patient factor </w:t>
            </w:r>
          </w:p>
        </w:tc>
      </w:tr>
      <w:tr w:rsidR="00220F33" w:rsidRPr="00621680" w14:paraId="721E1D49" w14:textId="77777777" w:rsidTr="00953951">
        <w:tc>
          <w:tcPr>
            <w:tcW w:w="2470" w:type="pct"/>
          </w:tcPr>
          <w:p w14:paraId="2FAF1D9B" w14:textId="5AEE4E53" w:rsidR="00220F33" w:rsidRPr="00621680" w:rsidRDefault="00220F33" w:rsidP="00621680">
            <w:r w:rsidRPr="00621680">
              <w:t>Lack of knowledge</w:t>
            </w:r>
            <w:r w:rsidR="002D2E45" w:rsidRPr="00621680">
              <w:t xml:space="preserve"> – </w:t>
            </w:r>
            <w:r w:rsidRPr="00621680">
              <w:t xml:space="preserve">unfamiliar with process/protocol </w:t>
            </w:r>
          </w:p>
        </w:tc>
        <w:tc>
          <w:tcPr>
            <w:tcW w:w="2530" w:type="pct"/>
          </w:tcPr>
          <w:p w14:paraId="2A3298D6" w14:textId="4F177B05" w:rsidR="00220F33" w:rsidRPr="00621680" w:rsidRDefault="00220F33" w:rsidP="00621680">
            <w:r w:rsidRPr="00621680">
              <w:t xml:space="preserve">Incorrect nomogram </w:t>
            </w:r>
          </w:p>
        </w:tc>
      </w:tr>
      <w:tr w:rsidR="00220F33" w:rsidRPr="00621680" w14:paraId="6EBABDF3" w14:textId="77777777" w:rsidTr="00953951">
        <w:tc>
          <w:tcPr>
            <w:tcW w:w="2470" w:type="pct"/>
          </w:tcPr>
          <w:p w14:paraId="75D3BF31" w14:textId="7ED1F9E3" w:rsidR="00220F33" w:rsidRPr="00621680" w:rsidRDefault="00220F33" w:rsidP="00621680">
            <w:r w:rsidRPr="00621680">
              <w:t xml:space="preserve">Misinterpretation </w:t>
            </w:r>
          </w:p>
        </w:tc>
        <w:tc>
          <w:tcPr>
            <w:tcW w:w="2530" w:type="pct"/>
          </w:tcPr>
          <w:p w14:paraId="50267747" w14:textId="71200A93" w:rsidR="00220F33" w:rsidRPr="00621680" w:rsidRDefault="00220F33" w:rsidP="00621680">
            <w:r w:rsidRPr="00621680">
              <w:t xml:space="preserve">Poor supervision </w:t>
            </w:r>
          </w:p>
        </w:tc>
      </w:tr>
      <w:tr w:rsidR="00220F33" w:rsidRPr="00621680" w14:paraId="3794B98B" w14:textId="77777777" w:rsidTr="00953951">
        <w:tc>
          <w:tcPr>
            <w:tcW w:w="2470" w:type="pct"/>
          </w:tcPr>
          <w:p w14:paraId="21247C62" w14:textId="586C77F1" w:rsidR="00220F33" w:rsidRPr="00621680" w:rsidRDefault="00220F33" w:rsidP="00621680">
            <w:r w:rsidRPr="00621680">
              <w:t xml:space="preserve">Chart filed incorrectly </w:t>
            </w:r>
          </w:p>
        </w:tc>
        <w:tc>
          <w:tcPr>
            <w:tcW w:w="2530" w:type="pct"/>
          </w:tcPr>
          <w:p w14:paraId="01305E0D" w14:textId="75429359" w:rsidR="00220F33" w:rsidRPr="00621680" w:rsidRDefault="00220F33" w:rsidP="00621680">
            <w:r w:rsidRPr="00621680">
              <w:t xml:space="preserve">Chart design issue </w:t>
            </w:r>
          </w:p>
        </w:tc>
      </w:tr>
      <w:tr w:rsidR="00220F33" w:rsidRPr="00621680" w14:paraId="78B53A38" w14:textId="77777777" w:rsidTr="00953951">
        <w:tc>
          <w:tcPr>
            <w:tcW w:w="2470" w:type="pct"/>
          </w:tcPr>
          <w:p w14:paraId="2A23DA52" w14:textId="544249C4" w:rsidR="00220F33" w:rsidRPr="00621680" w:rsidRDefault="00220F33" w:rsidP="00621680">
            <w:r w:rsidRPr="00621680">
              <w:t xml:space="preserve">Non-compliance with policy </w:t>
            </w:r>
          </w:p>
        </w:tc>
        <w:tc>
          <w:tcPr>
            <w:tcW w:w="2530" w:type="pct"/>
          </w:tcPr>
          <w:p w14:paraId="62E14F8A" w14:textId="161BB78B" w:rsidR="00220F33" w:rsidRPr="00621680" w:rsidRDefault="00220F33" w:rsidP="00621680">
            <w:r w:rsidRPr="00621680">
              <w:t xml:space="preserve">ePrescribing vs paper transfer </w:t>
            </w:r>
          </w:p>
        </w:tc>
      </w:tr>
      <w:tr w:rsidR="00220F33" w:rsidRPr="00621680" w14:paraId="2EB78C47" w14:textId="77777777" w:rsidTr="00953951">
        <w:tc>
          <w:tcPr>
            <w:tcW w:w="2470" w:type="pct"/>
          </w:tcPr>
          <w:p w14:paraId="76B08C78" w14:textId="0E14CFA7" w:rsidR="00220F33" w:rsidRPr="00621680" w:rsidRDefault="00220F33" w:rsidP="00621680">
            <w:r w:rsidRPr="00621680">
              <w:t xml:space="preserve">Lack of medication history </w:t>
            </w:r>
          </w:p>
        </w:tc>
        <w:tc>
          <w:tcPr>
            <w:tcW w:w="2530" w:type="pct"/>
          </w:tcPr>
          <w:p w14:paraId="085B3972" w14:textId="405D0CDD" w:rsidR="00220F33" w:rsidRPr="00621680" w:rsidRDefault="00220F33" w:rsidP="00621680">
            <w:r w:rsidRPr="00621680">
              <w:t xml:space="preserve">LASA </w:t>
            </w:r>
          </w:p>
        </w:tc>
      </w:tr>
      <w:tr w:rsidR="00220F33" w:rsidRPr="00621680" w14:paraId="390BB12B" w14:textId="77777777" w:rsidTr="00953951">
        <w:tc>
          <w:tcPr>
            <w:tcW w:w="2470" w:type="pct"/>
          </w:tcPr>
          <w:p w14:paraId="0644F7FD" w14:textId="4F6EFF47" w:rsidR="00220F33" w:rsidRPr="00621680" w:rsidRDefault="00220F33" w:rsidP="00621680">
            <w:r w:rsidRPr="00621680">
              <w:t xml:space="preserve">Not checking patient ID </w:t>
            </w:r>
          </w:p>
        </w:tc>
        <w:tc>
          <w:tcPr>
            <w:tcW w:w="2530" w:type="pct"/>
          </w:tcPr>
          <w:p w14:paraId="1F591F1F" w14:textId="4CC34B0F" w:rsidR="00220F33" w:rsidRPr="00621680" w:rsidRDefault="00220F33" w:rsidP="00621680">
            <w:r w:rsidRPr="00621680">
              <w:t xml:space="preserve">Selection error </w:t>
            </w:r>
          </w:p>
        </w:tc>
      </w:tr>
      <w:tr w:rsidR="00220F33" w:rsidRPr="00621680" w14:paraId="32E159C0" w14:textId="77777777" w:rsidTr="00953951">
        <w:tc>
          <w:tcPr>
            <w:tcW w:w="2470" w:type="pct"/>
          </w:tcPr>
          <w:p w14:paraId="4799A9FF" w14:textId="6B8CCEE9" w:rsidR="00220F33" w:rsidRPr="00621680" w:rsidRDefault="00220F33" w:rsidP="00621680">
            <w:r w:rsidRPr="00621680">
              <w:t xml:space="preserve">Busy/Time pressure/Reduced staff </w:t>
            </w:r>
          </w:p>
        </w:tc>
        <w:tc>
          <w:tcPr>
            <w:tcW w:w="2530" w:type="pct"/>
          </w:tcPr>
          <w:p w14:paraId="6D2EAE4B" w14:textId="7B2350F1" w:rsidR="00220F33" w:rsidRPr="00621680" w:rsidRDefault="00220F33" w:rsidP="00621680">
            <w:r w:rsidRPr="00621680">
              <w:t xml:space="preserve">Incorrect chart used </w:t>
            </w:r>
          </w:p>
        </w:tc>
      </w:tr>
      <w:tr w:rsidR="00220F33" w:rsidRPr="00621680" w14:paraId="3302A590" w14:textId="77777777" w:rsidTr="00953951">
        <w:tc>
          <w:tcPr>
            <w:tcW w:w="2470" w:type="pct"/>
          </w:tcPr>
          <w:p w14:paraId="5C8938AB" w14:textId="1776AB68" w:rsidR="00220F33" w:rsidRPr="00621680" w:rsidRDefault="00220F33" w:rsidP="00621680">
            <w:r w:rsidRPr="00621680">
              <w:t xml:space="preserve">Confusion between brands </w:t>
            </w:r>
          </w:p>
        </w:tc>
        <w:tc>
          <w:tcPr>
            <w:tcW w:w="2530" w:type="pct"/>
          </w:tcPr>
          <w:p w14:paraId="6E364504" w14:textId="14E52D3B" w:rsidR="00220F33" w:rsidRPr="00621680" w:rsidRDefault="00220F33" w:rsidP="00621680">
            <w:r w:rsidRPr="00621680">
              <w:t xml:space="preserve">Equipment failure </w:t>
            </w:r>
          </w:p>
        </w:tc>
      </w:tr>
      <w:tr w:rsidR="00220F33" w:rsidRPr="00621680" w14:paraId="2475FBD5" w14:textId="77777777" w:rsidTr="00953951">
        <w:tc>
          <w:tcPr>
            <w:tcW w:w="2470" w:type="pct"/>
          </w:tcPr>
          <w:p w14:paraId="0106ECFD" w14:textId="0E109A3F" w:rsidR="00220F33" w:rsidRPr="00621680" w:rsidRDefault="00220F33" w:rsidP="00621680">
            <w:r w:rsidRPr="00621680">
              <w:t xml:space="preserve">Dilution confusion </w:t>
            </w:r>
          </w:p>
        </w:tc>
        <w:tc>
          <w:tcPr>
            <w:tcW w:w="2530" w:type="pct"/>
          </w:tcPr>
          <w:p w14:paraId="71E9768D" w14:textId="3704F7B1" w:rsidR="00ED71BB" w:rsidRPr="00621680" w:rsidRDefault="00220F33" w:rsidP="00621680">
            <w:r w:rsidRPr="00621680">
              <w:t xml:space="preserve">Incorrect patient folder taken to room </w:t>
            </w:r>
          </w:p>
        </w:tc>
      </w:tr>
      <w:tr w:rsidR="00220F33" w:rsidRPr="00621680" w14:paraId="02B7C4C7" w14:textId="77777777" w:rsidTr="00953951">
        <w:tc>
          <w:tcPr>
            <w:tcW w:w="2470" w:type="pct"/>
          </w:tcPr>
          <w:p w14:paraId="1A2F9794" w14:textId="3E9A760B" w:rsidR="00220F33" w:rsidRPr="00621680" w:rsidRDefault="00220F33" w:rsidP="00621680">
            <w:r w:rsidRPr="00621680">
              <w:t xml:space="preserve">Distracted/Disruption/Interruption </w:t>
            </w:r>
          </w:p>
        </w:tc>
        <w:tc>
          <w:tcPr>
            <w:tcW w:w="2530" w:type="pct"/>
          </w:tcPr>
          <w:p w14:paraId="7FB2A02C" w14:textId="549F112C" w:rsidR="00220F33" w:rsidRPr="00621680" w:rsidRDefault="00220F33" w:rsidP="00621680">
            <w:r w:rsidRPr="00621680">
              <w:t>Lack of knowledge</w:t>
            </w:r>
            <w:r w:rsidR="002D2E45" w:rsidRPr="00621680">
              <w:t xml:space="preserve"> – </w:t>
            </w:r>
            <w:r w:rsidRPr="00621680">
              <w:t xml:space="preserve">patient </w:t>
            </w:r>
          </w:p>
        </w:tc>
      </w:tr>
      <w:tr w:rsidR="00ED71BB" w:rsidRPr="00621680" w14:paraId="7E03B316" w14:textId="77777777" w:rsidTr="00953951">
        <w:trPr>
          <w:trHeight w:val="415"/>
        </w:trPr>
        <w:tc>
          <w:tcPr>
            <w:tcW w:w="2470" w:type="pct"/>
          </w:tcPr>
          <w:p w14:paraId="41B91C60" w14:textId="46AF65DA" w:rsidR="00ED71BB" w:rsidRPr="00621680" w:rsidRDefault="00ED71BB" w:rsidP="00621680">
            <w:r w:rsidRPr="00621680">
              <w:t xml:space="preserve">Miscommunication </w:t>
            </w:r>
          </w:p>
        </w:tc>
        <w:tc>
          <w:tcPr>
            <w:tcW w:w="2530" w:type="pct"/>
          </w:tcPr>
          <w:p w14:paraId="1A59B1B9" w14:textId="0EA3A1D2" w:rsidR="00ED71BB" w:rsidRPr="00621680" w:rsidRDefault="00ED71BB" w:rsidP="00621680">
            <w:r w:rsidRPr="00621680">
              <w:t xml:space="preserve">Lack of resources </w:t>
            </w:r>
          </w:p>
        </w:tc>
      </w:tr>
      <w:tr w:rsidR="00ED71BB" w:rsidRPr="00621680" w14:paraId="0DA84FB3" w14:textId="77777777" w:rsidTr="00953951">
        <w:trPr>
          <w:trHeight w:val="414"/>
        </w:trPr>
        <w:tc>
          <w:tcPr>
            <w:tcW w:w="2470" w:type="pct"/>
          </w:tcPr>
          <w:p w14:paraId="674AF40A" w14:textId="51E33E93" w:rsidR="00ED71BB" w:rsidRPr="00621680" w:rsidRDefault="00ED71BB" w:rsidP="00621680">
            <w:r w:rsidRPr="00621680">
              <w:t xml:space="preserve">Lack of standardisation </w:t>
            </w:r>
          </w:p>
        </w:tc>
        <w:tc>
          <w:tcPr>
            <w:tcW w:w="2530" w:type="pct"/>
          </w:tcPr>
          <w:p w14:paraId="418104F7" w14:textId="7562B6F3" w:rsidR="00ED71BB" w:rsidRPr="00621680" w:rsidRDefault="00ED71BB" w:rsidP="00621680">
            <w:r w:rsidRPr="00621680">
              <w:t xml:space="preserve">Incorrect estimation of patient weight </w:t>
            </w:r>
          </w:p>
        </w:tc>
      </w:tr>
      <w:tr w:rsidR="00220F33" w:rsidRPr="00621680" w14:paraId="0BB9FAC1" w14:textId="77777777" w:rsidTr="00953951">
        <w:tc>
          <w:tcPr>
            <w:tcW w:w="2470" w:type="pct"/>
          </w:tcPr>
          <w:p w14:paraId="1334240D" w14:textId="15E47A33" w:rsidR="00220F33" w:rsidRPr="00621680" w:rsidRDefault="00220F33" w:rsidP="00621680">
            <w:r w:rsidRPr="00621680">
              <w:t xml:space="preserve">Lack of VTE risk assessment </w:t>
            </w:r>
          </w:p>
        </w:tc>
        <w:tc>
          <w:tcPr>
            <w:tcW w:w="2530" w:type="pct"/>
          </w:tcPr>
          <w:p w14:paraId="5257C1FD" w14:textId="77777777" w:rsidR="00220F33" w:rsidRPr="00621680" w:rsidRDefault="00220F33" w:rsidP="00621680">
            <w:r w:rsidRPr="00621680">
              <w:t>Incorrect labelling</w:t>
            </w:r>
          </w:p>
        </w:tc>
      </w:tr>
      <w:tr w:rsidR="00220F33" w:rsidRPr="00621680" w14:paraId="5E9AB770" w14:textId="77777777" w:rsidTr="00953951">
        <w:tc>
          <w:tcPr>
            <w:tcW w:w="2470" w:type="pct"/>
          </w:tcPr>
          <w:p w14:paraId="2E654BAF" w14:textId="7930C679" w:rsidR="00220F33" w:rsidRPr="00621680" w:rsidRDefault="00220F33" w:rsidP="00621680">
            <w:r w:rsidRPr="00621680">
              <w:t xml:space="preserve">Medical device issue </w:t>
            </w:r>
          </w:p>
        </w:tc>
        <w:tc>
          <w:tcPr>
            <w:tcW w:w="2530" w:type="pct"/>
          </w:tcPr>
          <w:p w14:paraId="7085F87D" w14:textId="67116CAE" w:rsidR="00220F33" w:rsidRPr="00621680" w:rsidRDefault="00220F33" w:rsidP="00621680">
            <w:r w:rsidRPr="00621680">
              <w:t xml:space="preserve">Incorrect medication in patient locker </w:t>
            </w:r>
          </w:p>
        </w:tc>
      </w:tr>
      <w:tr w:rsidR="00220F33" w:rsidRPr="00621680" w14:paraId="64CA8FAE" w14:textId="77777777" w:rsidTr="00953951">
        <w:tc>
          <w:tcPr>
            <w:tcW w:w="2470" w:type="pct"/>
          </w:tcPr>
          <w:p w14:paraId="6759F51F" w14:textId="5F3B08E4" w:rsidR="00220F33" w:rsidRPr="00621680" w:rsidRDefault="00220F33" w:rsidP="00621680">
            <w:r w:rsidRPr="00621680">
              <w:t xml:space="preserve">New equipment </w:t>
            </w:r>
          </w:p>
        </w:tc>
        <w:tc>
          <w:tcPr>
            <w:tcW w:w="2530" w:type="pct"/>
          </w:tcPr>
          <w:p w14:paraId="6914FA13" w14:textId="22833856" w:rsidR="00220F33" w:rsidRPr="00621680" w:rsidRDefault="00220F33" w:rsidP="00621680">
            <w:r w:rsidRPr="00621680">
              <w:t>Lack of knowledge</w:t>
            </w:r>
            <w:r w:rsidR="002D2E45" w:rsidRPr="00621680">
              <w:t xml:space="preserve"> – </w:t>
            </w:r>
            <w:r w:rsidRPr="00621680">
              <w:t xml:space="preserve">unfamiliar with equipment </w:t>
            </w:r>
          </w:p>
        </w:tc>
      </w:tr>
      <w:tr w:rsidR="00220F33" w:rsidRPr="00621680" w14:paraId="1DEB40B4" w14:textId="77777777" w:rsidTr="00953951">
        <w:tc>
          <w:tcPr>
            <w:tcW w:w="2470" w:type="pct"/>
          </w:tcPr>
          <w:p w14:paraId="22793C4E" w14:textId="76D0F342" w:rsidR="00220F33" w:rsidRPr="00621680" w:rsidRDefault="00220F33" w:rsidP="00621680">
            <w:r w:rsidRPr="00621680">
              <w:t xml:space="preserve">Storage process </w:t>
            </w:r>
          </w:p>
        </w:tc>
        <w:tc>
          <w:tcPr>
            <w:tcW w:w="2530" w:type="pct"/>
          </w:tcPr>
          <w:p w14:paraId="6C29E2B6" w14:textId="1F150F04" w:rsidR="00220F33" w:rsidRPr="00621680" w:rsidRDefault="00220F33" w:rsidP="00621680">
            <w:r w:rsidRPr="00621680">
              <w:t xml:space="preserve">Lack of experience </w:t>
            </w:r>
          </w:p>
        </w:tc>
      </w:tr>
      <w:tr w:rsidR="00220F33" w:rsidRPr="00621680" w14:paraId="1CDD91FB" w14:textId="77777777" w:rsidTr="00953951">
        <w:tc>
          <w:tcPr>
            <w:tcW w:w="2470" w:type="pct"/>
          </w:tcPr>
          <w:p w14:paraId="09166187" w14:textId="49112269" w:rsidR="00220F33" w:rsidRPr="00621680" w:rsidRDefault="00220F33" w:rsidP="00621680">
            <w:r w:rsidRPr="00621680">
              <w:t xml:space="preserve">Used IV instead of dialysis dilution </w:t>
            </w:r>
          </w:p>
        </w:tc>
        <w:tc>
          <w:tcPr>
            <w:tcW w:w="2530" w:type="pct"/>
          </w:tcPr>
          <w:p w14:paraId="62CAE5C5" w14:textId="554541F4" w:rsidR="00220F33" w:rsidRPr="00621680" w:rsidRDefault="00220F33" w:rsidP="00621680">
            <w:r w:rsidRPr="00621680">
              <w:t xml:space="preserve">Lack of double checker </w:t>
            </w:r>
          </w:p>
        </w:tc>
      </w:tr>
      <w:tr w:rsidR="00220F33" w:rsidRPr="00621680" w14:paraId="081F060E" w14:textId="77777777" w:rsidTr="00953951">
        <w:tc>
          <w:tcPr>
            <w:tcW w:w="2470" w:type="pct"/>
          </w:tcPr>
          <w:p w14:paraId="2A4CE20A" w14:textId="316204AA" w:rsidR="00220F33" w:rsidRPr="00621680" w:rsidRDefault="00220F33" w:rsidP="00621680">
            <w:r w:rsidRPr="00621680">
              <w:t xml:space="preserve">Confusion between heparin and enoxaparin </w:t>
            </w:r>
          </w:p>
        </w:tc>
        <w:tc>
          <w:tcPr>
            <w:tcW w:w="2530" w:type="pct"/>
          </w:tcPr>
          <w:p w14:paraId="2827561B" w14:textId="4B60B8A0" w:rsidR="00220F33" w:rsidRPr="00621680" w:rsidRDefault="00220F33" w:rsidP="00621680">
            <w:r w:rsidRPr="00621680">
              <w:t xml:space="preserve">Incorrect sampling </w:t>
            </w:r>
          </w:p>
        </w:tc>
      </w:tr>
      <w:tr w:rsidR="00220F33" w:rsidRPr="00621680" w14:paraId="6B68A1A3" w14:textId="77777777" w:rsidTr="00953951">
        <w:tc>
          <w:tcPr>
            <w:tcW w:w="2470" w:type="pct"/>
          </w:tcPr>
          <w:p w14:paraId="63CDB565" w14:textId="1859C487" w:rsidR="00220F33" w:rsidRPr="00621680" w:rsidRDefault="00220F33" w:rsidP="00621680">
            <w:r w:rsidRPr="00621680">
              <w:t xml:space="preserve">Forgot to administer </w:t>
            </w:r>
          </w:p>
        </w:tc>
        <w:tc>
          <w:tcPr>
            <w:tcW w:w="2530" w:type="pct"/>
          </w:tcPr>
          <w:p w14:paraId="66ABE477" w14:textId="05EDC2C8" w:rsidR="00220F33" w:rsidRPr="00621680" w:rsidRDefault="00220F33" w:rsidP="00621680">
            <w:r w:rsidRPr="00621680">
              <w:t xml:space="preserve">Incorrect pump programming </w:t>
            </w:r>
          </w:p>
        </w:tc>
      </w:tr>
      <w:tr w:rsidR="00220F33" w:rsidRPr="00621680" w14:paraId="1F2DC6E8" w14:textId="77777777" w:rsidTr="00953951">
        <w:tc>
          <w:tcPr>
            <w:tcW w:w="2470" w:type="pct"/>
          </w:tcPr>
          <w:p w14:paraId="384E838C" w14:textId="46D52F8E" w:rsidR="00220F33" w:rsidRPr="00621680" w:rsidRDefault="00220F33" w:rsidP="00621680">
            <w:r w:rsidRPr="00621680">
              <w:t>Incorrect estimation of patient weight</w:t>
            </w:r>
            <w:r w:rsidRPr="00621680">
              <w:tab/>
            </w:r>
          </w:p>
        </w:tc>
        <w:tc>
          <w:tcPr>
            <w:tcW w:w="2530" w:type="pct"/>
          </w:tcPr>
          <w:p w14:paraId="6587A0B9" w14:textId="0D561A39" w:rsidR="00220F33" w:rsidRPr="00621680" w:rsidRDefault="00220F33" w:rsidP="00621680">
            <w:r w:rsidRPr="00621680">
              <w:t xml:space="preserve">Incorrect preparation </w:t>
            </w:r>
          </w:p>
        </w:tc>
      </w:tr>
    </w:tbl>
    <w:p w14:paraId="4036D7CA" w14:textId="7F4D367A" w:rsidR="00E534DB" w:rsidRDefault="00E534DB" w:rsidP="00220F33">
      <w:pPr>
        <w:spacing w:line="276" w:lineRule="auto"/>
        <w:rPr>
          <w:rFonts w:ascii="Calibri" w:eastAsia="Calibri" w:hAnsi="Calibri" w:cs="Calibri"/>
          <w:lang w:eastAsia="en-US"/>
        </w:rPr>
      </w:pPr>
    </w:p>
    <w:p w14:paraId="72F0264E" w14:textId="58FEC4C6" w:rsidR="005126E7" w:rsidRDefault="00E534DB" w:rsidP="005126E7">
      <w:pPr>
        <w:pStyle w:val="Heading1"/>
        <w:rPr>
          <w:rFonts w:eastAsia="Calibri"/>
          <w:lang w:eastAsia="en-US"/>
        </w:rPr>
      </w:pPr>
      <w:bookmarkStart w:id="40" w:name="_Toc80021297"/>
      <w:r w:rsidRPr="00D277D3">
        <w:rPr>
          <w:rFonts w:eastAsia="Calibri"/>
          <w:lang w:eastAsia="en-US"/>
        </w:rPr>
        <w:lastRenderedPageBreak/>
        <w:t xml:space="preserve">Appendix </w:t>
      </w:r>
      <w:r w:rsidR="004C6D49">
        <w:rPr>
          <w:rFonts w:eastAsia="Calibri"/>
          <w:lang w:eastAsia="en-US"/>
        </w:rPr>
        <w:t>2</w:t>
      </w:r>
      <w:bookmarkEnd w:id="40"/>
    </w:p>
    <w:p w14:paraId="342F3383" w14:textId="67A87F97" w:rsidR="00D939D1" w:rsidRDefault="00D939D1" w:rsidP="00A87FA2">
      <w:pPr>
        <w:pStyle w:val="Heading2"/>
      </w:pPr>
      <w:bookmarkStart w:id="41" w:name="_Toc80021298"/>
      <w:r>
        <w:t>Anticoagulant resources – June 2020</w:t>
      </w:r>
      <w:bookmarkEnd w:id="41"/>
    </w:p>
    <w:p w14:paraId="11D806C7" w14:textId="77777777" w:rsidR="00D939D1" w:rsidRPr="00FA6B8C" w:rsidRDefault="00D939D1" w:rsidP="00FA6B8C">
      <w:pPr>
        <w:pStyle w:val="Heading3"/>
      </w:pPr>
      <w:bookmarkStart w:id="42" w:name="_Toc80021299"/>
      <w:r w:rsidRPr="00FA6B8C">
        <w:t>Initiation</w:t>
      </w:r>
      <w:bookmarkEnd w:id="42"/>
    </w:p>
    <w:p w14:paraId="2788C022" w14:textId="5D0F5C31" w:rsidR="00D939D1" w:rsidRPr="000044DB" w:rsidRDefault="00D939D1" w:rsidP="00FC6ABE">
      <w:pPr>
        <w:pStyle w:val="ListParagraph"/>
        <w:numPr>
          <w:ilvl w:val="0"/>
          <w:numId w:val="30"/>
        </w:numPr>
      </w:pPr>
      <w:r w:rsidRPr="000044DB">
        <w:t xml:space="preserve">Guidelines for the diagnosis and management of atrial fibrillation: National Heart Foundation of Australia and the Cardiac Society of Australia and New Zealand: Australian Clinical Guidelines for the Diagnosis and Management of Atrial Fibrillation 2018. 6.3. Stroke Prevention with Anticoagulation. Heart, Lung and Circulation (2018) 27, 1209–1266. </w:t>
      </w:r>
      <w:hyperlink r:id="rId35" w:history="1">
        <w:r w:rsidRPr="000044DB">
          <w:rPr>
            <w:rStyle w:val="Hyperlink"/>
          </w:rPr>
          <w:t>www.heartlungcirc.org/article/S1443-9506(18)31778-5/pdf</w:t>
        </w:r>
      </w:hyperlink>
      <w:r w:rsidR="002D2E45" w:rsidRPr="000044DB">
        <w:t xml:space="preserve"> </w:t>
      </w:r>
    </w:p>
    <w:p w14:paraId="443FA8E6" w14:textId="77777777" w:rsidR="00D939D1" w:rsidRPr="000044DB" w:rsidRDefault="00D939D1" w:rsidP="00FC6ABE">
      <w:pPr>
        <w:pStyle w:val="ListParagraph"/>
        <w:numPr>
          <w:ilvl w:val="0"/>
          <w:numId w:val="30"/>
        </w:numPr>
      </w:pPr>
      <w:r w:rsidRPr="000044DB">
        <w:t xml:space="preserve">Safe prescribing of non-vitamin K antagonist oral anticoagulants: </w:t>
      </w:r>
    </w:p>
    <w:p w14:paraId="593F6382" w14:textId="07C7E304" w:rsidR="00D939D1" w:rsidRPr="000044DB" w:rsidRDefault="002D45FC" w:rsidP="00FC6ABE">
      <w:pPr>
        <w:pStyle w:val="ListParagraph"/>
        <w:numPr>
          <w:ilvl w:val="1"/>
          <w:numId w:val="30"/>
        </w:numPr>
      </w:pPr>
      <w:hyperlink r:id="rId36" w:history="1">
        <w:r w:rsidR="00D939D1" w:rsidRPr="000044DB">
          <w:rPr>
            <w:rStyle w:val="Hyperlink"/>
            <w:i/>
            <w:iCs/>
          </w:rPr>
          <w:t>Clinical Guideline</w:t>
        </w:r>
        <w:r w:rsidR="002D2E45" w:rsidRPr="000044DB">
          <w:rPr>
            <w:rStyle w:val="Hyperlink"/>
            <w:i/>
            <w:iCs/>
          </w:rPr>
          <w:t xml:space="preserve">: </w:t>
        </w:r>
        <w:r w:rsidR="00D939D1" w:rsidRPr="000044DB">
          <w:rPr>
            <w:rStyle w:val="Hyperlink"/>
            <w:i/>
            <w:iCs/>
          </w:rPr>
          <w:t xml:space="preserve">Safe </w:t>
        </w:r>
        <w:r w:rsidR="002D2E45" w:rsidRPr="000044DB">
          <w:rPr>
            <w:rStyle w:val="Hyperlink"/>
            <w:i/>
            <w:iCs/>
          </w:rPr>
          <w:t>p</w:t>
        </w:r>
        <w:r w:rsidR="00D939D1" w:rsidRPr="000044DB">
          <w:rPr>
            <w:rStyle w:val="Hyperlink"/>
            <w:i/>
            <w:iCs/>
          </w:rPr>
          <w:t xml:space="preserve">rescribing of </w:t>
        </w:r>
        <w:r w:rsidR="002D2E45" w:rsidRPr="000044DB">
          <w:rPr>
            <w:rStyle w:val="Hyperlink"/>
            <w:i/>
            <w:iCs/>
          </w:rPr>
          <w:t>n</w:t>
        </w:r>
        <w:r w:rsidR="00D939D1" w:rsidRPr="000044DB">
          <w:rPr>
            <w:rStyle w:val="Hyperlink"/>
            <w:i/>
            <w:iCs/>
          </w:rPr>
          <w:t xml:space="preserve">ew </w:t>
        </w:r>
        <w:r w:rsidR="002D2E45" w:rsidRPr="000044DB">
          <w:rPr>
            <w:rStyle w:val="Hyperlink"/>
            <w:i/>
            <w:iCs/>
          </w:rPr>
          <w:t>o</w:t>
        </w:r>
        <w:r w:rsidR="00D939D1" w:rsidRPr="000044DB">
          <w:rPr>
            <w:rStyle w:val="Hyperlink"/>
            <w:i/>
            <w:iCs/>
          </w:rPr>
          <w:t xml:space="preserve">ral </w:t>
        </w:r>
        <w:r w:rsidR="002D2E45" w:rsidRPr="000044DB">
          <w:rPr>
            <w:rStyle w:val="Hyperlink"/>
            <w:i/>
            <w:iCs/>
          </w:rPr>
          <w:t>a</w:t>
        </w:r>
        <w:r w:rsidR="00D939D1" w:rsidRPr="000044DB">
          <w:rPr>
            <w:rStyle w:val="Hyperlink"/>
            <w:i/>
            <w:iCs/>
          </w:rPr>
          <w:t xml:space="preserve">nticoagulants: </w:t>
        </w:r>
        <w:r w:rsidR="002D2E45" w:rsidRPr="000044DB">
          <w:rPr>
            <w:rStyle w:val="Hyperlink"/>
            <w:i/>
            <w:iCs/>
          </w:rPr>
          <w:t>a</w:t>
        </w:r>
        <w:r w:rsidR="00D939D1" w:rsidRPr="000044DB">
          <w:rPr>
            <w:rStyle w:val="Hyperlink"/>
            <w:i/>
            <w:iCs/>
          </w:rPr>
          <w:t xml:space="preserve">pixaban, </w:t>
        </w:r>
        <w:r w:rsidR="002D2E45" w:rsidRPr="000044DB">
          <w:rPr>
            <w:rStyle w:val="Hyperlink"/>
            <w:i/>
            <w:iCs/>
          </w:rPr>
          <w:t>r</w:t>
        </w:r>
        <w:r w:rsidR="00D939D1" w:rsidRPr="000044DB">
          <w:rPr>
            <w:rStyle w:val="Hyperlink"/>
            <w:i/>
            <w:iCs/>
          </w:rPr>
          <w:t xml:space="preserve">ivaroxaban and </w:t>
        </w:r>
        <w:r w:rsidR="002D2E45" w:rsidRPr="000044DB">
          <w:rPr>
            <w:rStyle w:val="Hyperlink"/>
            <w:i/>
            <w:iCs/>
          </w:rPr>
          <w:t>d</w:t>
        </w:r>
        <w:r w:rsidR="00D939D1" w:rsidRPr="000044DB">
          <w:rPr>
            <w:rStyle w:val="Hyperlink"/>
            <w:i/>
            <w:iCs/>
          </w:rPr>
          <w:t>abigatran</w:t>
        </w:r>
      </w:hyperlink>
      <w:r w:rsidR="00D939D1" w:rsidRPr="000044DB">
        <w:t>. SA Health. July 2015</w:t>
      </w:r>
    </w:p>
    <w:p w14:paraId="6FD957E7" w14:textId="5F48D2B2" w:rsidR="00D939D1" w:rsidRPr="000044DB" w:rsidRDefault="00D939D1" w:rsidP="00FC6ABE">
      <w:pPr>
        <w:pStyle w:val="ListParagraph"/>
        <w:numPr>
          <w:ilvl w:val="1"/>
          <w:numId w:val="30"/>
        </w:numPr>
      </w:pPr>
      <w:r w:rsidRPr="000044DB">
        <w:t xml:space="preserve">Clinical Excellence Commission (CEC). </w:t>
      </w:r>
      <w:hyperlink r:id="rId37" w:history="1">
        <w:r w:rsidR="002D2E45" w:rsidRPr="000044DB">
          <w:rPr>
            <w:rStyle w:val="Hyperlink"/>
            <w:i/>
            <w:iCs/>
          </w:rPr>
          <w:t>NOAC Guidelines – N</w:t>
        </w:r>
        <w:r w:rsidRPr="000044DB">
          <w:rPr>
            <w:rStyle w:val="Hyperlink"/>
            <w:i/>
            <w:iCs/>
          </w:rPr>
          <w:t>on-vitamin K Antagonist Oral Anticoagulant</w:t>
        </w:r>
      </w:hyperlink>
      <w:r w:rsidRPr="000044DB">
        <w:t>. Sydney: CEC: 2017</w:t>
      </w:r>
    </w:p>
    <w:p w14:paraId="000E256B" w14:textId="6EB90BD7" w:rsidR="00D939D1" w:rsidRPr="000044DB" w:rsidRDefault="00D939D1" w:rsidP="00FC6ABE">
      <w:pPr>
        <w:pStyle w:val="ListParagraph"/>
        <w:numPr>
          <w:ilvl w:val="0"/>
          <w:numId w:val="30"/>
        </w:numPr>
      </w:pPr>
      <w:r w:rsidRPr="000044DB">
        <w:t xml:space="preserve">Clinical Practice Guidelines for Anticoagulation therapy – The Royal Children’s Hospital Melbourne: Available from: </w:t>
      </w:r>
      <w:hyperlink r:id="rId38" w:history="1">
        <w:r w:rsidR="000044DB" w:rsidRPr="000044DB">
          <w:rPr>
            <w:rStyle w:val="Hyperlink"/>
            <w:lang w:val="en-GB"/>
          </w:rPr>
          <w:t>www.rch.org.au/clinicalguide/guideline_index/Anticoagulation_ therapy/</w:t>
        </w:r>
      </w:hyperlink>
    </w:p>
    <w:p w14:paraId="39BE2DF2" w14:textId="330844EC" w:rsidR="00D939D1" w:rsidRPr="000044DB" w:rsidRDefault="00D939D1" w:rsidP="00FC6ABE">
      <w:pPr>
        <w:pStyle w:val="ListParagraph"/>
        <w:numPr>
          <w:ilvl w:val="0"/>
          <w:numId w:val="30"/>
        </w:numPr>
      </w:pPr>
      <w:r w:rsidRPr="000044DB">
        <w:t xml:space="preserve">Warfarin Administration and Dosage Adjustment. The Royal Hospital for Women. South-eastern Sydney Local Health District. February 2018. Available from: </w:t>
      </w:r>
      <w:hyperlink r:id="rId39" w:history="1">
        <w:r w:rsidRPr="000044DB">
          <w:rPr>
            <w:rStyle w:val="Hyperlink"/>
          </w:rPr>
          <w:t>www.seslhd.health.nsw.gov.au/sites/default/files/documents/warfadminanddosageadjust.pdf</w:t>
        </w:r>
      </w:hyperlink>
      <w:r w:rsidR="00673451">
        <w:t>.</w:t>
      </w:r>
    </w:p>
    <w:p w14:paraId="4FF57FF8" w14:textId="77777777" w:rsidR="00D939D1" w:rsidRPr="00EE2461" w:rsidRDefault="00D939D1" w:rsidP="00FA6B8C">
      <w:pPr>
        <w:pStyle w:val="Heading3"/>
      </w:pPr>
      <w:bookmarkStart w:id="43" w:name="_Toc80021300"/>
      <w:r w:rsidRPr="00EE2461">
        <w:t>Monitoring</w:t>
      </w:r>
      <w:bookmarkEnd w:id="43"/>
    </w:p>
    <w:p w14:paraId="183B3985" w14:textId="77777777" w:rsidR="00D939D1" w:rsidRPr="00B24807" w:rsidRDefault="00D939D1" w:rsidP="00FC6ABE">
      <w:pPr>
        <w:pStyle w:val="ListParagraph"/>
        <w:numPr>
          <w:ilvl w:val="0"/>
          <w:numId w:val="31"/>
        </w:numPr>
      </w:pPr>
      <w:r w:rsidRPr="00B24807">
        <w:t xml:space="preserve">Oral anticoagulants: </w:t>
      </w:r>
    </w:p>
    <w:p w14:paraId="331A506D" w14:textId="483A20B4" w:rsidR="00D939D1" w:rsidRPr="00B24807" w:rsidRDefault="00D939D1" w:rsidP="00FC6ABE">
      <w:pPr>
        <w:pStyle w:val="ListParagraph"/>
        <w:numPr>
          <w:ilvl w:val="1"/>
          <w:numId w:val="31"/>
        </w:numPr>
      </w:pPr>
      <w:r w:rsidRPr="00B24807">
        <w:t xml:space="preserve">NPS MedicineWise. Oral anticoagulants: Safety checks. November 2017. Available from: </w:t>
      </w:r>
      <w:hyperlink r:id="rId40" w:history="1">
        <w:r w:rsidRPr="00B24807">
          <w:rPr>
            <w:rStyle w:val="Hyperlink"/>
          </w:rPr>
          <w:t>https://www.nps.org.au/professionals/anticoagulants/oral-anticoagulants-safety-checks</w:t>
        </w:r>
      </w:hyperlink>
      <w:r w:rsidR="002D2E45" w:rsidRPr="00B24807">
        <w:t xml:space="preserve"> </w:t>
      </w:r>
    </w:p>
    <w:p w14:paraId="138C266A" w14:textId="6B3ECE61" w:rsidR="00D939D1" w:rsidRPr="00B24807" w:rsidRDefault="00D939D1" w:rsidP="00FC6ABE">
      <w:pPr>
        <w:pStyle w:val="ListParagraph"/>
        <w:numPr>
          <w:ilvl w:val="1"/>
          <w:numId w:val="31"/>
        </w:numPr>
      </w:pPr>
      <w:r w:rsidRPr="00B24807">
        <w:t xml:space="preserve">Queensland Health and the Royal Flying Doctor Service. Queensland Health. 2016. </w:t>
      </w:r>
      <w:hyperlink r:id="rId41" w:history="1">
        <w:r w:rsidRPr="00B24807">
          <w:rPr>
            <w:rStyle w:val="Hyperlink"/>
            <w:i/>
            <w:iCs/>
          </w:rPr>
          <w:t>Guidelines for Warfarin Management in the Community</w:t>
        </w:r>
      </w:hyperlink>
      <w:r w:rsidRPr="00B24807">
        <w:t xml:space="preserve"> </w:t>
      </w:r>
    </w:p>
    <w:p w14:paraId="02AA688F" w14:textId="49FABBED" w:rsidR="00D939D1" w:rsidRPr="00B24807" w:rsidRDefault="00D939D1" w:rsidP="00FC6ABE">
      <w:pPr>
        <w:pStyle w:val="ListParagraph"/>
        <w:numPr>
          <w:ilvl w:val="0"/>
          <w:numId w:val="31"/>
        </w:numPr>
      </w:pPr>
      <w:r w:rsidRPr="00B24807">
        <w:t xml:space="preserve">Tips for prevention and management of haemorrhagic disorder due to circulating anticoagulants: Australian Commission on Safety and Quality in Health Care (ACSQHC). Hospital-Acquired Complication 10 Medication Complications. Diagnostic Group 2: Haemorrhagic disorder due to circulating anticoagulants. Available from: </w:t>
      </w:r>
      <w:hyperlink r:id="rId42" w:history="1">
        <w:r w:rsidRPr="00B24807">
          <w:rPr>
            <w:rStyle w:val="Hyperlink"/>
          </w:rPr>
          <w:t>www.safetyandquality.gov.au/sites/default/files/migrated/SAQ730_HAC_Factsheet_MedicalComplications_LongV2.pdf</w:t>
        </w:r>
      </w:hyperlink>
      <w:r w:rsidR="00673451">
        <w:t>.</w:t>
      </w:r>
    </w:p>
    <w:p w14:paraId="5E79E454" w14:textId="60A248CA" w:rsidR="00D939D1" w:rsidRPr="00EE2461" w:rsidRDefault="00D939D1" w:rsidP="00FA6B8C">
      <w:pPr>
        <w:pStyle w:val="Heading3"/>
      </w:pPr>
      <w:bookmarkStart w:id="44" w:name="_Toc80021301"/>
      <w:r w:rsidRPr="00EE2461">
        <w:t xml:space="preserve">Transitions of </w:t>
      </w:r>
      <w:r w:rsidR="00D51F66">
        <w:t>c</w:t>
      </w:r>
      <w:r w:rsidRPr="00EE2461">
        <w:t>are</w:t>
      </w:r>
      <w:bookmarkEnd w:id="44"/>
    </w:p>
    <w:p w14:paraId="05395512" w14:textId="77777777" w:rsidR="00D939D1" w:rsidRPr="008B5CE3" w:rsidRDefault="00D939D1" w:rsidP="00FC6ABE">
      <w:pPr>
        <w:pStyle w:val="ListParagraph"/>
        <w:numPr>
          <w:ilvl w:val="0"/>
          <w:numId w:val="32"/>
        </w:numPr>
      </w:pPr>
      <w:r w:rsidRPr="008B5CE3">
        <w:t xml:space="preserve">Non-vitamin K antagonist oral anticoagulants: </w:t>
      </w:r>
    </w:p>
    <w:p w14:paraId="038142E6" w14:textId="3AD728A3" w:rsidR="00D939D1" w:rsidRPr="008B5CE3" w:rsidRDefault="002D45FC" w:rsidP="00FC6ABE">
      <w:pPr>
        <w:pStyle w:val="ListParagraph"/>
        <w:numPr>
          <w:ilvl w:val="1"/>
          <w:numId w:val="32"/>
        </w:numPr>
      </w:pPr>
      <w:hyperlink r:id="rId43" w:history="1">
        <w:r w:rsidR="00D939D1" w:rsidRPr="008B5CE3">
          <w:rPr>
            <w:rStyle w:val="Hyperlink"/>
            <w:i/>
            <w:iCs/>
          </w:rPr>
          <w:t>Clinical Guideline</w:t>
        </w:r>
        <w:r w:rsidR="002D2E45" w:rsidRPr="008B5CE3">
          <w:rPr>
            <w:rStyle w:val="Hyperlink"/>
            <w:i/>
            <w:iCs/>
          </w:rPr>
          <w:t>:</w:t>
        </w:r>
        <w:r w:rsidR="00D939D1" w:rsidRPr="008B5CE3">
          <w:rPr>
            <w:rStyle w:val="Hyperlink"/>
            <w:i/>
            <w:iCs/>
          </w:rPr>
          <w:t xml:space="preserve"> Safe </w:t>
        </w:r>
        <w:r w:rsidR="002D2E45" w:rsidRPr="008B5CE3">
          <w:rPr>
            <w:rStyle w:val="Hyperlink"/>
            <w:i/>
            <w:iCs/>
          </w:rPr>
          <w:t>p</w:t>
        </w:r>
        <w:r w:rsidR="00D939D1" w:rsidRPr="008B5CE3">
          <w:rPr>
            <w:rStyle w:val="Hyperlink"/>
            <w:i/>
            <w:iCs/>
          </w:rPr>
          <w:t xml:space="preserve">rescribing of </w:t>
        </w:r>
        <w:r w:rsidR="002D2E45" w:rsidRPr="008B5CE3">
          <w:rPr>
            <w:rStyle w:val="Hyperlink"/>
            <w:i/>
            <w:iCs/>
          </w:rPr>
          <w:t>n</w:t>
        </w:r>
        <w:r w:rsidR="00D939D1" w:rsidRPr="008B5CE3">
          <w:rPr>
            <w:rStyle w:val="Hyperlink"/>
            <w:i/>
            <w:iCs/>
          </w:rPr>
          <w:t xml:space="preserve">ew </w:t>
        </w:r>
        <w:r w:rsidR="002D2E45" w:rsidRPr="008B5CE3">
          <w:rPr>
            <w:rStyle w:val="Hyperlink"/>
            <w:i/>
            <w:iCs/>
          </w:rPr>
          <w:t>o</w:t>
        </w:r>
        <w:r w:rsidR="00D939D1" w:rsidRPr="008B5CE3">
          <w:rPr>
            <w:rStyle w:val="Hyperlink"/>
            <w:i/>
            <w:iCs/>
          </w:rPr>
          <w:t xml:space="preserve">ral </w:t>
        </w:r>
        <w:r w:rsidR="002D2E45" w:rsidRPr="008B5CE3">
          <w:rPr>
            <w:rStyle w:val="Hyperlink"/>
            <w:i/>
            <w:iCs/>
          </w:rPr>
          <w:t>a</w:t>
        </w:r>
        <w:r w:rsidR="00D939D1" w:rsidRPr="008B5CE3">
          <w:rPr>
            <w:rStyle w:val="Hyperlink"/>
            <w:i/>
            <w:iCs/>
          </w:rPr>
          <w:t xml:space="preserve">nticoagulants: </w:t>
        </w:r>
        <w:r w:rsidR="002D2E45" w:rsidRPr="008B5CE3">
          <w:rPr>
            <w:rStyle w:val="Hyperlink"/>
            <w:i/>
            <w:iCs/>
          </w:rPr>
          <w:t>a</w:t>
        </w:r>
        <w:r w:rsidR="00D939D1" w:rsidRPr="008B5CE3">
          <w:rPr>
            <w:rStyle w:val="Hyperlink"/>
            <w:i/>
            <w:iCs/>
          </w:rPr>
          <w:t xml:space="preserve">pixaban, </w:t>
        </w:r>
        <w:r w:rsidR="002D2E45" w:rsidRPr="008B5CE3">
          <w:rPr>
            <w:rStyle w:val="Hyperlink"/>
            <w:i/>
            <w:iCs/>
          </w:rPr>
          <w:t>r</w:t>
        </w:r>
        <w:r w:rsidR="00D939D1" w:rsidRPr="008B5CE3">
          <w:rPr>
            <w:rStyle w:val="Hyperlink"/>
            <w:i/>
            <w:iCs/>
          </w:rPr>
          <w:t xml:space="preserve">ivaroxaban and </w:t>
        </w:r>
        <w:r w:rsidR="002D2E45" w:rsidRPr="008B5CE3">
          <w:rPr>
            <w:rStyle w:val="Hyperlink"/>
            <w:i/>
            <w:iCs/>
          </w:rPr>
          <w:t>d</w:t>
        </w:r>
        <w:r w:rsidR="00D939D1" w:rsidRPr="008B5CE3">
          <w:rPr>
            <w:rStyle w:val="Hyperlink"/>
            <w:i/>
            <w:iCs/>
          </w:rPr>
          <w:t>abigatran</w:t>
        </w:r>
      </w:hyperlink>
      <w:r w:rsidR="00D939D1" w:rsidRPr="008B5CE3">
        <w:t>. SA Health. July 2015</w:t>
      </w:r>
    </w:p>
    <w:p w14:paraId="10F01D3E" w14:textId="5FAEE27E" w:rsidR="00D939D1" w:rsidRPr="008B5CE3" w:rsidRDefault="00D939D1" w:rsidP="00FC6ABE">
      <w:pPr>
        <w:pStyle w:val="ListParagraph"/>
        <w:numPr>
          <w:ilvl w:val="1"/>
          <w:numId w:val="32"/>
        </w:numPr>
      </w:pPr>
      <w:r w:rsidRPr="008B5CE3">
        <w:t xml:space="preserve">Clinical Excellence Commission (CEC). </w:t>
      </w:r>
      <w:hyperlink r:id="rId44" w:history="1">
        <w:r w:rsidR="002D2E45" w:rsidRPr="008B5CE3">
          <w:rPr>
            <w:rStyle w:val="Hyperlink"/>
            <w:i/>
            <w:iCs/>
          </w:rPr>
          <w:t>NOAC Guidelines – N</w:t>
        </w:r>
        <w:r w:rsidRPr="008B5CE3">
          <w:rPr>
            <w:rStyle w:val="Hyperlink"/>
            <w:i/>
            <w:iCs/>
          </w:rPr>
          <w:t>on-vitamin K Antagonist Oral Anticoagulant</w:t>
        </w:r>
      </w:hyperlink>
      <w:r w:rsidRPr="008B5CE3">
        <w:t>. Sydney: CEC: 2017.</w:t>
      </w:r>
    </w:p>
    <w:p w14:paraId="669E8307" w14:textId="77777777" w:rsidR="00D939D1" w:rsidRPr="00EE2461" w:rsidRDefault="00D939D1" w:rsidP="00FA6B8C">
      <w:pPr>
        <w:pStyle w:val="Heading3"/>
      </w:pPr>
      <w:bookmarkStart w:id="45" w:name="_Toc80021302"/>
      <w:r w:rsidRPr="00EE2461">
        <w:lastRenderedPageBreak/>
        <w:t>De-escalation</w:t>
      </w:r>
      <w:bookmarkEnd w:id="45"/>
    </w:p>
    <w:p w14:paraId="6A158386" w14:textId="77777777" w:rsidR="00D939D1" w:rsidRPr="00000B05" w:rsidRDefault="00D939D1" w:rsidP="00FC6ABE">
      <w:pPr>
        <w:pStyle w:val="ListParagraph"/>
        <w:numPr>
          <w:ilvl w:val="0"/>
          <w:numId w:val="13"/>
        </w:numPr>
      </w:pPr>
      <w:r w:rsidRPr="00000B05">
        <w:t xml:space="preserve">Management of patients with atrial fibrillation undergoing surgical procedures: National Heart Foundation of Australia and the Cardiac Society of Australia and New Zealand: Australian Clinical Guidelines for the Diagnosis and Management of Atrial Fibrillation 2018. Brieger DA, et al. Heart, Lung and Circulation, Volume 27, Issue 10, 1209–1266. </w:t>
      </w:r>
      <w:hyperlink r:id="rId45" w:history="1">
        <w:r w:rsidRPr="00000B05">
          <w:rPr>
            <w:rStyle w:val="Hyperlink"/>
          </w:rPr>
          <w:t>www.heartlungcirc.org/article/S1443-9506(18)31778-5/fulltext</w:t>
        </w:r>
      </w:hyperlink>
    </w:p>
    <w:p w14:paraId="56639FAB" w14:textId="3EA7E9D2" w:rsidR="00D939D1" w:rsidRPr="00000B05" w:rsidRDefault="00D939D1" w:rsidP="00FC6ABE">
      <w:pPr>
        <w:pStyle w:val="ListParagraph"/>
        <w:numPr>
          <w:ilvl w:val="0"/>
          <w:numId w:val="13"/>
        </w:numPr>
      </w:pPr>
      <w:r w:rsidRPr="00000B05">
        <w:t xml:space="preserve">For patients on anticoagulants to prevent venous thromboembolism (VTE): Australian Commission on Safety and Quality in Health Care (ACSQHC). </w:t>
      </w:r>
      <w:hyperlink r:id="rId46" w:history="1">
        <w:r w:rsidRPr="00000B05">
          <w:rPr>
            <w:rStyle w:val="Hyperlink"/>
            <w:i/>
            <w:iCs/>
          </w:rPr>
          <w:t>Venous Thromboembolism Prevention Clinical Care Standard</w:t>
        </w:r>
      </w:hyperlink>
      <w:r w:rsidRPr="00000B05">
        <w:t>. Sydney: ACSQHC; 2018</w:t>
      </w:r>
    </w:p>
    <w:p w14:paraId="0D10D371" w14:textId="77777777" w:rsidR="00D939D1" w:rsidRDefault="00D939D1" w:rsidP="00FC6ABE">
      <w:pPr>
        <w:pStyle w:val="ListParagraph"/>
        <w:numPr>
          <w:ilvl w:val="0"/>
          <w:numId w:val="13"/>
        </w:numPr>
      </w:pPr>
      <w:r w:rsidRPr="00000B05">
        <w:t xml:space="preserve">Perioperative management of patients on anticoagulants: Clinical Excellence Commission (CEC). </w:t>
      </w:r>
      <w:hyperlink r:id="rId47" w:history="1">
        <w:r w:rsidRPr="00000B05">
          <w:rPr>
            <w:rStyle w:val="Hyperlink"/>
            <w:i/>
            <w:iCs/>
          </w:rPr>
          <w:t>Guidelines on Perioperative Management of Anticoagulant and Antiplatelet Agents</w:t>
        </w:r>
      </w:hyperlink>
      <w:r w:rsidRPr="00000B05">
        <w:t>. Sydney: CEC; 2018.</w:t>
      </w:r>
    </w:p>
    <w:p w14:paraId="4902E2A9" w14:textId="77777777" w:rsidR="001C597E" w:rsidRDefault="001C597E" w:rsidP="001C597E"/>
    <w:p w14:paraId="00F493C5" w14:textId="77777777" w:rsidR="00462A4D" w:rsidRDefault="00462A4D" w:rsidP="00E534DB">
      <w:pPr>
        <w:pStyle w:val="Heading1"/>
        <w:rPr>
          <w:rFonts w:eastAsia="Calibri"/>
          <w:lang w:eastAsia="en-US"/>
        </w:rPr>
      </w:pPr>
      <w:r>
        <w:rPr>
          <w:rFonts w:eastAsia="Calibri"/>
          <w:lang w:eastAsia="en-US"/>
        </w:rPr>
        <w:br w:type="page"/>
      </w:r>
    </w:p>
    <w:p w14:paraId="6FC4B6A2" w14:textId="2645DC08" w:rsidR="00E534DB" w:rsidRDefault="00E534DB" w:rsidP="00E534DB">
      <w:pPr>
        <w:pStyle w:val="Heading1"/>
        <w:rPr>
          <w:rFonts w:eastAsia="Calibri"/>
          <w:lang w:eastAsia="en-US"/>
        </w:rPr>
      </w:pPr>
      <w:bookmarkStart w:id="46" w:name="_Toc80021303"/>
      <w:r w:rsidRPr="00D277D3">
        <w:rPr>
          <w:rFonts w:eastAsia="Calibri"/>
          <w:lang w:eastAsia="en-US"/>
        </w:rPr>
        <w:lastRenderedPageBreak/>
        <w:t xml:space="preserve">Appendix </w:t>
      </w:r>
      <w:r w:rsidR="004C6D49">
        <w:rPr>
          <w:rFonts w:eastAsia="Calibri"/>
          <w:lang w:eastAsia="en-US"/>
        </w:rPr>
        <w:t>3</w:t>
      </w:r>
      <w:bookmarkEnd w:id="46"/>
    </w:p>
    <w:p w14:paraId="4943B78B" w14:textId="51A9A642" w:rsidR="00A87FA2" w:rsidRDefault="00A87FA2" w:rsidP="00A87FA2">
      <w:pPr>
        <w:pStyle w:val="Heading2"/>
        <w:rPr>
          <w:rFonts w:eastAsia="Calibri"/>
          <w:lang w:eastAsia="en-US"/>
        </w:rPr>
      </w:pPr>
      <w:bookmarkStart w:id="47" w:name="_Toc80021304"/>
      <w:r>
        <w:rPr>
          <w:rFonts w:eastAsia="Calibri"/>
          <w:lang w:eastAsia="en-US"/>
        </w:rPr>
        <w:t>Summary of state and territory interview responses</w:t>
      </w:r>
      <w:bookmarkEnd w:id="47"/>
    </w:p>
    <w:p w14:paraId="745C1999" w14:textId="66AAD300" w:rsidR="004C5899" w:rsidRDefault="004C5899" w:rsidP="004C5899">
      <w:pPr>
        <w:pStyle w:val="Heading3"/>
        <w:rPr>
          <w:rFonts w:eastAsia="Calibri"/>
          <w:lang w:eastAsia="en-US"/>
        </w:rPr>
      </w:pPr>
      <w:bookmarkStart w:id="48" w:name="_Toc80021305"/>
      <w:r w:rsidRPr="004C5899">
        <w:rPr>
          <w:rFonts w:eastAsia="Calibri"/>
          <w:lang w:eastAsia="en-US"/>
        </w:rPr>
        <w:t>N</w:t>
      </w:r>
      <w:r>
        <w:rPr>
          <w:rFonts w:eastAsia="Calibri"/>
          <w:lang w:eastAsia="en-US"/>
        </w:rPr>
        <w:t xml:space="preserve">ew </w:t>
      </w:r>
      <w:r w:rsidRPr="004C5899">
        <w:rPr>
          <w:rFonts w:eastAsia="Calibri"/>
          <w:lang w:eastAsia="en-US"/>
        </w:rPr>
        <w:t>S</w:t>
      </w:r>
      <w:r>
        <w:rPr>
          <w:rFonts w:eastAsia="Calibri"/>
          <w:lang w:eastAsia="en-US"/>
        </w:rPr>
        <w:t xml:space="preserve">outh </w:t>
      </w:r>
      <w:r w:rsidRPr="004C5899">
        <w:rPr>
          <w:rFonts w:eastAsia="Calibri"/>
          <w:lang w:eastAsia="en-US"/>
        </w:rPr>
        <w:t>W</w:t>
      </w:r>
      <w:r>
        <w:rPr>
          <w:rFonts w:eastAsia="Calibri"/>
          <w:lang w:eastAsia="en-US"/>
        </w:rPr>
        <w:t>ales</w:t>
      </w:r>
      <w:r w:rsidRPr="004C5899">
        <w:rPr>
          <w:rFonts w:eastAsia="Calibri"/>
          <w:lang w:eastAsia="en-US"/>
        </w:rPr>
        <w:t xml:space="preserve"> (July 2019)</w:t>
      </w:r>
      <w:bookmarkEnd w:id="48"/>
    </w:p>
    <w:tbl>
      <w:tblPr>
        <w:tblStyle w:val="TableGrid"/>
        <w:tblW w:w="5000" w:type="pct"/>
        <w:tblLook w:val="04A0" w:firstRow="1" w:lastRow="0" w:firstColumn="1" w:lastColumn="0" w:noHBand="0" w:noVBand="1"/>
        <w:tblDescription w:val="Summary of state and territory interview responses – New South Wales (July 2019)"/>
      </w:tblPr>
      <w:tblGrid>
        <w:gridCol w:w="2263"/>
        <w:gridCol w:w="6753"/>
      </w:tblGrid>
      <w:tr w:rsidR="00E534DB" w:rsidRPr="004C5899" w14:paraId="10F090DD" w14:textId="77777777" w:rsidTr="007608CE">
        <w:trPr>
          <w:cnfStyle w:val="100000000000" w:firstRow="1" w:lastRow="0" w:firstColumn="0" w:lastColumn="0" w:oddVBand="0" w:evenVBand="0" w:oddHBand="0" w:evenHBand="0" w:firstRowFirstColumn="0" w:firstRowLastColumn="0" w:lastRowFirstColumn="0" w:lastRowLastColumn="0"/>
          <w:tblHeader/>
        </w:trPr>
        <w:tc>
          <w:tcPr>
            <w:tcW w:w="1255" w:type="pct"/>
          </w:tcPr>
          <w:p w14:paraId="0E0614F6" w14:textId="4C83CF05" w:rsidR="00E534DB" w:rsidRPr="004C5899" w:rsidRDefault="00D241B6" w:rsidP="004C5899">
            <w:r>
              <w:t>Question</w:t>
            </w:r>
          </w:p>
        </w:tc>
        <w:tc>
          <w:tcPr>
            <w:tcW w:w="3745" w:type="pct"/>
          </w:tcPr>
          <w:p w14:paraId="3DCD883E" w14:textId="28E8F53C" w:rsidR="00E534DB" w:rsidRPr="004C5899" w:rsidRDefault="00D241B6" w:rsidP="004C5899">
            <w:r>
              <w:t>Response</w:t>
            </w:r>
          </w:p>
        </w:tc>
      </w:tr>
      <w:tr w:rsidR="00D241B6" w:rsidRPr="004C5899" w14:paraId="2C7B458B" w14:textId="77777777" w:rsidTr="007608CE">
        <w:tc>
          <w:tcPr>
            <w:tcW w:w="1255" w:type="pct"/>
          </w:tcPr>
          <w:p w14:paraId="6F229031" w14:textId="1CA23E78" w:rsidR="00D241B6" w:rsidRPr="004C5899" w:rsidRDefault="00D241B6" w:rsidP="00D241B6">
            <w:r w:rsidRPr="004C5899">
              <w:t>What do you understand to be the biggest problems with anticoagulant management in NSW health services currently</w:t>
            </w:r>
          </w:p>
        </w:tc>
        <w:tc>
          <w:tcPr>
            <w:tcW w:w="3745" w:type="pct"/>
          </w:tcPr>
          <w:p w14:paraId="56EDBB1C" w14:textId="77777777" w:rsidR="00D241B6" w:rsidRPr="004C5899" w:rsidRDefault="00D241B6" w:rsidP="00D241B6">
            <w:r w:rsidRPr="004C5899">
              <w:t>From a 2013/14 report on anticoagulants:</w:t>
            </w:r>
          </w:p>
          <w:p w14:paraId="792FF610" w14:textId="77777777" w:rsidR="00D241B6" w:rsidRPr="00405B3F" w:rsidRDefault="00D241B6" w:rsidP="00FC6ABE">
            <w:pPr>
              <w:pStyle w:val="ListParagraph"/>
              <w:numPr>
                <w:ilvl w:val="0"/>
                <w:numId w:val="33"/>
              </w:numPr>
            </w:pPr>
            <w:r w:rsidRPr="00405B3F">
              <w:t>Anticoagulant use around surgery considered problematic (bridging errors)</w:t>
            </w:r>
          </w:p>
          <w:p w14:paraId="3FFFBC4C" w14:textId="77777777" w:rsidR="00D241B6" w:rsidRPr="00405B3F" w:rsidRDefault="00D241B6" w:rsidP="00FC6ABE">
            <w:pPr>
              <w:pStyle w:val="ListParagraph"/>
              <w:numPr>
                <w:ilvl w:val="0"/>
                <w:numId w:val="33"/>
              </w:numPr>
            </w:pPr>
            <w:r w:rsidRPr="00405B3F">
              <w:t>Heparin use</w:t>
            </w:r>
          </w:p>
          <w:p w14:paraId="1C02A4DC" w14:textId="7C551B9B" w:rsidR="00D241B6" w:rsidRPr="00405B3F" w:rsidRDefault="00D241B6" w:rsidP="00FC6ABE">
            <w:pPr>
              <w:pStyle w:val="ListParagraph"/>
              <w:numPr>
                <w:ilvl w:val="0"/>
                <w:numId w:val="33"/>
              </w:numPr>
            </w:pPr>
            <w:r w:rsidRPr="00405B3F">
              <w:t>Not recognising or familiar with use of Non-Vitamin K antagonist Oral Anticoagulants (NOACs)</w:t>
            </w:r>
            <w:r w:rsidR="00BA47EF">
              <w:t>.</w:t>
            </w:r>
          </w:p>
        </w:tc>
      </w:tr>
      <w:tr w:rsidR="00E534DB" w:rsidRPr="004C5899" w14:paraId="6B126DA8" w14:textId="77777777" w:rsidTr="007608CE">
        <w:trPr>
          <w:trHeight w:val="347"/>
        </w:trPr>
        <w:tc>
          <w:tcPr>
            <w:tcW w:w="1255" w:type="pct"/>
          </w:tcPr>
          <w:p w14:paraId="77F215B2" w14:textId="77777777" w:rsidR="00E534DB" w:rsidRPr="004C5899" w:rsidRDefault="00E534DB" w:rsidP="004C5899">
            <w:r w:rsidRPr="004C5899">
              <w:t>What is NSW data saying?</w:t>
            </w:r>
          </w:p>
        </w:tc>
        <w:tc>
          <w:tcPr>
            <w:tcW w:w="3745" w:type="pct"/>
          </w:tcPr>
          <w:p w14:paraId="1D373C56" w14:textId="3E8C69E2" w:rsidR="00E534DB" w:rsidRPr="004C5899" w:rsidRDefault="00E534DB" w:rsidP="004C5899">
            <w:r w:rsidRPr="004C5899">
              <w:t xml:space="preserve">See above and </w:t>
            </w:r>
            <w:r w:rsidR="00234C25" w:rsidRPr="004C5899">
              <w:t>20</w:t>
            </w:r>
            <w:r w:rsidRPr="004C5899">
              <w:t>13/14</w:t>
            </w:r>
            <w:r w:rsidR="00B603B2" w:rsidRPr="004C5899">
              <w:t xml:space="preserve"> summary</w:t>
            </w:r>
            <w:r w:rsidRPr="004C5899">
              <w:t xml:space="preserve"> report</w:t>
            </w:r>
          </w:p>
        </w:tc>
      </w:tr>
      <w:tr w:rsidR="00E534DB" w:rsidRPr="004C5899" w14:paraId="13F86602" w14:textId="77777777" w:rsidTr="007608CE">
        <w:tc>
          <w:tcPr>
            <w:tcW w:w="1255" w:type="pct"/>
          </w:tcPr>
          <w:p w14:paraId="3D05ABA2" w14:textId="77777777" w:rsidR="00E534DB" w:rsidRPr="004C5899" w:rsidRDefault="00E534DB" w:rsidP="004C5899">
            <w:r w:rsidRPr="004C5899">
              <w:t>What interventions have been put in place?</w:t>
            </w:r>
          </w:p>
        </w:tc>
        <w:tc>
          <w:tcPr>
            <w:tcW w:w="3745" w:type="pct"/>
          </w:tcPr>
          <w:p w14:paraId="1D964B62" w14:textId="3BF3E45E" w:rsidR="00E534DB" w:rsidRPr="004C5899" w:rsidRDefault="00E534DB" w:rsidP="004C5899">
            <w:r w:rsidRPr="004C5899">
              <w:t xml:space="preserve">Since </w:t>
            </w:r>
            <w:r w:rsidR="00234C25" w:rsidRPr="004C5899">
              <w:t>20</w:t>
            </w:r>
            <w:r w:rsidRPr="004C5899">
              <w:t>13/14 incident review:</w:t>
            </w:r>
          </w:p>
          <w:p w14:paraId="29D6A6CD" w14:textId="713CF164" w:rsidR="00E534DB" w:rsidRPr="00405B3F" w:rsidRDefault="002D45FC" w:rsidP="00FC6ABE">
            <w:pPr>
              <w:pStyle w:val="ListParagraph"/>
              <w:numPr>
                <w:ilvl w:val="0"/>
                <w:numId w:val="34"/>
              </w:numPr>
            </w:pPr>
            <w:hyperlink r:id="rId48" w:history="1">
              <w:r w:rsidR="00405B3F" w:rsidRPr="000044DB">
                <w:rPr>
                  <w:rStyle w:val="Hyperlink"/>
                  <w:i/>
                  <w:iCs/>
                </w:rPr>
                <w:t>NOAC Guidelines – Non-vitamin K Antagonist Oral Anticoagulant</w:t>
              </w:r>
            </w:hyperlink>
            <w:r w:rsidR="00405B3F" w:rsidRPr="00405B3F">
              <w:t xml:space="preserve"> </w:t>
            </w:r>
            <w:r w:rsidR="001F2071" w:rsidRPr="00405B3F">
              <w:t>(July 2017)</w:t>
            </w:r>
          </w:p>
          <w:p w14:paraId="2AC9C2CB" w14:textId="353A9ED3" w:rsidR="00E534DB" w:rsidRPr="00405B3F" w:rsidRDefault="002D45FC" w:rsidP="00FC6ABE">
            <w:pPr>
              <w:pStyle w:val="ListParagraph"/>
              <w:numPr>
                <w:ilvl w:val="0"/>
                <w:numId w:val="34"/>
              </w:numPr>
            </w:pPr>
            <w:hyperlink r:id="rId49" w:history="1">
              <w:r w:rsidR="00E534DB" w:rsidRPr="00405B3F">
                <w:rPr>
                  <w:rStyle w:val="Hyperlink"/>
                  <w:i/>
                  <w:iCs/>
                </w:rPr>
                <w:t>Guidelines on perioperative management of anticoagulant and antiplatelet agents</w:t>
              </w:r>
            </w:hyperlink>
            <w:r w:rsidR="001F2071" w:rsidRPr="00405B3F">
              <w:t xml:space="preserve"> (December 2018)</w:t>
            </w:r>
          </w:p>
          <w:p w14:paraId="1942A1B1" w14:textId="02A24C33" w:rsidR="00E534DB" w:rsidRPr="00405B3F" w:rsidRDefault="002D45FC" w:rsidP="00FC6ABE">
            <w:pPr>
              <w:pStyle w:val="ListParagraph"/>
              <w:numPr>
                <w:ilvl w:val="0"/>
                <w:numId w:val="34"/>
              </w:numPr>
            </w:pPr>
            <w:hyperlink r:id="rId50" w:history="1">
              <w:r w:rsidR="00E534DB" w:rsidRPr="00405B3F">
                <w:rPr>
                  <w:rStyle w:val="Hyperlink"/>
                </w:rPr>
                <w:t>IV Unfractionated Heparin Recommended Standard</w:t>
              </w:r>
            </w:hyperlink>
            <w:r w:rsidR="00E534DB" w:rsidRPr="00405B3F">
              <w:t xml:space="preserve"> (</w:t>
            </w:r>
            <w:r w:rsidR="001F2071" w:rsidRPr="00405B3F">
              <w:t>December 2018</w:t>
            </w:r>
            <w:r w:rsidR="00E534DB" w:rsidRPr="00405B3F">
              <w:t>)</w:t>
            </w:r>
          </w:p>
          <w:p w14:paraId="1D180608" w14:textId="6EC78602" w:rsidR="001F2071" w:rsidRPr="00405B3F" w:rsidRDefault="002D45FC" w:rsidP="00FC6ABE">
            <w:pPr>
              <w:pStyle w:val="ListParagraph"/>
              <w:numPr>
                <w:ilvl w:val="0"/>
                <w:numId w:val="34"/>
              </w:numPr>
            </w:pPr>
            <w:hyperlink r:id="rId51" w:history="1">
              <w:r w:rsidR="0053223E" w:rsidRPr="00405B3F">
                <w:rPr>
                  <w:rStyle w:val="Hyperlink"/>
                </w:rPr>
                <w:t>Education and training resources</w:t>
              </w:r>
            </w:hyperlink>
            <w:r w:rsidR="00405B3F">
              <w:t>:</w:t>
            </w:r>
          </w:p>
          <w:p w14:paraId="618FB81C" w14:textId="3A24C139" w:rsidR="001F2071" w:rsidRPr="00405B3F" w:rsidRDefault="0053223E" w:rsidP="00FC6ABE">
            <w:pPr>
              <w:pStyle w:val="ListParagraph"/>
              <w:numPr>
                <w:ilvl w:val="1"/>
                <w:numId w:val="34"/>
              </w:numPr>
            </w:pPr>
            <w:r w:rsidRPr="00405B3F">
              <w:t xml:space="preserve">VTE risk assessment </w:t>
            </w:r>
            <w:r w:rsidR="00E534DB" w:rsidRPr="00405B3F">
              <w:t>(covers off on technical and clinical aspects of VTE risk assessment)</w:t>
            </w:r>
            <w:r w:rsidRPr="00405B3F">
              <w:t xml:space="preserve"> </w:t>
            </w:r>
          </w:p>
          <w:p w14:paraId="7D4C0AEF" w14:textId="77777777" w:rsidR="001F2071" w:rsidRPr="00405B3F" w:rsidRDefault="001F2071" w:rsidP="00FC6ABE">
            <w:pPr>
              <w:pStyle w:val="ListParagraph"/>
              <w:numPr>
                <w:ilvl w:val="1"/>
                <w:numId w:val="34"/>
              </w:numPr>
            </w:pPr>
            <w:r w:rsidRPr="00405B3F">
              <w:t>Safe use of Anticoagulants</w:t>
            </w:r>
          </w:p>
          <w:p w14:paraId="71D9AD45" w14:textId="07024635" w:rsidR="00E534DB" w:rsidRPr="00405B3F" w:rsidRDefault="001F2071" w:rsidP="00FC6ABE">
            <w:pPr>
              <w:pStyle w:val="ListParagraph"/>
              <w:numPr>
                <w:ilvl w:val="1"/>
                <w:numId w:val="34"/>
              </w:numPr>
            </w:pPr>
            <w:r w:rsidRPr="00405B3F">
              <w:t>EMR interventions:</w:t>
            </w:r>
            <w:r w:rsidR="00E534DB" w:rsidRPr="00405B3F">
              <w:t xml:space="preserve"> VTE Risk assessme</w:t>
            </w:r>
            <w:r w:rsidRPr="00405B3F">
              <w:t>nt for adult admitted patients</w:t>
            </w:r>
          </w:p>
          <w:p w14:paraId="46D928A0" w14:textId="77777777" w:rsidR="00E534DB" w:rsidRPr="00405B3F" w:rsidRDefault="00E534DB" w:rsidP="00FC6ABE">
            <w:pPr>
              <w:pStyle w:val="ListParagraph"/>
              <w:numPr>
                <w:ilvl w:val="0"/>
                <w:numId w:val="34"/>
              </w:numPr>
            </w:pPr>
            <w:r w:rsidRPr="00405B3F">
              <w:t>At a local level LHDs have incorporated in their EMM guidance on prescribing of VTE prophylaxis (e.g. PowerPlan).</w:t>
            </w:r>
          </w:p>
        </w:tc>
      </w:tr>
      <w:tr w:rsidR="00E534DB" w:rsidRPr="004C5899" w14:paraId="5C66FA98" w14:textId="77777777" w:rsidTr="007608CE">
        <w:tc>
          <w:tcPr>
            <w:tcW w:w="1255" w:type="pct"/>
          </w:tcPr>
          <w:p w14:paraId="3B6E1313" w14:textId="77777777" w:rsidR="00E534DB" w:rsidRPr="004C5899" w:rsidRDefault="00E534DB" w:rsidP="004C5899">
            <w:r w:rsidRPr="004C5899">
              <w:t>Has any data or is data being captured about the interventions that have been made?</w:t>
            </w:r>
          </w:p>
        </w:tc>
        <w:tc>
          <w:tcPr>
            <w:tcW w:w="3745" w:type="pct"/>
          </w:tcPr>
          <w:p w14:paraId="08DE8A29" w14:textId="34FEC5C6" w:rsidR="00E534DB" w:rsidRPr="004C5899" w:rsidRDefault="00E534DB" w:rsidP="004C5899">
            <w:r w:rsidRPr="004C5899">
              <w:t>No measures</w:t>
            </w:r>
            <w:r w:rsidR="002D2E45" w:rsidRPr="004C5899">
              <w:t>/</w:t>
            </w:r>
            <w:r w:rsidRPr="004C5899">
              <w:t>outcomes being captured at this time due to limited resourcing</w:t>
            </w:r>
          </w:p>
        </w:tc>
      </w:tr>
      <w:tr w:rsidR="00E534DB" w:rsidRPr="004C5899" w14:paraId="71FC4810" w14:textId="77777777" w:rsidTr="007608CE">
        <w:tc>
          <w:tcPr>
            <w:tcW w:w="1255" w:type="pct"/>
          </w:tcPr>
          <w:p w14:paraId="75A87FCB" w14:textId="74E2FE64" w:rsidR="00E534DB" w:rsidRPr="004C5899" w:rsidRDefault="00E534DB" w:rsidP="004C5899">
            <w:r w:rsidRPr="004C5899">
              <w:t>What work</w:t>
            </w:r>
            <w:r w:rsidR="00B603B2" w:rsidRPr="004C5899">
              <w:t xml:space="preserve"> </w:t>
            </w:r>
            <w:r w:rsidRPr="004C5899">
              <w:t>plans are in</w:t>
            </w:r>
            <w:r w:rsidR="00B603B2" w:rsidRPr="004C5899">
              <w:t xml:space="preserve"> </w:t>
            </w:r>
            <w:r w:rsidRPr="004C5899">
              <w:t>place? What risk mitigation strategies, what education or forms?</w:t>
            </w:r>
          </w:p>
        </w:tc>
        <w:tc>
          <w:tcPr>
            <w:tcW w:w="3745" w:type="pct"/>
          </w:tcPr>
          <w:p w14:paraId="5C3B8222" w14:textId="6FC1E402" w:rsidR="00E534DB" w:rsidRPr="004C5899" w:rsidRDefault="00E534DB" w:rsidP="004C5899">
            <w:r w:rsidRPr="004C5899">
              <w:t>While support for safe anticoagulant use is ongoing, NSW will be focusing future work on opioids at this time</w:t>
            </w:r>
          </w:p>
        </w:tc>
      </w:tr>
      <w:tr w:rsidR="00E534DB" w:rsidRPr="004C5899" w14:paraId="15EDABCE" w14:textId="77777777" w:rsidTr="007608CE">
        <w:tc>
          <w:tcPr>
            <w:tcW w:w="1255" w:type="pct"/>
          </w:tcPr>
          <w:p w14:paraId="7665755C" w14:textId="4F870257" w:rsidR="00E534DB" w:rsidRPr="004C5899" w:rsidRDefault="00E534DB" w:rsidP="004C5899">
            <w:r w:rsidRPr="004C5899">
              <w:lastRenderedPageBreak/>
              <w:t>Anticoag</w:t>
            </w:r>
            <w:r w:rsidR="00B603B2" w:rsidRPr="004C5899">
              <w:t>ulant</w:t>
            </w:r>
            <w:r w:rsidRPr="004C5899">
              <w:t xml:space="preserve"> work in the EMM system</w:t>
            </w:r>
          </w:p>
        </w:tc>
        <w:tc>
          <w:tcPr>
            <w:tcW w:w="3745" w:type="pct"/>
          </w:tcPr>
          <w:p w14:paraId="2D544BD3" w14:textId="77777777" w:rsidR="00E534DB" w:rsidRPr="004C5899" w:rsidRDefault="00E534DB" w:rsidP="004C5899">
            <w:r w:rsidRPr="004C5899">
              <w:t>For further discussion with eHealth NSW</w:t>
            </w:r>
          </w:p>
        </w:tc>
      </w:tr>
      <w:tr w:rsidR="00E534DB" w:rsidRPr="004C5899" w14:paraId="1D85616F" w14:textId="77777777" w:rsidTr="007608CE">
        <w:tc>
          <w:tcPr>
            <w:tcW w:w="1255" w:type="pct"/>
          </w:tcPr>
          <w:p w14:paraId="59E4C29E" w14:textId="77DCF4D9" w:rsidR="00E534DB" w:rsidRPr="004C5899" w:rsidRDefault="00E534DB" w:rsidP="004C5899">
            <w:r w:rsidRPr="004C5899">
              <w:t>What do you feel the Commission could be doing to assist with improving safety of anticoag</w:t>
            </w:r>
            <w:r w:rsidR="00B708E8" w:rsidRPr="004C5899">
              <w:t>ulant</w:t>
            </w:r>
            <w:r w:rsidRPr="004C5899">
              <w:t xml:space="preserve"> management</w:t>
            </w:r>
            <w:r w:rsidR="002D2E45" w:rsidRPr="004C5899">
              <w:t>/</w:t>
            </w:r>
            <w:r w:rsidRPr="004C5899">
              <w:t>use?</w:t>
            </w:r>
          </w:p>
        </w:tc>
        <w:tc>
          <w:tcPr>
            <w:tcW w:w="3745" w:type="pct"/>
          </w:tcPr>
          <w:p w14:paraId="380B1DDC" w14:textId="0AE60574" w:rsidR="00E534DB" w:rsidRPr="004C5899" w:rsidRDefault="00E534DB" w:rsidP="004C5899">
            <w:r w:rsidRPr="004C5899">
              <w:t>Assisting with measurement</w:t>
            </w:r>
            <w:r w:rsidR="002D2E45" w:rsidRPr="004C5899">
              <w:t xml:space="preserve"> – </w:t>
            </w:r>
            <w:r w:rsidRPr="004C5899">
              <w:t xml:space="preserve">e.g. </w:t>
            </w:r>
            <w:hyperlink r:id="rId52" w:history="1">
              <w:r w:rsidRPr="004C5899">
                <w:rPr>
                  <w:rStyle w:val="Hyperlink"/>
                </w:rPr>
                <w:t>Nat</w:t>
              </w:r>
              <w:r w:rsidR="00B603B2" w:rsidRPr="004C5899">
                <w:rPr>
                  <w:rStyle w:val="Hyperlink"/>
                </w:rPr>
                <w:t>ional</w:t>
              </w:r>
              <w:r w:rsidRPr="004C5899">
                <w:rPr>
                  <w:rStyle w:val="Hyperlink"/>
                </w:rPr>
                <w:t xml:space="preserve"> QUM Indicators</w:t>
              </w:r>
              <w:r w:rsidR="00437EAF" w:rsidRPr="004C5899">
                <w:rPr>
                  <w:rStyle w:val="Hyperlink"/>
                </w:rPr>
                <w:t xml:space="preserve"> for Australian Hospitals Set 1: A</w:t>
              </w:r>
              <w:r w:rsidRPr="004C5899">
                <w:rPr>
                  <w:rStyle w:val="Hyperlink"/>
                </w:rPr>
                <w:t>ntithrombotic</w:t>
              </w:r>
              <w:r w:rsidR="00437EAF" w:rsidRPr="004C5899">
                <w:rPr>
                  <w:rStyle w:val="Hyperlink"/>
                </w:rPr>
                <w:t xml:space="preserve"> therapy</w:t>
              </w:r>
            </w:hyperlink>
          </w:p>
        </w:tc>
      </w:tr>
      <w:tr w:rsidR="00E534DB" w:rsidRPr="004C5899" w14:paraId="30F13B75" w14:textId="77777777" w:rsidTr="007608CE">
        <w:tc>
          <w:tcPr>
            <w:tcW w:w="1255" w:type="pct"/>
          </w:tcPr>
          <w:p w14:paraId="20F79101" w14:textId="77777777" w:rsidR="00E534DB" w:rsidRPr="004C5899" w:rsidRDefault="00E534DB" w:rsidP="004C5899">
            <w:r w:rsidRPr="004C5899">
              <w:t>Further ideas</w:t>
            </w:r>
          </w:p>
        </w:tc>
        <w:tc>
          <w:tcPr>
            <w:tcW w:w="3745" w:type="pct"/>
          </w:tcPr>
          <w:p w14:paraId="5482973F" w14:textId="35300907" w:rsidR="00E534DB" w:rsidRPr="004C5899" w:rsidRDefault="00E534DB" w:rsidP="004C5899">
            <w:r w:rsidRPr="004C5899">
              <w:t xml:space="preserve">Australianising the </w:t>
            </w:r>
            <w:r w:rsidR="00437EAF" w:rsidRPr="004C5899">
              <w:t>2017</w:t>
            </w:r>
            <w:r w:rsidRPr="004C5899">
              <w:t xml:space="preserve"> I</w:t>
            </w:r>
            <w:r w:rsidR="00437EAF" w:rsidRPr="004C5899">
              <w:t>nstitute for Safe Medication Practices (I</w:t>
            </w:r>
            <w:r w:rsidRPr="004C5899">
              <w:t>SMP</w:t>
            </w:r>
            <w:r w:rsidR="00437EAF" w:rsidRPr="004C5899">
              <w:t>)</w:t>
            </w:r>
            <w:r w:rsidRPr="004C5899">
              <w:t xml:space="preserve"> </w:t>
            </w:r>
            <w:hyperlink r:id="rId53" w:history="1">
              <w:r w:rsidRPr="006B6503">
                <w:rPr>
                  <w:rStyle w:val="Hyperlink"/>
                  <w:i/>
                  <w:iCs/>
                </w:rPr>
                <w:t>M</w:t>
              </w:r>
              <w:r w:rsidR="00437EAF" w:rsidRPr="006B6503">
                <w:rPr>
                  <w:rStyle w:val="Hyperlink"/>
                  <w:i/>
                  <w:iCs/>
                </w:rPr>
                <w:t>edication Safety Self Assessment (M</w:t>
              </w:r>
              <w:r w:rsidRPr="006B6503">
                <w:rPr>
                  <w:rStyle w:val="Hyperlink"/>
                  <w:i/>
                  <w:iCs/>
                </w:rPr>
                <w:t>SSA</w:t>
              </w:r>
              <w:r w:rsidR="00437EAF" w:rsidRPr="006B6503">
                <w:rPr>
                  <w:rStyle w:val="Hyperlink"/>
                  <w:i/>
                  <w:iCs/>
                </w:rPr>
                <w:t>) for</w:t>
              </w:r>
              <w:r w:rsidRPr="006B6503">
                <w:rPr>
                  <w:rStyle w:val="Hyperlink"/>
                  <w:i/>
                  <w:iCs/>
                </w:rPr>
                <w:t xml:space="preserve"> Antithrombotic </w:t>
              </w:r>
              <w:r w:rsidR="00437EAF" w:rsidRPr="006B6503">
                <w:rPr>
                  <w:rStyle w:val="Hyperlink"/>
                  <w:i/>
                  <w:iCs/>
                </w:rPr>
                <w:t>Therapy</w:t>
              </w:r>
            </w:hyperlink>
          </w:p>
        </w:tc>
      </w:tr>
      <w:tr w:rsidR="00E534DB" w:rsidRPr="004C5899" w14:paraId="3D1D2309" w14:textId="77777777" w:rsidTr="007608CE">
        <w:tc>
          <w:tcPr>
            <w:tcW w:w="1255" w:type="pct"/>
          </w:tcPr>
          <w:p w14:paraId="3182BCBD" w14:textId="77777777" w:rsidR="00E534DB" w:rsidRPr="004C5899" w:rsidRDefault="00E534DB" w:rsidP="004C5899">
            <w:r w:rsidRPr="004C5899">
              <w:t>Other notes</w:t>
            </w:r>
          </w:p>
        </w:tc>
        <w:tc>
          <w:tcPr>
            <w:tcW w:w="3745" w:type="pct"/>
          </w:tcPr>
          <w:p w14:paraId="7F8F7234" w14:textId="1C40AEFE" w:rsidR="00E534DB" w:rsidRPr="004C5899" w:rsidRDefault="00D374FF" w:rsidP="004C5899">
            <w:r>
              <w:t>–</w:t>
            </w:r>
          </w:p>
        </w:tc>
      </w:tr>
    </w:tbl>
    <w:p w14:paraId="269B08F0" w14:textId="1254501F" w:rsidR="001541E5" w:rsidRDefault="001541E5" w:rsidP="001541E5">
      <w:pPr>
        <w:pStyle w:val="Heading3"/>
        <w:rPr>
          <w:noProof/>
        </w:rPr>
      </w:pPr>
      <w:bookmarkStart w:id="49" w:name="_Toc80021306"/>
      <w:r w:rsidRPr="004C5899">
        <w:t>Victoria (August 2019)</w:t>
      </w:r>
      <w:bookmarkEnd w:id="49"/>
    </w:p>
    <w:tbl>
      <w:tblPr>
        <w:tblStyle w:val="TableGrid"/>
        <w:tblW w:w="5000" w:type="pct"/>
        <w:tblLook w:val="04A0" w:firstRow="1" w:lastRow="0" w:firstColumn="1" w:lastColumn="0" w:noHBand="0" w:noVBand="1"/>
        <w:tblDescription w:val="Summary of state and territory interview responses – Victoria (August 2019)"/>
      </w:tblPr>
      <w:tblGrid>
        <w:gridCol w:w="2263"/>
        <w:gridCol w:w="6753"/>
      </w:tblGrid>
      <w:tr w:rsidR="001541E5" w:rsidRPr="004C5899" w14:paraId="498F7BBE" w14:textId="77777777" w:rsidTr="007608CE">
        <w:trPr>
          <w:cnfStyle w:val="100000000000" w:firstRow="1" w:lastRow="0" w:firstColumn="0" w:lastColumn="0" w:oddVBand="0" w:evenVBand="0" w:oddHBand="0" w:evenHBand="0" w:firstRowFirstColumn="0" w:firstRowLastColumn="0" w:lastRowFirstColumn="0" w:lastRowLastColumn="0"/>
          <w:tblHeader/>
        </w:trPr>
        <w:tc>
          <w:tcPr>
            <w:tcW w:w="1255" w:type="pct"/>
          </w:tcPr>
          <w:p w14:paraId="5F1A6F83" w14:textId="77777777" w:rsidR="001541E5" w:rsidRPr="004C5899" w:rsidRDefault="001541E5" w:rsidP="00773A4F">
            <w:r>
              <w:t>Question</w:t>
            </w:r>
          </w:p>
        </w:tc>
        <w:tc>
          <w:tcPr>
            <w:tcW w:w="3745" w:type="pct"/>
          </w:tcPr>
          <w:p w14:paraId="1434D301" w14:textId="77777777" w:rsidR="001541E5" w:rsidRPr="004C5899" w:rsidRDefault="001541E5" w:rsidP="00773A4F">
            <w:r>
              <w:t>Response</w:t>
            </w:r>
          </w:p>
        </w:tc>
      </w:tr>
      <w:tr w:rsidR="00405B3F" w:rsidRPr="004C5899" w14:paraId="58B4297A" w14:textId="77777777" w:rsidTr="007608CE">
        <w:tc>
          <w:tcPr>
            <w:tcW w:w="1255" w:type="pct"/>
          </w:tcPr>
          <w:p w14:paraId="1778AE0A" w14:textId="05D9518B" w:rsidR="00405B3F" w:rsidRPr="004C5899" w:rsidRDefault="00405B3F" w:rsidP="00773A4F">
            <w:r w:rsidRPr="004C5899">
              <w:t xml:space="preserve">What do you understand to be the biggest problems with anticoagulant management in </w:t>
            </w:r>
            <w:r w:rsidR="001541E5">
              <w:t>Vic</w:t>
            </w:r>
            <w:r w:rsidRPr="004C5899">
              <w:t xml:space="preserve"> health services currently</w:t>
            </w:r>
          </w:p>
        </w:tc>
        <w:tc>
          <w:tcPr>
            <w:tcW w:w="3745" w:type="pct"/>
          </w:tcPr>
          <w:p w14:paraId="0BB96571" w14:textId="77777777" w:rsidR="00405B3F" w:rsidRPr="007165AA" w:rsidRDefault="00405B3F" w:rsidP="00FC6ABE">
            <w:pPr>
              <w:pStyle w:val="ListParagraph"/>
              <w:numPr>
                <w:ilvl w:val="0"/>
                <w:numId w:val="35"/>
              </w:numPr>
            </w:pPr>
            <w:r w:rsidRPr="007165AA">
              <w:t>Difficult to pinpoint due to Victoria being so devolved</w:t>
            </w:r>
          </w:p>
          <w:p w14:paraId="62754F2E" w14:textId="77777777" w:rsidR="00405B3F" w:rsidRPr="007165AA" w:rsidRDefault="00405B3F" w:rsidP="00FC6ABE">
            <w:pPr>
              <w:pStyle w:val="ListParagraph"/>
              <w:numPr>
                <w:ilvl w:val="0"/>
                <w:numId w:val="35"/>
              </w:numPr>
            </w:pPr>
            <w:r w:rsidRPr="007165AA">
              <w:t>Suggested that the following are the most problematic:</w:t>
            </w:r>
          </w:p>
          <w:p w14:paraId="496B7B37" w14:textId="69B595C5" w:rsidR="00405B3F" w:rsidRPr="007165AA" w:rsidRDefault="007165AA" w:rsidP="00FC6ABE">
            <w:pPr>
              <w:pStyle w:val="ListParagraph"/>
              <w:numPr>
                <w:ilvl w:val="1"/>
                <w:numId w:val="35"/>
              </w:numPr>
            </w:pPr>
            <w:r>
              <w:t>p</w:t>
            </w:r>
            <w:r w:rsidR="00405B3F" w:rsidRPr="007165AA">
              <w:t>erioperative management</w:t>
            </w:r>
          </w:p>
          <w:p w14:paraId="3B62CF36" w14:textId="40E74BD2" w:rsidR="00405B3F" w:rsidRPr="007165AA" w:rsidRDefault="007165AA" w:rsidP="00FC6ABE">
            <w:pPr>
              <w:pStyle w:val="ListParagraph"/>
              <w:numPr>
                <w:ilvl w:val="1"/>
                <w:numId w:val="35"/>
              </w:numPr>
            </w:pPr>
            <w:r>
              <w:t>t</w:t>
            </w:r>
            <w:r w:rsidR="00405B3F" w:rsidRPr="007165AA">
              <w:t>herapeutic duplication</w:t>
            </w:r>
            <w:r>
              <w:t>.</w:t>
            </w:r>
          </w:p>
        </w:tc>
      </w:tr>
      <w:tr w:rsidR="00405B3F" w:rsidRPr="004C5899" w14:paraId="33955779" w14:textId="77777777" w:rsidTr="007608CE">
        <w:trPr>
          <w:trHeight w:val="409"/>
        </w:trPr>
        <w:tc>
          <w:tcPr>
            <w:tcW w:w="1255" w:type="pct"/>
          </w:tcPr>
          <w:p w14:paraId="12A80584" w14:textId="66440CB6" w:rsidR="00405B3F" w:rsidRPr="004C5899" w:rsidRDefault="00405B3F" w:rsidP="00773A4F">
            <w:r w:rsidRPr="004C5899">
              <w:t xml:space="preserve">What is </w:t>
            </w:r>
            <w:r w:rsidR="001541E5">
              <w:t>Vic</w:t>
            </w:r>
            <w:r w:rsidRPr="004C5899">
              <w:t xml:space="preserve"> data saying?</w:t>
            </w:r>
          </w:p>
        </w:tc>
        <w:tc>
          <w:tcPr>
            <w:tcW w:w="3745" w:type="pct"/>
          </w:tcPr>
          <w:p w14:paraId="52E84469" w14:textId="5DF4DFC4" w:rsidR="00405B3F" w:rsidRPr="004C5899" w:rsidRDefault="00953951" w:rsidP="00773A4F">
            <w:r>
              <w:t>–</w:t>
            </w:r>
          </w:p>
        </w:tc>
      </w:tr>
      <w:tr w:rsidR="00405B3F" w:rsidRPr="004C5899" w14:paraId="1640F206" w14:textId="77777777" w:rsidTr="007608CE">
        <w:tc>
          <w:tcPr>
            <w:tcW w:w="1255" w:type="pct"/>
          </w:tcPr>
          <w:p w14:paraId="034982F2" w14:textId="77777777" w:rsidR="00405B3F" w:rsidRPr="004C5899" w:rsidRDefault="00405B3F" w:rsidP="00773A4F">
            <w:r w:rsidRPr="004C5899">
              <w:t>What interventions have been put in place /are ongoing?</w:t>
            </w:r>
          </w:p>
        </w:tc>
        <w:tc>
          <w:tcPr>
            <w:tcW w:w="3745" w:type="pct"/>
          </w:tcPr>
          <w:p w14:paraId="3631240E" w14:textId="77777777" w:rsidR="00405B3F" w:rsidRPr="004C5899" w:rsidRDefault="00405B3F" w:rsidP="00773A4F">
            <w:r w:rsidRPr="004C5899">
              <w:t>Establishment of a Melbourne Health working group and changes to the medication chart</w:t>
            </w:r>
          </w:p>
        </w:tc>
      </w:tr>
      <w:tr w:rsidR="00405B3F" w:rsidRPr="004C5899" w14:paraId="0A781A18" w14:textId="77777777" w:rsidTr="007608CE">
        <w:tc>
          <w:tcPr>
            <w:tcW w:w="1255" w:type="pct"/>
          </w:tcPr>
          <w:p w14:paraId="54919EDA" w14:textId="77777777" w:rsidR="00405B3F" w:rsidRPr="004C5899" w:rsidRDefault="00405B3F" w:rsidP="00773A4F">
            <w:r w:rsidRPr="004C5899">
              <w:t>Has any data or is data being captured about the interventions that have been made?</w:t>
            </w:r>
          </w:p>
        </w:tc>
        <w:tc>
          <w:tcPr>
            <w:tcW w:w="3745" w:type="pct"/>
          </w:tcPr>
          <w:p w14:paraId="718806C1" w14:textId="2EB56D2B" w:rsidR="00405B3F" w:rsidRPr="004C5899" w:rsidRDefault="00953951" w:rsidP="00773A4F">
            <w:r>
              <w:t>–</w:t>
            </w:r>
          </w:p>
        </w:tc>
      </w:tr>
      <w:tr w:rsidR="00405B3F" w:rsidRPr="004C5899" w14:paraId="5CBB0546" w14:textId="77777777" w:rsidTr="007608CE">
        <w:tc>
          <w:tcPr>
            <w:tcW w:w="1255" w:type="pct"/>
          </w:tcPr>
          <w:p w14:paraId="3C8DC77C" w14:textId="411DBFDA" w:rsidR="00405B3F" w:rsidRPr="004C5899" w:rsidRDefault="00405B3F" w:rsidP="00773A4F">
            <w:r w:rsidRPr="004C5899">
              <w:lastRenderedPageBreak/>
              <w:t>What work plans are in place? What risk mitigation strategies, what education or policy/protocols etc</w:t>
            </w:r>
            <w:r w:rsidR="002577D0">
              <w:t>.</w:t>
            </w:r>
            <w:r w:rsidRPr="004C5899">
              <w:t>?</w:t>
            </w:r>
          </w:p>
        </w:tc>
        <w:tc>
          <w:tcPr>
            <w:tcW w:w="3745" w:type="pct"/>
          </w:tcPr>
          <w:p w14:paraId="262AC5CD" w14:textId="77777777" w:rsidR="00405B3F" w:rsidRPr="00E500D0" w:rsidRDefault="00405B3F" w:rsidP="00FC6ABE">
            <w:pPr>
              <w:pStyle w:val="ListParagraph"/>
              <w:numPr>
                <w:ilvl w:val="0"/>
                <w:numId w:val="36"/>
              </w:numPr>
            </w:pPr>
            <w:r w:rsidRPr="00E500D0">
              <w:t>Holding regular events: for instance, repeating 2019 roundtable jointly hosted by Safer Care Victoria and Victorian Therapeutic Advisory Group (VicTAG)</w:t>
            </w:r>
          </w:p>
          <w:p w14:paraId="51F31693" w14:textId="77777777" w:rsidR="00405B3F" w:rsidRPr="00E500D0" w:rsidRDefault="00405B3F" w:rsidP="00FC6ABE">
            <w:pPr>
              <w:pStyle w:val="ListParagraph"/>
              <w:numPr>
                <w:ilvl w:val="0"/>
                <w:numId w:val="36"/>
              </w:numPr>
            </w:pPr>
            <w:r w:rsidRPr="00E500D0">
              <w:t>Review of incident data and scoping strategies: Melbourne Health and Safer Care Victoria collaboration</w:t>
            </w:r>
          </w:p>
          <w:p w14:paraId="75B5DBB7" w14:textId="77777777" w:rsidR="00405B3F" w:rsidRPr="00E500D0" w:rsidRDefault="00405B3F" w:rsidP="00FC6ABE">
            <w:pPr>
              <w:pStyle w:val="ListParagraph"/>
              <w:numPr>
                <w:ilvl w:val="0"/>
                <w:numId w:val="36"/>
              </w:numPr>
            </w:pPr>
            <w:r w:rsidRPr="00E500D0">
              <w:t>Considering use of ICD-10 codes to quantify and look at costs associated with anticoagulants.</w:t>
            </w:r>
          </w:p>
        </w:tc>
      </w:tr>
      <w:tr w:rsidR="00405B3F" w:rsidRPr="004C5899" w14:paraId="742061DC" w14:textId="77777777" w:rsidTr="007608CE">
        <w:tc>
          <w:tcPr>
            <w:tcW w:w="1255" w:type="pct"/>
          </w:tcPr>
          <w:p w14:paraId="0DC629C5" w14:textId="36D2C973" w:rsidR="00405B3F" w:rsidRPr="004C5899" w:rsidRDefault="00405B3F" w:rsidP="00773A4F">
            <w:r w:rsidRPr="004C5899">
              <w:t>Anticoagulant work in the EMM system</w:t>
            </w:r>
          </w:p>
        </w:tc>
        <w:tc>
          <w:tcPr>
            <w:tcW w:w="3745" w:type="pct"/>
          </w:tcPr>
          <w:p w14:paraId="063D2E28" w14:textId="6653145A" w:rsidR="00405B3F" w:rsidRPr="004C5899" w:rsidRDefault="00D374FF" w:rsidP="00773A4F">
            <w:r>
              <w:t>–</w:t>
            </w:r>
          </w:p>
        </w:tc>
      </w:tr>
      <w:tr w:rsidR="00405B3F" w:rsidRPr="004C5899" w14:paraId="2F452304" w14:textId="77777777" w:rsidTr="007608CE">
        <w:tc>
          <w:tcPr>
            <w:tcW w:w="1255" w:type="pct"/>
          </w:tcPr>
          <w:p w14:paraId="19573101" w14:textId="77777777" w:rsidR="00405B3F" w:rsidRPr="004C5899" w:rsidRDefault="00405B3F" w:rsidP="00773A4F">
            <w:r w:rsidRPr="004C5899">
              <w:t>What do you feel the Commission could be doing to assist with improving safety of anticoagulant management/use?</w:t>
            </w:r>
          </w:p>
        </w:tc>
        <w:tc>
          <w:tcPr>
            <w:tcW w:w="3745" w:type="pct"/>
          </w:tcPr>
          <w:p w14:paraId="40FFC569" w14:textId="09719AFA" w:rsidR="00405B3F" w:rsidRPr="004C5899" w:rsidRDefault="00D374FF" w:rsidP="00773A4F">
            <w:r>
              <w:t>–</w:t>
            </w:r>
          </w:p>
        </w:tc>
      </w:tr>
      <w:tr w:rsidR="00405B3F" w:rsidRPr="004C5899" w14:paraId="28ABEFE1" w14:textId="77777777" w:rsidTr="007608CE">
        <w:tc>
          <w:tcPr>
            <w:tcW w:w="1255" w:type="pct"/>
          </w:tcPr>
          <w:p w14:paraId="0A5D0A14" w14:textId="77777777" w:rsidR="00405B3F" w:rsidRPr="004C5899" w:rsidRDefault="00405B3F" w:rsidP="00773A4F">
            <w:r w:rsidRPr="004C5899">
              <w:t>Further ideas</w:t>
            </w:r>
          </w:p>
        </w:tc>
        <w:tc>
          <w:tcPr>
            <w:tcW w:w="3745" w:type="pct"/>
          </w:tcPr>
          <w:p w14:paraId="2E584888" w14:textId="77777777" w:rsidR="00405B3F" w:rsidRPr="00E500D0" w:rsidRDefault="00405B3F" w:rsidP="00FC6ABE">
            <w:pPr>
              <w:pStyle w:val="ListParagraph"/>
              <w:numPr>
                <w:ilvl w:val="0"/>
                <w:numId w:val="37"/>
              </w:numPr>
            </w:pPr>
            <w:r w:rsidRPr="00E500D0">
              <w:t>Indicators for appropriateness of anticoagulant use</w:t>
            </w:r>
          </w:p>
          <w:p w14:paraId="0BE343C7" w14:textId="77777777" w:rsidR="00405B3F" w:rsidRPr="00E500D0" w:rsidRDefault="00405B3F" w:rsidP="00FC6ABE">
            <w:pPr>
              <w:pStyle w:val="ListParagraph"/>
              <w:numPr>
                <w:ilvl w:val="0"/>
                <w:numId w:val="37"/>
              </w:numPr>
            </w:pPr>
            <w:r w:rsidRPr="00E500D0">
              <w:t>Development of a standardised tool to assess appropriateness.</w:t>
            </w:r>
          </w:p>
        </w:tc>
      </w:tr>
      <w:tr w:rsidR="00405B3F" w:rsidRPr="004C5899" w14:paraId="6D4753F4" w14:textId="77777777" w:rsidTr="007608CE">
        <w:tc>
          <w:tcPr>
            <w:tcW w:w="1255" w:type="pct"/>
          </w:tcPr>
          <w:p w14:paraId="671E4242" w14:textId="77777777" w:rsidR="00405B3F" w:rsidRPr="004C5899" w:rsidRDefault="00405B3F" w:rsidP="00773A4F">
            <w:r w:rsidRPr="004C5899">
              <w:t>Other notes</w:t>
            </w:r>
          </w:p>
          <w:p w14:paraId="0EE0CEAC" w14:textId="77777777" w:rsidR="00405B3F" w:rsidRPr="004C5899" w:rsidRDefault="00405B3F" w:rsidP="00773A4F"/>
        </w:tc>
        <w:tc>
          <w:tcPr>
            <w:tcW w:w="3745" w:type="pct"/>
          </w:tcPr>
          <w:p w14:paraId="61655727" w14:textId="77777777" w:rsidR="00405B3F" w:rsidRPr="00E500D0" w:rsidRDefault="00405B3F" w:rsidP="00FC6ABE">
            <w:pPr>
              <w:pStyle w:val="ListParagraph"/>
              <w:numPr>
                <w:ilvl w:val="0"/>
                <w:numId w:val="38"/>
              </w:numPr>
            </w:pPr>
            <w:r w:rsidRPr="00E500D0">
              <w:t xml:space="preserve">Presentations on anticoagulants website from the </w:t>
            </w:r>
            <w:hyperlink r:id="rId54" w:history="1">
              <w:r w:rsidRPr="00E500D0">
                <w:rPr>
                  <w:rStyle w:val="Hyperlink"/>
                </w:rPr>
                <w:t>2019 Roundtable on Medication Safety</w:t>
              </w:r>
            </w:hyperlink>
            <w:r w:rsidRPr="00E500D0">
              <w:t xml:space="preserve"> available on the VicTAG website:</w:t>
            </w:r>
          </w:p>
          <w:p w14:paraId="07CD55A1" w14:textId="77777777" w:rsidR="00405B3F" w:rsidRPr="00E500D0" w:rsidRDefault="002D45FC" w:rsidP="00FC6ABE">
            <w:pPr>
              <w:pStyle w:val="ListParagraph"/>
              <w:numPr>
                <w:ilvl w:val="1"/>
                <w:numId w:val="38"/>
              </w:numPr>
            </w:pPr>
            <w:hyperlink r:id="rId55" w:history="1">
              <w:r w:rsidR="00405B3F" w:rsidRPr="00E500D0">
                <w:rPr>
                  <w:rStyle w:val="Hyperlink"/>
                </w:rPr>
                <w:t>Reducing anticoagulant-related patient harm – the way forward</w:t>
              </w:r>
            </w:hyperlink>
          </w:p>
          <w:p w14:paraId="6B5AA886" w14:textId="77777777" w:rsidR="00405B3F" w:rsidRPr="00E500D0" w:rsidRDefault="002D45FC" w:rsidP="00FC6ABE">
            <w:pPr>
              <w:pStyle w:val="ListParagraph"/>
              <w:numPr>
                <w:ilvl w:val="1"/>
                <w:numId w:val="38"/>
              </w:numPr>
            </w:pPr>
            <w:hyperlink r:id="rId56" w:history="1">
              <w:r w:rsidR="00405B3F" w:rsidRPr="00E500D0">
                <w:rPr>
                  <w:rStyle w:val="Hyperlink"/>
                </w:rPr>
                <w:t>Raising the bar for improvement in VTE prevention</w:t>
              </w:r>
            </w:hyperlink>
          </w:p>
          <w:p w14:paraId="10000EE0" w14:textId="29C60BB6" w:rsidR="00405B3F" w:rsidRPr="00E500D0" w:rsidRDefault="00405B3F" w:rsidP="00FC6ABE">
            <w:pPr>
              <w:pStyle w:val="ListParagraph"/>
              <w:numPr>
                <w:ilvl w:val="0"/>
                <w:numId w:val="38"/>
              </w:numPr>
            </w:pPr>
            <w:r w:rsidRPr="00E500D0">
              <w:t xml:space="preserve">Research by a UK network of three National Health Service Trusts presented from NZ on measuring medication safety and patient harm using existing data including data on anticoagulants: </w:t>
            </w:r>
            <w:hyperlink r:id="rId57" w:history="1">
              <w:r w:rsidRPr="00E500D0">
                <w:rPr>
                  <w:rStyle w:val="Hyperlink"/>
                </w:rPr>
                <w:t>A qualitative study exploring how routinely collected Medication Safety Thermometer data have been used for quality improvement purposes using case studies from three UK hospitals</w:t>
              </w:r>
            </w:hyperlink>
            <w:r w:rsidR="00E500D0">
              <w:t>.</w:t>
            </w:r>
          </w:p>
        </w:tc>
      </w:tr>
    </w:tbl>
    <w:p w14:paraId="56142EC8" w14:textId="7652AF8A" w:rsidR="00997428" w:rsidRDefault="00997428" w:rsidP="00997428">
      <w:pPr>
        <w:pStyle w:val="Heading3"/>
      </w:pPr>
      <w:bookmarkStart w:id="50" w:name="_Toc80021307"/>
      <w:r w:rsidRPr="004C5899">
        <w:lastRenderedPageBreak/>
        <w:t>Q</w:t>
      </w:r>
      <w:r>
        <w:t>ueensland</w:t>
      </w:r>
      <w:r w:rsidRPr="004C5899">
        <w:t xml:space="preserve"> (July 2019)</w:t>
      </w:r>
      <w:bookmarkEnd w:id="50"/>
    </w:p>
    <w:tbl>
      <w:tblPr>
        <w:tblStyle w:val="TableGrid"/>
        <w:tblW w:w="5000" w:type="pct"/>
        <w:tblLook w:val="04A0" w:firstRow="1" w:lastRow="0" w:firstColumn="1" w:lastColumn="0" w:noHBand="0" w:noVBand="1"/>
        <w:tblDescription w:val="Summary of state and territory interview responses – Queensland (July 2019)"/>
      </w:tblPr>
      <w:tblGrid>
        <w:gridCol w:w="2263"/>
        <w:gridCol w:w="6753"/>
      </w:tblGrid>
      <w:tr w:rsidR="0049574A" w:rsidRPr="004C5899" w14:paraId="6718D35A" w14:textId="77777777" w:rsidTr="00DE72CE">
        <w:trPr>
          <w:cnfStyle w:val="100000000000" w:firstRow="1" w:lastRow="0" w:firstColumn="0" w:lastColumn="0" w:oddVBand="0" w:evenVBand="0" w:oddHBand="0" w:evenHBand="0" w:firstRowFirstColumn="0" w:firstRowLastColumn="0" w:lastRowFirstColumn="0" w:lastRowLastColumn="0"/>
          <w:tblHeader/>
        </w:trPr>
        <w:tc>
          <w:tcPr>
            <w:tcW w:w="1255" w:type="pct"/>
          </w:tcPr>
          <w:p w14:paraId="5F3CE409" w14:textId="77777777" w:rsidR="0049574A" w:rsidRPr="004C5899" w:rsidRDefault="0049574A" w:rsidP="00773A4F">
            <w:r>
              <w:t>Question</w:t>
            </w:r>
          </w:p>
        </w:tc>
        <w:tc>
          <w:tcPr>
            <w:tcW w:w="3745" w:type="pct"/>
          </w:tcPr>
          <w:p w14:paraId="3E052993" w14:textId="77777777" w:rsidR="0049574A" w:rsidRPr="004C5899" w:rsidRDefault="0049574A" w:rsidP="00773A4F">
            <w:r>
              <w:t>Response</w:t>
            </w:r>
          </w:p>
        </w:tc>
      </w:tr>
      <w:tr w:rsidR="001541E5" w:rsidRPr="004C5899" w14:paraId="7931A7BA" w14:textId="77777777" w:rsidTr="00020E52">
        <w:trPr>
          <w:trHeight w:val="642"/>
        </w:trPr>
        <w:tc>
          <w:tcPr>
            <w:tcW w:w="1255" w:type="pct"/>
          </w:tcPr>
          <w:p w14:paraId="1187EA42" w14:textId="4D6FC44B" w:rsidR="001541E5" w:rsidRPr="004C5899" w:rsidRDefault="001541E5" w:rsidP="00773A4F">
            <w:r w:rsidRPr="004C5899">
              <w:t>What do you understand to be the biggest problems with anticoagulant management in Q</w:t>
            </w:r>
            <w:r w:rsidR="00020E52">
              <w:t>ld</w:t>
            </w:r>
            <w:r w:rsidRPr="004C5899">
              <w:t xml:space="preserve"> health services currently? </w:t>
            </w:r>
          </w:p>
        </w:tc>
        <w:tc>
          <w:tcPr>
            <w:tcW w:w="3745" w:type="pct"/>
          </w:tcPr>
          <w:p w14:paraId="26329DCD" w14:textId="77777777" w:rsidR="001541E5" w:rsidRPr="00C82B8B" w:rsidRDefault="001541E5" w:rsidP="00FC6ABE">
            <w:pPr>
              <w:pStyle w:val="ListParagraph"/>
              <w:numPr>
                <w:ilvl w:val="0"/>
                <w:numId w:val="47"/>
              </w:numPr>
            </w:pPr>
            <w:r w:rsidRPr="00C82B8B">
              <w:t>Safe use of heparins are high on QLD Health priority list</w:t>
            </w:r>
          </w:p>
          <w:p w14:paraId="7EDC814F" w14:textId="77777777" w:rsidR="001541E5" w:rsidRPr="00C82B8B" w:rsidRDefault="001541E5" w:rsidP="00FC6ABE">
            <w:pPr>
              <w:pStyle w:val="ListParagraph"/>
              <w:numPr>
                <w:ilvl w:val="0"/>
                <w:numId w:val="47"/>
              </w:numPr>
            </w:pPr>
            <w:r w:rsidRPr="00C82B8B">
              <w:t>Incident data is being utilised to answer specific questions</w:t>
            </w:r>
          </w:p>
          <w:p w14:paraId="6C59AA9C" w14:textId="77777777" w:rsidR="001541E5" w:rsidRPr="00C82B8B" w:rsidRDefault="001541E5" w:rsidP="00FC6ABE">
            <w:pPr>
              <w:pStyle w:val="ListParagraph"/>
              <w:numPr>
                <w:ilvl w:val="0"/>
                <w:numId w:val="47"/>
              </w:numPr>
            </w:pPr>
            <w:r w:rsidRPr="00C82B8B">
              <w:t>Anticoagulant management concerns include understanding/recognising a DOAC, duplicate therapy. Initiation of VTE prophylaxis is reported by HHS clinicians as completed reasonably well, however, documentation of VTE risk assessment has been sub-optimal on the National Standard Medication Chart (NSMC)</w:t>
            </w:r>
          </w:p>
          <w:p w14:paraId="46F306B3" w14:textId="471FBA2B" w:rsidR="001541E5" w:rsidRPr="00C82B8B" w:rsidRDefault="001541E5" w:rsidP="00FC6ABE">
            <w:pPr>
              <w:pStyle w:val="ListParagraph"/>
              <w:numPr>
                <w:ilvl w:val="0"/>
                <w:numId w:val="47"/>
              </w:numPr>
              <w:rPr>
                <w:color w:val="1178A2" w:themeColor="text2"/>
                <w:u w:val="single"/>
              </w:rPr>
            </w:pPr>
            <w:r w:rsidRPr="00C82B8B">
              <w:t>Other findings are believed to be consistent with findings from the national anticoagulation incident analysis. It is anticipated that improvements will occur following availability and implementation of state-wide VTE prevention resources (</w:t>
            </w:r>
            <w:hyperlink r:id="rId58" w:history="1">
              <w:r w:rsidRPr="00C82B8B">
                <w:rPr>
                  <w:rStyle w:val="Hyperlink"/>
                  <w:i/>
                  <w:iCs/>
                </w:rPr>
                <w:t xml:space="preserve">Guideline for the Prevention of </w:t>
              </w:r>
              <w:r w:rsidR="00C82B8B" w:rsidRPr="00C82B8B">
                <w:rPr>
                  <w:rStyle w:val="Hyperlink"/>
                  <w:i/>
                  <w:iCs/>
                </w:rPr>
                <w:t>Venous Thromboembolism (</w:t>
              </w:r>
              <w:r w:rsidRPr="00C82B8B">
                <w:rPr>
                  <w:rStyle w:val="Hyperlink"/>
                  <w:i/>
                  <w:iCs/>
                </w:rPr>
                <w:t>VTE</w:t>
              </w:r>
              <w:r w:rsidR="00C82B8B" w:rsidRPr="00C82B8B">
                <w:rPr>
                  <w:rStyle w:val="Hyperlink"/>
                  <w:i/>
                  <w:iCs/>
                </w:rPr>
                <w:t>)</w:t>
              </w:r>
              <w:r w:rsidRPr="00C82B8B">
                <w:rPr>
                  <w:rStyle w:val="Hyperlink"/>
                  <w:i/>
                  <w:iCs/>
                </w:rPr>
                <w:t xml:space="preserve"> in Adult Hospitalised Patients</w:t>
              </w:r>
            </w:hyperlink>
            <w:r w:rsidRPr="00C82B8B">
              <w:t xml:space="preserve">; VTE risk assessment tool and VTE prevention flowchart) which can be found on the QLD Health </w:t>
            </w:r>
            <w:hyperlink r:id="rId59" w:history="1">
              <w:r w:rsidRPr="00C82B8B">
                <w:rPr>
                  <w:rStyle w:val="Hyperlink"/>
                </w:rPr>
                <w:t>Medication Safety webpage</w:t>
              </w:r>
            </w:hyperlink>
            <w:r w:rsidRPr="00C82B8B">
              <w:t xml:space="preserve"> along with other anticoagulant-related guidelines</w:t>
            </w:r>
          </w:p>
          <w:p w14:paraId="7454EDBF" w14:textId="77777777" w:rsidR="001541E5" w:rsidRPr="00C82B8B" w:rsidRDefault="001541E5" w:rsidP="00FC6ABE">
            <w:pPr>
              <w:pStyle w:val="ListParagraph"/>
              <w:numPr>
                <w:ilvl w:val="0"/>
                <w:numId w:val="47"/>
              </w:numPr>
            </w:pPr>
            <w:r w:rsidRPr="00C82B8B">
              <w:t>Perioperative management of anticoagulants is an area of difficulty for clinicians. Advice on timing of anticoagulant administration (in relation to catheter removal) is a particular topic that clinicians have requested and current QLD Health guidelines include this topic.</w:t>
            </w:r>
          </w:p>
        </w:tc>
      </w:tr>
      <w:tr w:rsidR="001541E5" w:rsidRPr="004C5899" w14:paraId="3B4E0495" w14:textId="77777777" w:rsidTr="00020E52">
        <w:tc>
          <w:tcPr>
            <w:tcW w:w="1255" w:type="pct"/>
          </w:tcPr>
          <w:p w14:paraId="00FC87C8" w14:textId="193A2579" w:rsidR="001541E5" w:rsidRPr="004C5899" w:rsidRDefault="001541E5" w:rsidP="00773A4F">
            <w:r w:rsidRPr="004C5899">
              <w:t>What is Q</w:t>
            </w:r>
            <w:r w:rsidR="00020E52">
              <w:t>ld</w:t>
            </w:r>
            <w:r w:rsidRPr="004C5899">
              <w:t xml:space="preserve"> data saying?</w:t>
            </w:r>
          </w:p>
        </w:tc>
        <w:tc>
          <w:tcPr>
            <w:tcW w:w="3745" w:type="pct"/>
          </w:tcPr>
          <w:p w14:paraId="72F1A4D9" w14:textId="77777777" w:rsidR="001541E5" w:rsidRPr="004C5899" w:rsidRDefault="001541E5" w:rsidP="00773A4F">
            <w:r w:rsidRPr="004C5899">
              <w:t xml:space="preserve">Whilst a comprehensive review of all anticoagulants incidents not completed, elements of data that have been reviewed in relation to anticoagulants are consistent with national findings. </w:t>
            </w:r>
          </w:p>
        </w:tc>
      </w:tr>
      <w:tr w:rsidR="001541E5" w:rsidRPr="004C5899" w14:paraId="62A7EC95" w14:textId="77777777" w:rsidTr="00020E52">
        <w:tc>
          <w:tcPr>
            <w:tcW w:w="1255" w:type="pct"/>
          </w:tcPr>
          <w:p w14:paraId="3B128EC9" w14:textId="77777777" w:rsidR="001541E5" w:rsidRPr="004C5899" w:rsidRDefault="001541E5" w:rsidP="00773A4F">
            <w:r w:rsidRPr="004C5899">
              <w:t>What interventions have been put in place/are ongoing?</w:t>
            </w:r>
          </w:p>
        </w:tc>
        <w:tc>
          <w:tcPr>
            <w:tcW w:w="3745" w:type="pct"/>
          </w:tcPr>
          <w:p w14:paraId="51FC99DF" w14:textId="77777777" w:rsidR="001541E5" w:rsidRPr="004C5899" w:rsidRDefault="001541E5" w:rsidP="00773A4F">
            <w:r w:rsidRPr="004C5899">
              <w:t>A digital anticoagulant group has been established by the team leading the integrated medical record (ieMR) rollout. Monthly reporting and discussion provides more detail on any incidents that are potentially related to the EMM system.</w:t>
            </w:r>
          </w:p>
        </w:tc>
      </w:tr>
      <w:tr w:rsidR="001541E5" w:rsidRPr="004C5899" w14:paraId="455631EC" w14:textId="77777777" w:rsidTr="00020E52">
        <w:tc>
          <w:tcPr>
            <w:tcW w:w="1255" w:type="pct"/>
          </w:tcPr>
          <w:p w14:paraId="5F2BF189" w14:textId="77777777" w:rsidR="001541E5" w:rsidRPr="004C5899" w:rsidRDefault="001541E5" w:rsidP="00773A4F">
            <w:r w:rsidRPr="004C5899">
              <w:t>Has any data or is data being captured about the interventions that have been made?</w:t>
            </w:r>
          </w:p>
        </w:tc>
        <w:tc>
          <w:tcPr>
            <w:tcW w:w="3745" w:type="pct"/>
          </w:tcPr>
          <w:p w14:paraId="33DDF3B4" w14:textId="77777777" w:rsidR="001541E5" w:rsidRPr="002F352C" w:rsidRDefault="001541E5" w:rsidP="00FC6ABE">
            <w:pPr>
              <w:pStyle w:val="ListParagraph"/>
              <w:numPr>
                <w:ilvl w:val="0"/>
                <w:numId w:val="48"/>
              </w:numPr>
            </w:pPr>
            <w:r w:rsidRPr="002F352C">
              <w:t>QLD Health uses RiskMan as the incident management system. There have been more efficient ways introduced to aggregate and review data using themes and word-search techniques</w:t>
            </w:r>
          </w:p>
          <w:p w14:paraId="64DB1F8C" w14:textId="77777777" w:rsidR="001541E5" w:rsidRPr="002F352C" w:rsidRDefault="001541E5" w:rsidP="00FC6ABE">
            <w:pPr>
              <w:pStyle w:val="ListParagraph"/>
              <w:numPr>
                <w:ilvl w:val="0"/>
                <w:numId w:val="48"/>
              </w:numPr>
            </w:pPr>
            <w:r w:rsidRPr="002F352C">
              <w:t>There is a plan to measure how well VTE guidelines and risk-assessment tools are being utilised. In addition, the VTE risk assessment tool in a Smart PDF format, is planned for incorporation into the integrated electronic medical record (ieMR).</w:t>
            </w:r>
          </w:p>
        </w:tc>
      </w:tr>
      <w:tr w:rsidR="001541E5" w:rsidRPr="004C5899" w14:paraId="666BE13D" w14:textId="77777777" w:rsidTr="00020E52">
        <w:tc>
          <w:tcPr>
            <w:tcW w:w="1255" w:type="pct"/>
          </w:tcPr>
          <w:p w14:paraId="16C61270" w14:textId="2D55EA22" w:rsidR="001541E5" w:rsidRPr="004C5899" w:rsidRDefault="001541E5" w:rsidP="00773A4F">
            <w:r w:rsidRPr="004C5899">
              <w:lastRenderedPageBreak/>
              <w:t>What work plans are in place? What risk mitigation strategies, what education or policy/protocols etc</w:t>
            </w:r>
            <w:r w:rsidR="002577D0">
              <w:t>.</w:t>
            </w:r>
            <w:r w:rsidRPr="004C5899">
              <w:t>?</w:t>
            </w:r>
          </w:p>
        </w:tc>
        <w:tc>
          <w:tcPr>
            <w:tcW w:w="3745" w:type="pct"/>
          </w:tcPr>
          <w:p w14:paraId="47BE1526" w14:textId="77777777" w:rsidR="001541E5" w:rsidRPr="002F352C" w:rsidRDefault="001541E5" w:rsidP="00FC6ABE">
            <w:pPr>
              <w:pStyle w:val="ListParagraph"/>
              <w:numPr>
                <w:ilvl w:val="0"/>
                <w:numId w:val="49"/>
              </w:numPr>
            </w:pPr>
            <w:r w:rsidRPr="002F352C">
              <w:t>The current version of the QLD Health VTE guidelines and risk assessment tool were released at the beginning of 2018. Good consensus and engagement was experienced from stakeholders in the process</w:t>
            </w:r>
          </w:p>
          <w:p w14:paraId="623E3110" w14:textId="560A9E73" w:rsidR="001541E5" w:rsidRPr="002F352C" w:rsidRDefault="001541E5" w:rsidP="00FC6ABE">
            <w:pPr>
              <w:pStyle w:val="ListParagraph"/>
              <w:numPr>
                <w:ilvl w:val="0"/>
                <w:numId w:val="49"/>
              </w:numPr>
            </w:pPr>
            <w:r w:rsidRPr="002F352C">
              <w:t xml:space="preserve">Anticoagulant guidelines have been created and released for different medicines within this class at different times in history are due for review with the intent for all anticoagulant guidelines to be merged into a single web-based document. This is expected to have a </w:t>
            </w:r>
            <w:r w:rsidR="0049574A" w:rsidRPr="002F352C">
              <w:t>two-</w:t>
            </w:r>
            <w:r w:rsidRPr="002F352C">
              <w:t>year project timeline</w:t>
            </w:r>
          </w:p>
          <w:p w14:paraId="06ED1FFD" w14:textId="77777777" w:rsidR="001541E5" w:rsidRPr="002F352C" w:rsidRDefault="001541E5" w:rsidP="00FC6ABE">
            <w:pPr>
              <w:pStyle w:val="ListParagraph"/>
              <w:numPr>
                <w:ilvl w:val="0"/>
                <w:numId w:val="49"/>
              </w:numPr>
            </w:pPr>
            <w:r w:rsidRPr="002F352C">
              <w:t xml:space="preserve">Ongoing risk mitigation strategy includes review of SAC 1 incidents and RCAs at a QLD Health state-wide level to determine whether these have state-wide impacts which need to be addressed </w:t>
            </w:r>
          </w:p>
          <w:p w14:paraId="51F0D2F9" w14:textId="77777777" w:rsidR="001541E5" w:rsidRPr="002F352C" w:rsidRDefault="001541E5" w:rsidP="00FC6ABE">
            <w:pPr>
              <w:pStyle w:val="ListParagraph"/>
              <w:numPr>
                <w:ilvl w:val="0"/>
                <w:numId w:val="49"/>
              </w:numPr>
            </w:pPr>
            <w:r w:rsidRPr="002F352C">
              <w:t>Heparin infusion form has been in place since 2008 and is reviewed on a regular basis and as need arises</w:t>
            </w:r>
          </w:p>
          <w:p w14:paraId="1EDA7ECA" w14:textId="77777777" w:rsidR="001541E5" w:rsidRPr="002F352C" w:rsidRDefault="001541E5" w:rsidP="00FC6ABE">
            <w:pPr>
              <w:pStyle w:val="ListParagraph"/>
              <w:numPr>
                <w:ilvl w:val="0"/>
                <w:numId w:val="49"/>
              </w:numPr>
            </w:pPr>
            <w:r w:rsidRPr="002F352C">
              <w:t>Warfarin end-of-bed guidelines have been available since 2006 and are reviewed on a regular basis, and as the need arises</w:t>
            </w:r>
          </w:p>
          <w:p w14:paraId="3F3EC72D" w14:textId="77777777" w:rsidR="001541E5" w:rsidRPr="002F352C" w:rsidRDefault="001541E5" w:rsidP="00FC6ABE">
            <w:pPr>
              <w:pStyle w:val="ListParagraph"/>
              <w:numPr>
                <w:ilvl w:val="0"/>
                <w:numId w:val="49"/>
              </w:numPr>
            </w:pPr>
            <w:r w:rsidRPr="002F352C">
              <w:t>Harmonisation across QLD Health of medicines/medicine groups included as part of the High-risk medicines (APINCH) list is required. Currently, there are different interpretations of what is included across QLD hospitals.</w:t>
            </w:r>
          </w:p>
        </w:tc>
      </w:tr>
      <w:tr w:rsidR="001541E5" w:rsidRPr="004C5899" w14:paraId="787B394A" w14:textId="77777777" w:rsidTr="00020E52">
        <w:tc>
          <w:tcPr>
            <w:tcW w:w="1255" w:type="pct"/>
          </w:tcPr>
          <w:p w14:paraId="53ACBD79" w14:textId="081B556B" w:rsidR="001541E5" w:rsidRPr="004C5899" w:rsidRDefault="001541E5" w:rsidP="00773A4F">
            <w:r w:rsidRPr="004C5899">
              <w:t>Anticoagulant work in the EMM system</w:t>
            </w:r>
          </w:p>
        </w:tc>
        <w:tc>
          <w:tcPr>
            <w:tcW w:w="3745" w:type="pct"/>
          </w:tcPr>
          <w:p w14:paraId="24ED9C68" w14:textId="77777777" w:rsidR="001541E5" w:rsidRPr="001075C8" w:rsidRDefault="001541E5" w:rsidP="00FC6ABE">
            <w:pPr>
              <w:pStyle w:val="ListParagraph"/>
              <w:numPr>
                <w:ilvl w:val="0"/>
                <w:numId w:val="50"/>
              </w:numPr>
            </w:pPr>
            <w:r w:rsidRPr="001075C8">
              <w:t>Heparin dashboards: Available for implementation if sites choose and can be used to optimise medicines use</w:t>
            </w:r>
          </w:p>
          <w:p w14:paraId="4A960644" w14:textId="77777777" w:rsidR="001541E5" w:rsidRPr="001075C8" w:rsidRDefault="001541E5" w:rsidP="00FC6ABE">
            <w:pPr>
              <w:pStyle w:val="ListParagraph"/>
              <w:numPr>
                <w:ilvl w:val="0"/>
                <w:numId w:val="50"/>
              </w:numPr>
            </w:pPr>
            <w:r w:rsidRPr="001075C8">
              <w:t>Discharge Summary Program: This program flags any patient that has had warfarin mentioned in their medical record or medicines list. The discharge summary program will flag that this patient may or may not need to be on warfarin at discharge and allows input of information required by the clinician taking over the patient’s care (usually the patient’s general practitioner). Only some mandatory elements for completion are included in this program (trying not to be too burdensome for the clinicians entering the information). There is a proposal to further develop this tool by expanding the scope to include all anticoagulants not just warfarin.</w:t>
            </w:r>
          </w:p>
        </w:tc>
      </w:tr>
      <w:tr w:rsidR="001541E5" w:rsidRPr="004C5899" w14:paraId="00D2FF5E" w14:textId="77777777" w:rsidTr="00020E52">
        <w:tc>
          <w:tcPr>
            <w:tcW w:w="1255" w:type="pct"/>
          </w:tcPr>
          <w:p w14:paraId="2A51BCE0" w14:textId="77777777" w:rsidR="001541E5" w:rsidRPr="004C5899" w:rsidRDefault="001541E5" w:rsidP="00773A4F">
            <w:r w:rsidRPr="004C5899">
              <w:t>What do you feel the Commission could be doing to assist with improving safety of anticoagulant management/use?</w:t>
            </w:r>
          </w:p>
        </w:tc>
        <w:tc>
          <w:tcPr>
            <w:tcW w:w="3745" w:type="pct"/>
          </w:tcPr>
          <w:p w14:paraId="1CC7B3EB" w14:textId="77777777" w:rsidR="001541E5" w:rsidRPr="00020E52" w:rsidRDefault="001541E5" w:rsidP="00FC6ABE">
            <w:pPr>
              <w:pStyle w:val="ListParagraph"/>
              <w:numPr>
                <w:ilvl w:val="0"/>
                <w:numId w:val="51"/>
              </w:numPr>
            </w:pPr>
            <w:r w:rsidRPr="00020E52">
              <w:t>Need to look at addressing anticoagulant safety in hospitals with and without EMM systems in place</w:t>
            </w:r>
          </w:p>
          <w:p w14:paraId="344E1058" w14:textId="77777777" w:rsidR="001541E5" w:rsidRPr="00020E52" w:rsidRDefault="001541E5" w:rsidP="00FC6ABE">
            <w:pPr>
              <w:pStyle w:val="ListParagraph"/>
              <w:numPr>
                <w:ilvl w:val="0"/>
                <w:numId w:val="51"/>
              </w:numPr>
            </w:pPr>
            <w:r w:rsidRPr="00020E52">
              <w:t xml:space="preserve">Review of VTE prophylaxis section of the chart. Would there be benefit in this being an anticoagulation section instead? </w:t>
            </w:r>
          </w:p>
          <w:p w14:paraId="31D5CEDF" w14:textId="77777777" w:rsidR="001541E5" w:rsidRPr="00020E52" w:rsidRDefault="001541E5" w:rsidP="00FC6ABE">
            <w:pPr>
              <w:pStyle w:val="ListParagraph"/>
              <w:numPr>
                <w:ilvl w:val="0"/>
                <w:numId w:val="51"/>
              </w:numPr>
            </w:pPr>
            <w:r w:rsidRPr="00020E52">
              <w:t>Standard indicators in EMM systems: For example: If the indication is mandatory is the anticoagulant being used appropriately?</w:t>
            </w:r>
          </w:p>
          <w:p w14:paraId="726DFEC0" w14:textId="614C1D27" w:rsidR="001541E5" w:rsidRPr="00020E52" w:rsidRDefault="001541E5" w:rsidP="00FC6ABE">
            <w:pPr>
              <w:pStyle w:val="ListParagraph"/>
              <w:numPr>
                <w:ilvl w:val="0"/>
                <w:numId w:val="51"/>
              </w:numPr>
            </w:pPr>
            <w:r w:rsidRPr="00020E52">
              <w:t>Look at anticoagulant stewardship</w:t>
            </w:r>
            <w:r w:rsidR="001D4251">
              <w:t>.</w:t>
            </w:r>
          </w:p>
        </w:tc>
      </w:tr>
      <w:tr w:rsidR="001541E5" w:rsidRPr="004C5899" w14:paraId="49F0EAA8" w14:textId="77777777" w:rsidTr="00020E52">
        <w:tc>
          <w:tcPr>
            <w:tcW w:w="1255" w:type="pct"/>
          </w:tcPr>
          <w:p w14:paraId="399B771D" w14:textId="77777777" w:rsidR="001541E5" w:rsidRPr="004C5899" w:rsidRDefault="001541E5" w:rsidP="00773A4F">
            <w:r w:rsidRPr="004C5899">
              <w:t>Further ideas</w:t>
            </w:r>
          </w:p>
        </w:tc>
        <w:tc>
          <w:tcPr>
            <w:tcW w:w="3745" w:type="pct"/>
          </w:tcPr>
          <w:p w14:paraId="1C3575B2" w14:textId="0F0FD04B" w:rsidR="001541E5" w:rsidRPr="004C5899" w:rsidRDefault="00020E52" w:rsidP="00773A4F">
            <w:r>
              <w:t>–</w:t>
            </w:r>
          </w:p>
        </w:tc>
      </w:tr>
      <w:tr w:rsidR="001541E5" w:rsidRPr="004C5899" w14:paraId="48DC70F3" w14:textId="77777777" w:rsidTr="00020E52">
        <w:tc>
          <w:tcPr>
            <w:tcW w:w="1255" w:type="pct"/>
          </w:tcPr>
          <w:p w14:paraId="3A670354" w14:textId="77777777" w:rsidR="001541E5" w:rsidRPr="004C5899" w:rsidRDefault="001541E5" w:rsidP="00773A4F">
            <w:r w:rsidRPr="004C5899">
              <w:lastRenderedPageBreak/>
              <w:t>Other notes</w:t>
            </w:r>
          </w:p>
        </w:tc>
        <w:tc>
          <w:tcPr>
            <w:tcW w:w="3745" w:type="pct"/>
          </w:tcPr>
          <w:p w14:paraId="1CF76E42" w14:textId="77777777" w:rsidR="001541E5" w:rsidRPr="00020E52" w:rsidRDefault="001541E5" w:rsidP="00FC6ABE">
            <w:pPr>
              <w:pStyle w:val="ListParagraph"/>
              <w:numPr>
                <w:ilvl w:val="0"/>
                <w:numId w:val="52"/>
              </w:numPr>
            </w:pPr>
            <w:r w:rsidRPr="00020E52">
              <w:t xml:space="preserve">Majority of hospitals in south-east Queensland have EMM implemented </w:t>
            </w:r>
          </w:p>
          <w:p w14:paraId="5B4D8B0E" w14:textId="77777777" w:rsidR="001541E5" w:rsidRPr="00020E52" w:rsidRDefault="001541E5" w:rsidP="00FC6ABE">
            <w:pPr>
              <w:pStyle w:val="ListParagraph"/>
              <w:numPr>
                <w:ilvl w:val="0"/>
                <w:numId w:val="52"/>
              </w:numPr>
            </w:pPr>
            <w:r w:rsidRPr="00020E52">
              <w:t>Many small sites may continue with paper-based medication charts for the foreseeable future.</w:t>
            </w:r>
          </w:p>
        </w:tc>
      </w:tr>
    </w:tbl>
    <w:p w14:paraId="76F54CAE" w14:textId="77777777" w:rsidR="0086293A" w:rsidRDefault="0086293A" w:rsidP="0086293A">
      <w:pPr>
        <w:pStyle w:val="Heading3"/>
      </w:pPr>
      <w:bookmarkStart w:id="51" w:name="_Toc80021308"/>
      <w:r w:rsidRPr="001541E5">
        <w:t>Tasmania (July 2019)</w:t>
      </w:r>
      <w:bookmarkEnd w:id="51"/>
    </w:p>
    <w:tbl>
      <w:tblPr>
        <w:tblStyle w:val="TableGrid"/>
        <w:tblW w:w="5000" w:type="pct"/>
        <w:tblLook w:val="04A0" w:firstRow="1" w:lastRow="0" w:firstColumn="1" w:lastColumn="0" w:noHBand="0" w:noVBand="1"/>
        <w:tblDescription w:val="Summary of state and territory interview responses – Tasmania (July 2019)"/>
      </w:tblPr>
      <w:tblGrid>
        <w:gridCol w:w="2263"/>
        <w:gridCol w:w="6753"/>
      </w:tblGrid>
      <w:tr w:rsidR="0086293A" w:rsidRPr="004C5899" w14:paraId="32BFDA45" w14:textId="77777777" w:rsidTr="00773A4F">
        <w:trPr>
          <w:cnfStyle w:val="100000000000" w:firstRow="1" w:lastRow="0" w:firstColumn="0" w:lastColumn="0" w:oddVBand="0" w:evenVBand="0" w:oddHBand="0" w:evenHBand="0" w:firstRowFirstColumn="0" w:firstRowLastColumn="0" w:lastRowFirstColumn="0" w:lastRowLastColumn="0"/>
          <w:tblHeader/>
        </w:trPr>
        <w:tc>
          <w:tcPr>
            <w:tcW w:w="1255" w:type="pct"/>
          </w:tcPr>
          <w:p w14:paraId="3B8BB808" w14:textId="77777777" w:rsidR="0086293A" w:rsidRPr="004C5899" w:rsidRDefault="0086293A" w:rsidP="00773A4F">
            <w:r>
              <w:t>Question</w:t>
            </w:r>
          </w:p>
        </w:tc>
        <w:tc>
          <w:tcPr>
            <w:tcW w:w="3745" w:type="pct"/>
          </w:tcPr>
          <w:p w14:paraId="7A1FD874" w14:textId="77777777" w:rsidR="0086293A" w:rsidRPr="004C5899" w:rsidRDefault="0086293A" w:rsidP="00773A4F">
            <w:r>
              <w:t>Response</w:t>
            </w:r>
          </w:p>
        </w:tc>
      </w:tr>
      <w:tr w:rsidR="0086293A" w:rsidRPr="00E500D0" w14:paraId="2766A093" w14:textId="77777777" w:rsidTr="00773A4F">
        <w:tc>
          <w:tcPr>
            <w:tcW w:w="1255" w:type="pct"/>
          </w:tcPr>
          <w:p w14:paraId="052553EC" w14:textId="77777777" w:rsidR="0086293A" w:rsidRPr="004C5899" w:rsidRDefault="0086293A" w:rsidP="00773A4F">
            <w:r w:rsidRPr="004C5899">
              <w:t xml:space="preserve">What do you understand to be the biggest problems with anticoagulant management in </w:t>
            </w:r>
            <w:r>
              <w:t>Tas</w:t>
            </w:r>
            <w:r w:rsidRPr="004C5899">
              <w:t xml:space="preserve"> health services currently</w:t>
            </w:r>
          </w:p>
        </w:tc>
        <w:tc>
          <w:tcPr>
            <w:tcW w:w="3745" w:type="pct"/>
          </w:tcPr>
          <w:p w14:paraId="041149D2" w14:textId="77777777" w:rsidR="0086293A" w:rsidRPr="00E500D0" w:rsidRDefault="0086293A" w:rsidP="00773A4F">
            <w:pPr>
              <w:pStyle w:val="ListParagraph"/>
              <w:numPr>
                <w:ilvl w:val="0"/>
                <w:numId w:val="39"/>
              </w:numPr>
            </w:pPr>
            <w:r w:rsidRPr="00E500D0">
              <w:t>Anticoagulation not the most problematic in terms of incident prevalence at the time of interview</w:t>
            </w:r>
          </w:p>
          <w:p w14:paraId="2649C2E6" w14:textId="77777777" w:rsidR="0086293A" w:rsidRPr="00E500D0" w:rsidRDefault="0086293A" w:rsidP="00773A4F">
            <w:pPr>
              <w:pStyle w:val="ListParagraph"/>
              <w:numPr>
                <w:ilvl w:val="0"/>
                <w:numId w:val="39"/>
              </w:numPr>
            </w:pPr>
            <w:r w:rsidRPr="00E500D0">
              <w:t xml:space="preserve">Persistent issues related to anticoagulants include: </w:t>
            </w:r>
          </w:p>
          <w:p w14:paraId="76C6C193" w14:textId="77777777" w:rsidR="0086293A" w:rsidRPr="00E500D0" w:rsidRDefault="0086293A" w:rsidP="00773A4F">
            <w:pPr>
              <w:pStyle w:val="ListParagraph"/>
              <w:numPr>
                <w:ilvl w:val="1"/>
                <w:numId w:val="39"/>
              </w:numPr>
            </w:pPr>
            <w:r w:rsidRPr="00E500D0">
              <w:t xml:space="preserve">VTE prophylaxis (VTE risk assessment and prescribing) </w:t>
            </w:r>
          </w:p>
          <w:p w14:paraId="41FD244E" w14:textId="77777777" w:rsidR="0086293A" w:rsidRPr="00E500D0" w:rsidRDefault="0086293A" w:rsidP="00773A4F">
            <w:pPr>
              <w:pStyle w:val="ListParagraph"/>
              <w:numPr>
                <w:ilvl w:val="1"/>
                <w:numId w:val="39"/>
              </w:numPr>
            </w:pPr>
            <w:r w:rsidRPr="00E500D0">
              <w:t>Recognising VTE prophylaxis and use of other anticoagulant agents (duplicate therapy prescribing)</w:t>
            </w:r>
            <w:r>
              <w:t>.</w:t>
            </w:r>
          </w:p>
        </w:tc>
      </w:tr>
      <w:tr w:rsidR="0086293A" w:rsidRPr="004C5899" w14:paraId="7CFA783E" w14:textId="77777777" w:rsidTr="00773A4F">
        <w:tc>
          <w:tcPr>
            <w:tcW w:w="1255" w:type="pct"/>
          </w:tcPr>
          <w:p w14:paraId="272AF1E2" w14:textId="77777777" w:rsidR="0086293A" w:rsidRPr="004C5899" w:rsidRDefault="0086293A" w:rsidP="00773A4F">
            <w:r w:rsidRPr="004C5899">
              <w:t xml:space="preserve">What is </w:t>
            </w:r>
            <w:r>
              <w:t>Tas</w:t>
            </w:r>
            <w:r w:rsidRPr="004C5899">
              <w:t xml:space="preserve"> data saying?</w:t>
            </w:r>
          </w:p>
          <w:p w14:paraId="358E33B5" w14:textId="77777777" w:rsidR="0086293A" w:rsidRPr="004C5899" w:rsidRDefault="0086293A" w:rsidP="00773A4F"/>
        </w:tc>
        <w:tc>
          <w:tcPr>
            <w:tcW w:w="3745" w:type="pct"/>
          </w:tcPr>
          <w:p w14:paraId="2B6280F8" w14:textId="77777777" w:rsidR="0086293A" w:rsidRPr="004C5899" w:rsidRDefault="0086293A" w:rsidP="00773A4F">
            <w:r w:rsidRPr="004C5899">
              <w:t>No recent review of anticoagulant incident data undertaken. However, a number of sources/ongoing projects point to omitted doses, duplicate therapy and wrong dose being the main issues (consistent with findings from the national incident analysis)</w:t>
            </w:r>
            <w:r>
              <w:t>.</w:t>
            </w:r>
          </w:p>
        </w:tc>
      </w:tr>
      <w:tr w:rsidR="0086293A" w:rsidRPr="00E500D0" w14:paraId="693950B5" w14:textId="77777777" w:rsidTr="00773A4F">
        <w:tc>
          <w:tcPr>
            <w:tcW w:w="1255" w:type="pct"/>
          </w:tcPr>
          <w:p w14:paraId="2FE3CDAC" w14:textId="77777777" w:rsidR="0086293A" w:rsidRPr="004C5899" w:rsidRDefault="0086293A" w:rsidP="00773A4F">
            <w:r w:rsidRPr="004C5899">
              <w:lastRenderedPageBreak/>
              <w:t>What interventions have been put in place/are ongoing?</w:t>
            </w:r>
          </w:p>
        </w:tc>
        <w:tc>
          <w:tcPr>
            <w:tcW w:w="3745" w:type="pct"/>
          </w:tcPr>
          <w:p w14:paraId="51560FBB" w14:textId="77777777" w:rsidR="0086293A" w:rsidRPr="00E500D0" w:rsidRDefault="002D45FC" w:rsidP="00773A4F">
            <w:pPr>
              <w:pStyle w:val="ListParagraph"/>
              <w:numPr>
                <w:ilvl w:val="0"/>
                <w:numId w:val="40"/>
              </w:numPr>
            </w:pPr>
            <w:hyperlink r:id="rId60" w:history="1">
              <w:r w:rsidR="0086293A" w:rsidRPr="00E500D0">
                <w:rPr>
                  <w:rStyle w:val="Hyperlink"/>
                </w:rPr>
                <w:t>VTE prevention: a best practice implementation project</w:t>
              </w:r>
            </w:hyperlink>
            <w:r w:rsidR="0086293A" w:rsidRPr="00E500D0">
              <w:t xml:space="preserve"> (2016): Interventions focused toward clinicians (targeted education) and consumer engagement. Clinical champions included vascular surgeon and haematologist. Positive outcome – clinician engagement, with clinicians from different specialties agreeing on a single standard. Interventions from the project showed minimal impact. Clinicians consistently suggested electronic support could assist improvements. Integrating an electronic intervention into the existing system would be challenging and is unfunded. </w:t>
            </w:r>
          </w:p>
          <w:p w14:paraId="6DA66760" w14:textId="20BAE121" w:rsidR="0086293A" w:rsidRPr="00E500D0" w:rsidRDefault="0086293A" w:rsidP="00773A4F">
            <w:pPr>
              <w:pStyle w:val="ListParagraph"/>
              <w:numPr>
                <w:ilvl w:val="0"/>
                <w:numId w:val="40"/>
              </w:numPr>
            </w:pPr>
            <w:r w:rsidRPr="00E500D0">
              <w:t>The Royal Hobart Hospital has had a pharmacy resident focus their residency research activities on the duplication of anticoagulation treatment with VTE prophylaxis. The outcomes of this research are published: Jones BA, Paine</w:t>
            </w:r>
            <w:r w:rsidR="00C3507E">
              <w:t> </w:t>
            </w:r>
            <w:r w:rsidRPr="00E500D0">
              <w:t xml:space="preserve">MJ. Duplication of pharmacological venous thromboembolism prophylaxis or therapeutic anticoagulants with direct oral anticoagulants. </w:t>
            </w:r>
            <w:hyperlink r:id="rId61" w:history="1">
              <w:r w:rsidRPr="00E500D0">
                <w:rPr>
                  <w:rStyle w:val="Hyperlink"/>
                </w:rPr>
                <w:t>Pharmacy GRIT SHPA</w:t>
              </w:r>
            </w:hyperlink>
            <w:r w:rsidRPr="00E500D0">
              <w:t xml:space="preserve">. Volume 3, Issue 2 (Winter 2019). The project raised questions around whether the NIMC needed to be modified to adequately reflect DOACs and mitigate risks. </w:t>
            </w:r>
          </w:p>
          <w:p w14:paraId="23D8C40A" w14:textId="77777777" w:rsidR="0086293A" w:rsidRPr="00E500D0" w:rsidRDefault="0086293A" w:rsidP="00773A4F">
            <w:pPr>
              <w:pStyle w:val="ListParagraph"/>
              <w:numPr>
                <w:ilvl w:val="0"/>
                <w:numId w:val="40"/>
              </w:numPr>
            </w:pPr>
            <w:r w:rsidRPr="00E500D0">
              <w:t>High risk medicines (HRM) procedures and risk mitigation strategies in place.</w:t>
            </w:r>
          </w:p>
          <w:p w14:paraId="4DE57857" w14:textId="77777777" w:rsidR="0086293A" w:rsidRPr="00E500D0" w:rsidRDefault="0086293A" w:rsidP="00773A4F">
            <w:pPr>
              <w:pStyle w:val="ListParagraph"/>
              <w:numPr>
                <w:ilvl w:val="0"/>
                <w:numId w:val="40"/>
              </w:numPr>
            </w:pPr>
            <w:r w:rsidRPr="00E500D0">
              <w:t>HRM eLearning modules to be implemented (review showed inconsistencies between module and state-based information). Preference for this education to be mandatory, however a lot of education already that clinicians must undertake (conflicts with time and clinical responsibilities).</w:t>
            </w:r>
          </w:p>
          <w:p w14:paraId="77469119" w14:textId="77777777" w:rsidR="0086293A" w:rsidRPr="00E500D0" w:rsidRDefault="0086293A" w:rsidP="00773A4F">
            <w:pPr>
              <w:pStyle w:val="ListParagraph"/>
              <w:numPr>
                <w:ilvl w:val="0"/>
                <w:numId w:val="40"/>
              </w:numPr>
            </w:pPr>
            <w:r w:rsidRPr="00E500D0">
              <w:t>Project looking at Tasmania’s web-based incident reporting system (Safety Reporting &amp; Learning System (SRLS), trying to understand incidents and reporting culture, as well as hospital acquired complications (HACs). Outcome showed HACs are</w:t>
            </w:r>
            <w:r>
              <w:t xml:space="preserve"> </w:t>
            </w:r>
            <w:r w:rsidRPr="00E500D0">
              <w:t>n</w:t>
            </w:r>
            <w:r>
              <w:t>o</w:t>
            </w:r>
            <w:r w:rsidRPr="00E500D0">
              <w:t>t necessarily reflected through incidents, due to methods applied to HAC data collection as opposed to a thorough review of the HAC by a clinician.</w:t>
            </w:r>
          </w:p>
        </w:tc>
      </w:tr>
      <w:tr w:rsidR="0086293A" w:rsidRPr="004C5899" w14:paraId="1DA3804D" w14:textId="77777777" w:rsidTr="00773A4F">
        <w:tc>
          <w:tcPr>
            <w:tcW w:w="1255" w:type="pct"/>
          </w:tcPr>
          <w:p w14:paraId="56DA2DDB" w14:textId="77777777" w:rsidR="0086293A" w:rsidRPr="004C5899" w:rsidRDefault="0086293A" w:rsidP="00773A4F">
            <w:r w:rsidRPr="004C5899">
              <w:t>Has any data or is data being captured about the interventions that have been made?</w:t>
            </w:r>
          </w:p>
        </w:tc>
        <w:tc>
          <w:tcPr>
            <w:tcW w:w="3745" w:type="pct"/>
          </w:tcPr>
          <w:p w14:paraId="0B1E1F4D" w14:textId="77777777" w:rsidR="0086293A" w:rsidRPr="004C5899" w:rsidRDefault="0086293A" w:rsidP="00773A4F">
            <w:r w:rsidRPr="004C5899">
              <w:t>See above</w:t>
            </w:r>
          </w:p>
        </w:tc>
      </w:tr>
      <w:tr w:rsidR="0086293A" w:rsidRPr="00D27E61" w14:paraId="506BCDA8" w14:textId="77777777" w:rsidTr="00773A4F">
        <w:tc>
          <w:tcPr>
            <w:tcW w:w="1255" w:type="pct"/>
          </w:tcPr>
          <w:p w14:paraId="247DCDB6" w14:textId="5403EF52" w:rsidR="0086293A" w:rsidRPr="004C5899" w:rsidRDefault="0086293A" w:rsidP="00773A4F">
            <w:r w:rsidRPr="004C5899">
              <w:lastRenderedPageBreak/>
              <w:t>What work plans are in place? What risk mitigation strategies, what education or policy/protocols etc</w:t>
            </w:r>
            <w:r w:rsidR="002577D0">
              <w:t>.</w:t>
            </w:r>
            <w:r w:rsidRPr="004C5899">
              <w:t>?</w:t>
            </w:r>
          </w:p>
        </w:tc>
        <w:tc>
          <w:tcPr>
            <w:tcW w:w="3745" w:type="pct"/>
          </w:tcPr>
          <w:p w14:paraId="09497A64" w14:textId="77777777" w:rsidR="0086293A" w:rsidRPr="00D27E61" w:rsidRDefault="0086293A" w:rsidP="00773A4F">
            <w:pPr>
              <w:pStyle w:val="ListParagraph"/>
              <w:numPr>
                <w:ilvl w:val="0"/>
                <w:numId w:val="41"/>
              </w:numPr>
            </w:pPr>
            <w:r w:rsidRPr="00D27E61">
              <w:t>Pharmacy Resident work on VTE prophylaxis (refer above)</w:t>
            </w:r>
          </w:p>
          <w:p w14:paraId="62E8F570" w14:textId="77777777" w:rsidR="0086293A" w:rsidRPr="00D27E61" w:rsidRDefault="0086293A" w:rsidP="00773A4F">
            <w:pPr>
              <w:pStyle w:val="ListParagraph"/>
              <w:numPr>
                <w:ilvl w:val="0"/>
                <w:numId w:val="41"/>
              </w:numPr>
            </w:pPr>
            <w:r w:rsidRPr="00D27E61">
              <w:t xml:space="preserve">Safer Med Practice Unit currently being formed including </w:t>
            </w:r>
            <w:r>
              <w:t>four</w:t>
            </w:r>
            <w:r w:rsidRPr="00D27E61">
              <w:t xml:space="preserve"> pharmacy staff with other clinicians to join (medical and nursing) </w:t>
            </w:r>
          </w:p>
          <w:p w14:paraId="1E1CC2D9" w14:textId="77777777" w:rsidR="0086293A" w:rsidRPr="00D27E61" w:rsidRDefault="0086293A" w:rsidP="00773A4F">
            <w:pPr>
              <w:pStyle w:val="ListParagraph"/>
              <w:numPr>
                <w:ilvl w:val="0"/>
                <w:numId w:val="41"/>
              </w:numPr>
            </w:pPr>
            <w:r w:rsidRPr="00D27E61">
              <w:t xml:space="preserve">Looking to undertake a project around duplicate therapy and VTE prescribing, based on established methods at Alfred Health in Melbourne: </w:t>
            </w:r>
            <w:hyperlink r:id="rId62" w:history="1">
              <w:r w:rsidRPr="00D27E61">
                <w:rPr>
                  <w:rStyle w:val="Hyperlink"/>
                </w:rPr>
                <w:t>Partnered Pharmacist Medication Charting</w:t>
              </w:r>
            </w:hyperlink>
            <w:r w:rsidRPr="00D27E61">
              <w:t xml:space="preserve">. </w:t>
            </w:r>
          </w:p>
        </w:tc>
      </w:tr>
      <w:tr w:rsidR="0086293A" w:rsidRPr="004C5899" w14:paraId="6A80C927" w14:textId="77777777" w:rsidTr="00773A4F">
        <w:tc>
          <w:tcPr>
            <w:tcW w:w="1255" w:type="pct"/>
          </w:tcPr>
          <w:p w14:paraId="52BD832B" w14:textId="77777777" w:rsidR="0086293A" w:rsidRPr="004C5899" w:rsidRDefault="0086293A" w:rsidP="00773A4F">
            <w:r w:rsidRPr="004C5899">
              <w:t>Anticoagulant work in the EMM system</w:t>
            </w:r>
          </w:p>
        </w:tc>
        <w:tc>
          <w:tcPr>
            <w:tcW w:w="3745" w:type="pct"/>
          </w:tcPr>
          <w:p w14:paraId="4B5DD9FE" w14:textId="3B238319" w:rsidR="0086293A" w:rsidRPr="004C5899" w:rsidRDefault="00953951" w:rsidP="00773A4F">
            <w:r>
              <w:t>–</w:t>
            </w:r>
          </w:p>
        </w:tc>
      </w:tr>
      <w:tr w:rsidR="0086293A" w:rsidRPr="00D27E61" w14:paraId="02A5BBD3" w14:textId="77777777" w:rsidTr="00773A4F">
        <w:tc>
          <w:tcPr>
            <w:tcW w:w="1255" w:type="pct"/>
          </w:tcPr>
          <w:p w14:paraId="69B1BBE0" w14:textId="77777777" w:rsidR="0086293A" w:rsidRPr="004C5899" w:rsidRDefault="0086293A" w:rsidP="00773A4F">
            <w:r w:rsidRPr="004C5899">
              <w:t>What do you feel the Commission could be doing to assist with improving safety of anticoagulant management/use?</w:t>
            </w:r>
          </w:p>
        </w:tc>
        <w:tc>
          <w:tcPr>
            <w:tcW w:w="3745" w:type="pct"/>
          </w:tcPr>
          <w:p w14:paraId="628170FE" w14:textId="77777777" w:rsidR="0086293A" w:rsidRPr="00D27E61" w:rsidRDefault="0086293A" w:rsidP="00773A4F">
            <w:pPr>
              <w:pStyle w:val="ListParagraph"/>
              <w:numPr>
                <w:ilvl w:val="0"/>
                <w:numId w:val="42"/>
              </w:numPr>
            </w:pPr>
            <w:r w:rsidRPr="00D27E61">
              <w:t xml:space="preserve">Examine alternative VTE prophylaxis support models: for example, Anticoagulant </w:t>
            </w:r>
            <w:hyperlink r:id="rId63" w:history="1">
              <w:r w:rsidRPr="00D27E61">
                <w:rPr>
                  <w:rStyle w:val="Hyperlink"/>
                </w:rPr>
                <w:t>stewardship programs</w:t>
              </w:r>
            </w:hyperlink>
            <w:r w:rsidRPr="00D27E61">
              <w:t>, WA Health anticoagulants charting models</w:t>
            </w:r>
          </w:p>
          <w:p w14:paraId="1AD89A57" w14:textId="77777777" w:rsidR="0086293A" w:rsidRPr="00D27E61" w:rsidRDefault="0086293A" w:rsidP="00773A4F">
            <w:pPr>
              <w:pStyle w:val="ListParagraph"/>
              <w:numPr>
                <w:ilvl w:val="0"/>
                <w:numId w:val="42"/>
              </w:numPr>
            </w:pPr>
            <w:r w:rsidRPr="00D27E61">
              <w:t xml:space="preserve">Gathering evidence to understand how anticoagulant prescribing could be included more holistically into the national standard medication chart. </w:t>
            </w:r>
          </w:p>
        </w:tc>
      </w:tr>
      <w:tr w:rsidR="0086293A" w:rsidRPr="004C5899" w14:paraId="4F2E687C" w14:textId="77777777" w:rsidTr="00773A4F">
        <w:tc>
          <w:tcPr>
            <w:tcW w:w="1255" w:type="pct"/>
          </w:tcPr>
          <w:p w14:paraId="2B233451" w14:textId="77777777" w:rsidR="0086293A" w:rsidRPr="004C5899" w:rsidRDefault="0086293A" w:rsidP="00773A4F">
            <w:r w:rsidRPr="004C5899">
              <w:t>Further ideas</w:t>
            </w:r>
          </w:p>
        </w:tc>
        <w:tc>
          <w:tcPr>
            <w:tcW w:w="3745" w:type="pct"/>
          </w:tcPr>
          <w:p w14:paraId="009AD6C8" w14:textId="77777777" w:rsidR="0086293A" w:rsidRPr="004C5899" w:rsidRDefault="0086293A" w:rsidP="00773A4F">
            <w:r>
              <w:t>–</w:t>
            </w:r>
          </w:p>
        </w:tc>
      </w:tr>
      <w:tr w:rsidR="0086293A" w:rsidRPr="004C5899" w14:paraId="702EC604" w14:textId="77777777" w:rsidTr="00773A4F">
        <w:tc>
          <w:tcPr>
            <w:tcW w:w="1255" w:type="pct"/>
          </w:tcPr>
          <w:p w14:paraId="426B2EDF" w14:textId="77777777" w:rsidR="0086293A" w:rsidRPr="004C5899" w:rsidRDefault="0086293A" w:rsidP="00773A4F">
            <w:r w:rsidRPr="004C5899">
              <w:t>Other notes</w:t>
            </w:r>
          </w:p>
        </w:tc>
        <w:tc>
          <w:tcPr>
            <w:tcW w:w="3745" w:type="pct"/>
          </w:tcPr>
          <w:p w14:paraId="24F1ED71" w14:textId="77777777" w:rsidR="0086293A" w:rsidRPr="004C5899" w:rsidRDefault="0086293A" w:rsidP="00773A4F">
            <w:r w:rsidRPr="004C5899">
              <w:t>Barriers to implementation with two of three recommendations in preliminary report. In particular, electronic medication management (EMM) not applicable as Tasmania unlikely to implement EMM within the foreseeable future.</w:t>
            </w:r>
          </w:p>
        </w:tc>
      </w:tr>
    </w:tbl>
    <w:p w14:paraId="4D6F699C" w14:textId="77777777" w:rsidR="0086293A" w:rsidRDefault="0086293A" w:rsidP="0086293A">
      <w:r>
        <w:br w:type="page"/>
      </w:r>
    </w:p>
    <w:p w14:paraId="46335DB6" w14:textId="04AFEFEF" w:rsidR="0086293A" w:rsidRDefault="0086293A" w:rsidP="0086293A">
      <w:pPr>
        <w:pStyle w:val="Heading3"/>
      </w:pPr>
      <w:bookmarkStart w:id="52" w:name="_Toc80021309"/>
      <w:r w:rsidRPr="001541E5">
        <w:lastRenderedPageBreak/>
        <w:t>N</w:t>
      </w:r>
      <w:r>
        <w:t xml:space="preserve">orthern </w:t>
      </w:r>
      <w:r w:rsidRPr="001541E5">
        <w:t>T</w:t>
      </w:r>
      <w:r>
        <w:t>erritory</w:t>
      </w:r>
      <w:r w:rsidRPr="001541E5">
        <w:t xml:space="preserve"> (July 2019)</w:t>
      </w:r>
      <w:bookmarkEnd w:id="52"/>
    </w:p>
    <w:tbl>
      <w:tblPr>
        <w:tblStyle w:val="TableGrid"/>
        <w:tblW w:w="5000" w:type="pct"/>
        <w:tblLook w:val="04A0" w:firstRow="1" w:lastRow="0" w:firstColumn="1" w:lastColumn="0" w:noHBand="0" w:noVBand="1"/>
        <w:tblDescription w:val="Summary of state and territory interview responses – Northern Territory (July 2019)"/>
      </w:tblPr>
      <w:tblGrid>
        <w:gridCol w:w="2263"/>
        <w:gridCol w:w="6753"/>
      </w:tblGrid>
      <w:tr w:rsidR="0086293A" w:rsidRPr="004C5899" w14:paraId="659DEC4A" w14:textId="77777777" w:rsidTr="00773A4F">
        <w:trPr>
          <w:cnfStyle w:val="100000000000" w:firstRow="1" w:lastRow="0" w:firstColumn="0" w:lastColumn="0" w:oddVBand="0" w:evenVBand="0" w:oddHBand="0" w:evenHBand="0" w:firstRowFirstColumn="0" w:firstRowLastColumn="0" w:lastRowFirstColumn="0" w:lastRowLastColumn="0"/>
          <w:tblHeader/>
        </w:trPr>
        <w:tc>
          <w:tcPr>
            <w:tcW w:w="1255" w:type="pct"/>
          </w:tcPr>
          <w:p w14:paraId="3B9EF95E" w14:textId="77777777" w:rsidR="0086293A" w:rsidRPr="004C5899" w:rsidRDefault="0086293A" w:rsidP="00773A4F">
            <w:r>
              <w:t>Question</w:t>
            </w:r>
          </w:p>
        </w:tc>
        <w:tc>
          <w:tcPr>
            <w:tcW w:w="3745" w:type="pct"/>
          </w:tcPr>
          <w:p w14:paraId="5CD1545A" w14:textId="77777777" w:rsidR="0086293A" w:rsidRPr="004C5899" w:rsidRDefault="0086293A" w:rsidP="00773A4F">
            <w:r>
              <w:t>Response</w:t>
            </w:r>
          </w:p>
        </w:tc>
      </w:tr>
      <w:tr w:rsidR="0086293A" w:rsidRPr="00D27E61" w14:paraId="12558651" w14:textId="77777777" w:rsidTr="00773A4F">
        <w:tc>
          <w:tcPr>
            <w:tcW w:w="1255" w:type="pct"/>
          </w:tcPr>
          <w:p w14:paraId="767ECCCA" w14:textId="77777777" w:rsidR="0086293A" w:rsidRPr="004C5899" w:rsidRDefault="0086293A" w:rsidP="00773A4F">
            <w:r w:rsidRPr="004C5899">
              <w:t>What do you understand to be the biggest problems with anticoagulant management in NT health services currently</w:t>
            </w:r>
          </w:p>
        </w:tc>
        <w:tc>
          <w:tcPr>
            <w:tcW w:w="3745" w:type="pct"/>
          </w:tcPr>
          <w:p w14:paraId="79834F86" w14:textId="77777777" w:rsidR="0086293A" w:rsidRPr="00D27E61" w:rsidRDefault="0086293A" w:rsidP="00773A4F">
            <w:pPr>
              <w:pStyle w:val="ListParagraph"/>
              <w:numPr>
                <w:ilvl w:val="0"/>
                <w:numId w:val="43"/>
              </w:numPr>
            </w:pPr>
            <w:r w:rsidRPr="00D27E61">
              <w:t>Omissions and duplications (involving DOACs) consistent with national data. Incorrect dose is not highly reported in the NT incident management system</w:t>
            </w:r>
          </w:p>
          <w:p w14:paraId="3D8EC87B" w14:textId="77777777" w:rsidR="0086293A" w:rsidRPr="00D27E61" w:rsidRDefault="0086293A" w:rsidP="00773A4F">
            <w:pPr>
              <w:pStyle w:val="ListParagraph"/>
              <w:numPr>
                <w:ilvl w:val="0"/>
                <w:numId w:val="43"/>
              </w:numPr>
            </w:pPr>
            <w:r w:rsidRPr="00D27E61">
              <w:t xml:space="preserve">VTE risk assessment not available within the current electronic medication management and administration (EMMA) system </w:t>
            </w:r>
          </w:p>
          <w:p w14:paraId="29ADF9D1" w14:textId="77777777" w:rsidR="0086293A" w:rsidRPr="00D27E61" w:rsidRDefault="0086293A" w:rsidP="00773A4F">
            <w:pPr>
              <w:pStyle w:val="ListParagraph"/>
              <w:numPr>
                <w:ilvl w:val="0"/>
                <w:numId w:val="43"/>
              </w:numPr>
            </w:pPr>
            <w:r w:rsidRPr="00D27E61">
              <w:t xml:space="preserve">Documentation of a VTE risk assessment is poor. </w:t>
            </w:r>
          </w:p>
        </w:tc>
      </w:tr>
      <w:tr w:rsidR="0086293A" w:rsidRPr="004C5899" w14:paraId="3CC3E7DA" w14:textId="77777777" w:rsidTr="00773A4F">
        <w:tc>
          <w:tcPr>
            <w:tcW w:w="1255" w:type="pct"/>
          </w:tcPr>
          <w:p w14:paraId="760E9E86" w14:textId="77777777" w:rsidR="0086293A" w:rsidRPr="004C5899" w:rsidRDefault="0086293A" w:rsidP="00773A4F">
            <w:r w:rsidRPr="004C5899">
              <w:t>What is NT data saying?</w:t>
            </w:r>
          </w:p>
        </w:tc>
        <w:tc>
          <w:tcPr>
            <w:tcW w:w="3745" w:type="pct"/>
          </w:tcPr>
          <w:p w14:paraId="29E4775D" w14:textId="77777777" w:rsidR="0086293A" w:rsidRPr="004C5899" w:rsidRDefault="0086293A" w:rsidP="00773A4F">
            <w:r w:rsidRPr="004C5899">
              <w:t>See above</w:t>
            </w:r>
          </w:p>
        </w:tc>
      </w:tr>
      <w:tr w:rsidR="0086293A" w:rsidRPr="004C5899" w14:paraId="7E91491C" w14:textId="77777777" w:rsidTr="00773A4F">
        <w:tc>
          <w:tcPr>
            <w:tcW w:w="1255" w:type="pct"/>
          </w:tcPr>
          <w:p w14:paraId="42A27175" w14:textId="77777777" w:rsidR="0086293A" w:rsidRPr="004C5899" w:rsidRDefault="0086293A" w:rsidP="00773A4F">
            <w:r w:rsidRPr="004C5899">
              <w:lastRenderedPageBreak/>
              <w:t>What interventions have been put in place/are ongoing?</w:t>
            </w:r>
          </w:p>
        </w:tc>
        <w:tc>
          <w:tcPr>
            <w:tcW w:w="3745" w:type="pct"/>
          </w:tcPr>
          <w:p w14:paraId="6CE7787B" w14:textId="77777777" w:rsidR="0086293A" w:rsidRPr="00D374FF" w:rsidRDefault="0086293A" w:rsidP="00773A4F">
            <w:pPr>
              <w:pStyle w:val="ListParagraph"/>
              <w:numPr>
                <w:ilvl w:val="0"/>
                <w:numId w:val="44"/>
              </w:numPr>
            </w:pPr>
            <w:r w:rsidRPr="00D374FF">
              <w:t xml:space="preserve">Reporting functionality is currently very limited with the EMMA system. A new end-to-end system will be implemented into NT health services over the next </w:t>
            </w:r>
            <w:r>
              <w:t>five</w:t>
            </w:r>
            <w:r w:rsidRPr="00D374FF">
              <w:t xml:space="preserve"> or so years, and reporting functionality will be included. The new system should make it possible to capture and report on omissions and duplications (if desired), once implemented. The system of reporting is meant/intended to be fairly smart, and also be able to report on a combination of patient information (e.g. if GRF&lt;X or pt X age, and what was prescribed outside of the recommended guidelines)</w:t>
            </w:r>
          </w:p>
          <w:p w14:paraId="070604DE" w14:textId="77777777" w:rsidR="0086293A" w:rsidRPr="00D374FF" w:rsidRDefault="0086293A" w:rsidP="00773A4F">
            <w:pPr>
              <w:pStyle w:val="ListParagraph"/>
              <w:numPr>
                <w:ilvl w:val="0"/>
                <w:numId w:val="44"/>
              </w:numPr>
            </w:pPr>
            <w:r w:rsidRPr="00D374FF">
              <w:t>Currently, the reporting system is reliant on clinicians detecting omissions manually and reporting these to the incident management system</w:t>
            </w:r>
          </w:p>
          <w:p w14:paraId="0CF567A2" w14:textId="77777777" w:rsidR="0086293A" w:rsidRPr="00D374FF" w:rsidRDefault="0086293A" w:rsidP="00773A4F">
            <w:pPr>
              <w:pStyle w:val="ListParagraph"/>
              <w:numPr>
                <w:ilvl w:val="0"/>
                <w:numId w:val="44"/>
              </w:numPr>
            </w:pPr>
            <w:r w:rsidRPr="00D374FF">
              <w:t>The new systems will include an in-built VTE risk assessment (with prompts for completion). Despite documentation of the VTE risk assessment being poor, collection of QUM indicator data suggests that patients who require VTE prophylaxis are having it prescribed and it is prescribed at the correct dose</w:t>
            </w:r>
          </w:p>
          <w:p w14:paraId="3D95610F" w14:textId="77777777" w:rsidR="0086293A" w:rsidRPr="00D374FF" w:rsidRDefault="0086293A" w:rsidP="00773A4F">
            <w:pPr>
              <w:pStyle w:val="ListParagraph"/>
              <w:numPr>
                <w:ilvl w:val="0"/>
                <w:numId w:val="44"/>
              </w:numPr>
            </w:pPr>
            <w:r w:rsidRPr="00D374FF">
              <w:t>An alert was introduced in 2009 into the EMMA system to fire when potential anticoagulant prescribing duplication was occurring. This is an ‘information only’ alert that fires if either enoxaparin or heparin are already charted, and a clinician is trying to prescribe heparin or enoxaparin in addition to the existing orders</w:t>
            </w:r>
          </w:p>
          <w:p w14:paraId="26B94090" w14:textId="77777777" w:rsidR="0086293A" w:rsidRPr="00D374FF" w:rsidRDefault="0086293A" w:rsidP="00773A4F">
            <w:pPr>
              <w:pStyle w:val="ListParagraph"/>
              <w:numPr>
                <w:ilvl w:val="0"/>
                <w:numId w:val="44"/>
              </w:numPr>
              <w:spacing w:after="180"/>
              <w:ind w:left="714" w:hanging="357"/>
            </w:pPr>
            <w:r w:rsidRPr="00D374FF">
              <w:t>Drug-interaction alerts have been included in EMMA since 2016. These drug interaction alerts can only be over-ridden when a prescriber enters a comment. Alerts are fired when prescribers try to order any of the combinations shown below:</w:t>
            </w:r>
          </w:p>
          <w:tbl>
            <w:tblPr>
              <w:tblStyle w:val="TableGrid"/>
              <w:tblW w:w="0" w:type="auto"/>
              <w:tblInd w:w="676" w:type="dxa"/>
              <w:tblLook w:val="04A0" w:firstRow="1" w:lastRow="0" w:firstColumn="1" w:lastColumn="0" w:noHBand="0" w:noVBand="1"/>
            </w:tblPr>
            <w:tblGrid>
              <w:gridCol w:w="1490"/>
              <w:gridCol w:w="1514"/>
              <w:gridCol w:w="1390"/>
              <w:gridCol w:w="1276"/>
            </w:tblGrid>
            <w:tr w:rsidR="0086293A" w:rsidRPr="004C5899" w14:paraId="3EC92463" w14:textId="77777777" w:rsidTr="00773A4F">
              <w:trPr>
                <w:cnfStyle w:val="100000000000" w:firstRow="1" w:lastRow="0" w:firstColumn="0" w:lastColumn="0" w:oddVBand="0" w:evenVBand="0" w:oddHBand="0" w:evenHBand="0" w:firstRowFirstColumn="0" w:firstRowLastColumn="0" w:lastRowFirstColumn="0" w:lastRowLastColumn="0"/>
                <w:trHeight w:val="278"/>
              </w:trPr>
              <w:tc>
                <w:tcPr>
                  <w:tcW w:w="1490" w:type="dxa"/>
                </w:tcPr>
                <w:p w14:paraId="2BEE8C10" w14:textId="77777777" w:rsidR="0086293A" w:rsidRPr="00D374FF" w:rsidRDefault="0086293A" w:rsidP="00773A4F"/>
              </w:tc>
              <w:tc>
                <w:tcPr>
                  <w:tcW w:w="0" w:type="auto"/>
                  <w:vAlign w:val="center"/>
                  <w:hideMark/>
                </w:tcPr>
                <w:p w14:paraId="797FFAAE" w14:textId="77777777" w:rsidR="0086293A" w:rsidRPr="00D374FF" w:rsidRDefault="0086293A" w:rsidP="00773A4F">
                  <w:pPr>
                    <w:jc w:val="center"/>
                  </w:pPr>
                  <w:r w:rsidRPr="00D374FF">
                    <w:t>enoxaparin</w:t>
                  </w:r>
                </w:p>
              </w:tc>
              <w:tc>
                <w:tcPr>
                  <w:tcW w:w="1390" w:type="dxa"/>
                  <w:vAlign w:val="center"/>
                  <w:hideMark/>
                </w:tcPr>
                <w:p w14:paraId="3DC0E03E" w14:textId="77777777" w:rsidR="0086293A" w:rsidRPr="00D374FF" w:rsidRDefault="0086293A" w:rsidP="00773A4F">
                  <w:pPr>
                    <w:jc w:val="center"/>
                  </w:pPr>
                  <w:r w:rsidRPr="00D374FF">
                    <w:t>heparin</w:t>
                  </w:r>
                </w:p>
              </w:tc>
              <w:tc>
                <w:tcPr>
                  <w:tcW w:w="1276" w:type="dxa"/>
                  <w:vAlign w:val="center"/>
                  <w:hideMark/>
                </w:tcPr>
                <w:p w14:paraId="2B678E41" w14:textId="77777777" w:rsidR="0086293A" w:rsidRPr="00D374FF" w:rsidRDefault="0086293A" w:rsidP="00773A4F">
                  <w:pPr>
                    <w:jc w:val="center"/>
                  </w:pPr>
                  <w:r w:rsidRPr="00D374FF">
                    <w:t>warfarin</w:t>
                  </w:r>
                </w:p>
              </w:tc>
            </w:tr>
            <w:tr w:rsidR="006F2404" w:rsidRPr="004C5899" w14:paraId="5B7E99B7" w14:textId="77777777" w:rsidTr="00773A4F">
              <w:trPr>
                <w:trHeight w:val="270"/>
              </w:trPr>
              <w:tc>
                <w:tcPr>
                  <w:tcW w:w="1490" w:type="dxa"/>
                  <w:hideMark/>
                </w:tcPr>
                <w:p w14:paraId="4585BC76" w14:textId="77777777" w:rsidR="006F2404" w:rsidRPr="00D374FF" w:rsidRDefault="006F2404" w:rsidP="006F2404">
                  <w:r w:rsidRPr="00D374FF">
                    <w:t>apixaban</w:t>
                  </w:r>
                </w:p>
              </w:tc>
              <w:tc>
                <w:tcPr>
                  <w:tcW w:w="0" w:type="auto"/>
                  <w:vAlign w:val="center"/>
                  <w:hideMark/>
                </w:tcPr>
                <w:p w14:paraId="369BD42F" w14:textId="6B1ABCF1" w:rsidR="006F2404" w:rsidRPr="00D374FF" w:rsidRDefault="006F2404" w:rsidP="006F2404">
                  <w:pPr>
                    <w:jc w:val="center"/>
                  </w:pPr>
                  <w:r>
                    <w:t>Yes</w:t>
                  </w:r>
                </w:p>
              </w:tc>
              <w:tc>
                <w:tcPr>
                  <w:tcW w:w="1390" w:type="dxa"/>
                  <w:vAlign w:val="center"/>
                  <w:hideMark/>
                </w:tcPr>
                <w:p w14:paraId="1327D656" w14:textId="4DAB9B36" w:rsidR="006F2404" w:rsidRPr="00D374FF" w:rsidRDefault="006F2404" w:rsidP="006F2404">
                  <w:pPr>
                    <w:jc w:val="center"/>
                  </w:pPr>
                  <w:r>
                    <w:t>Yes</w:t>
                  </w:r>
                </w:p>
              </w:tc>
              <w:tc>
                <w:tcPr>
                  <w:tcW w:w="1276" w:type="dxa"/>
                  <w:vAlign w:val="center"/>
                  <w:hideMark/>
                </w:tcPr>
                <w:p w14:paraId="7A564AC0" w14:textId="223D12E7" w:rsidR="006F2404" w:rsidRPr="00D374FF" w:rsidRDefault="006F2404" w:rsidP="006F2404">
                  <w:pPr>
                    <w:jc w:val="center"/>
                  </w:pPr>
                  <w:r>
                    <w:t>Yes</w:t>
                  </w:r>
                </w:p>
              </w:tc>
            </w:tr>
            <w:tr w:rsidR="006F2404" w:rsidRPr="004C5899" w14:paraId="7B87D130" w14:textId="77777777" w:rsidTr="00773A4F">
              <w:trPr>
                <w:trHeight w:val="278"/>
              </w:trPr>
              <w:tc>
                <w:tcPr>
                  <w:tcW w:w="1490" w:type="dxa"/>
                  <w:hideMark/>
                </w:tcPr>
                <w:p w14:paraId="22DBE5F6" w14:textId="77777777" w:rsidR="006F2404" w:rsidRPr="00D374FF" w:rsidRDefault="006F2404" w:rsidP="006F2404">
                  <w:r w:rsidRPr="00D374FF">
                    <w:t>dabigatran</w:t>
                  </w:r>
                </w:p>
              </w:tc>
              <w:tc>
                <w:tcPr>
                  <w:tcW w:w="0" w:type="auto"/>
                  <w:hideMark/>
                </w:tcPr>
                <w:p w14:paraId="6911D818" w14:textId="08FBC3E2" w:rsidR="006F2404" w:rsidRPr="00D374FF" w:rsidRDefault="006F2404" w:rsidP="006F2404">
                  <w:pPr>
                    <w:jc w:val="center"/>
                  </w:pPr>
                  <w:r w:rsidRPr="00626CD0">
                    <w:t>Yes</w:t>
                  </w:r>
                </w:p>
              </w:tc>
              <w:tc>
                <w:tcPr>
                  <w:tcW w:w="1390" w:type="dxa"/>
                  <w:hideMark/>
                </w:tcPr>
                <w:p w14:paraId="6C9C06BA" w14:textId="60AE4E89" w:rsidR="006F2404" w:rsidRPr="00D374FF" w:rsidRDefault="006F2404" w:rsidP="006F2404">
                  <w:pPr>
                    <w:jc w:val="center"/>
                  </w:pPr>
                  <w:r w:rsidRPr="00626CD0">
                    <w:t>Yes</w:t>
                  </w:r>
                </w:p>
              </w:tc>
              <w:tc>
                <w:tcPr>
                  <w:tcW w:w="1276" w:type="dxa"/>
                  <w:hideMark/>
                </w:tcPr>
                <w:p w14:paraId="38BB10FF" w14:textId="6AE25D15" w:rsidR="006F2404" w:rsidRPr="00D374FF" w:rsidRDefault="006F2404" w:rsidP="006F2404">
                  <w:pPr>
                    <w:jc w:val="center"/>
                  </w:pPr>
                  <w:r w:rsidRPr="00626CD0">
                    <w:t>Yes</w:t>
                  </w:r>
                </w:p>
              </w:tc>
            </w:tr>
            <w:tr w:rsidR="006F2404" w:rsidRPr="004C5899" w14:paraId="6507AD71" w14:textId="77777777" w:rsidTr="00773A4F">
              <w:trPr>
                <w:trHeight w:val="270"/>
              </w:trPr>
              <w:tc>
                <w:tcPr>
                  <w:tcW w:w="1490" w:type="dxa"/>
                  <w:hideMark/>
                </w:tcPr>
                <w:p w14:paraId="24711460" w14:textId="77777777" w:rsidR="006F2404" w:rsidRPr="00D374FF" w:rsidRDefault="006F2404" w:rsidP="006F2404">
                  <w:r w:rsidRPr="00D374FF">
                    <w:t>rivaroxaban</w:t>
                  </w:r>
                </w:p>
              </w:tc>
              <w:tc>
                <w:tcPr>
                  <w:tcW w:w="0" w:type="auto"/>
                  <w:hideMark/>
                </w:tcPr>
                <w:p w14:paraId="21277D1F" w14:textId="5016D1D7" w:rsidR="006F2404" w:rsidRPr="00D374FF" w:rsidRDefault="006F2404" w:rsidP="006F2404">
                  <w:pPr>
                    <w:jc w:val="center"/>
                  </w:pPr>
                  <w:r w:rsidRPr="00626CD0">
                    <w:t>Yes</w:t>
                  </w:r>
                </w:p>
              </w:tc>
              <w:tc>
                <w:tcPr>
                  <w:tcW w:w="1390" w:type="dxa"/>
                  <w:hideMark/>
                </w:tcPr>
                <w:p w14:paraId="02F7C45D" w14:textId="36F31823" w:rsidR="006F2404" w:rsidRPr="00D374FF" w:rsidRDefault="006F2404" w:rsidP="006F2404">
                  <w:pPr>
                    <w:jc w:val="center"/>
                  </w:pPr>
                  <w:r w:rsidRPr="00626CD0">
                    <w:t>Yes</w:t>
                  </w:r>
                </w:p>
              </w:tc>
              <w:tc>
                <w:tcPr>
                  <w:tcW w:w="1276" w:type="dxa"/>
                  <w:hideMark/>
                </w:tcPr>
                <w:p w14:paraId="7634DCCD" w14:textId="3E4628AB" w:rsidR="006F2404" w:rsidRPr="00D374FF" w:rsidRDefault="006F2404" w:rsidP="006F2404">
                  <w:pPr>
                    <w:jc w:val="center"/>
                  </w:pPr>
                  <w:r w:rsidRPr="00626CD0">
                    <w:t>Yes</w:t>
                  </w:r>
                </w:p>
              </w:tc>
            </w:tr>
          </w:tbl>
          <w:p w14:paraId="7295BA77" w14:textId="77777777" w:rsidR="0086293A" w:rsidRPr="00D374FF" w:rsidRDefault="0086293A" w:rsidP="00773A4F">
            <w:pPr>
              <w:pStyle w:val="ListParagraph"/>
              <w:numPr>
                <w:ilvl w:val="0"/>
                <w:numId w:val="44"/>
              </w:numPr>
              <w:spacing w:before="120"/>
              <w:ind w:left="714" w:hanging="357"/>
            </w:pPr>
            <w:r w:rsidRPr="00D374FF">
              <w:t>A link to the HRM Register (see below) is included in these alerts. An NT-wide initiative</w:t>
            </w:r>
          </w:p>
          <w:p w14:paraId="751F4F14" w14:textId="77777777" w:rsidR="0086293A" w:rsidRPr="00D374FF" w:rsidRDefault="0086293A" w:rsidP="00773A4F">
            <w:pPr>
              <w:pStyle w:val="ListParagraph"/>
              <w:numPr>
                <w:ilvl w:val="0"/>
                <w:numId w:val="44"/>
              </w:numPr>
            </w:pPr>
            <w:r w:rsidRPr="00D374FF">
              <w:t>To address problems with duplicate therapy, face-to-face education sessions (with medical and nursing staff) have been implemented. Information about duplicate therapy was also circulated in the NT health service newsletters. Top-end and Central included similar key messages:</w:t>
            </w:r>
          </w:p>
          <w:p w14:paraId="4D29A92D" w14:textId="77777777" w:rsidR="0086293A" w:rsidRPr="00D374FF" w:rsidRDefault="0086293A" w:rsidP="00773A4F">
            <w:pPr>
              <w:pStyle w:val="ListParagraph"/>
              <w:numPr>
                <w:ilvl w:val="1"/>
                <w:numId w:val="44"/>
              </w:numPr>
            </w:pPr>
            <w:r w:rsidRPr="00D374FF">
              <w:t xml:space="preserve">Did you know these are DOACs? Rivaroxaban and apixaban are anticoagulants. Use these with caution with other anticoagulants. Timely administration of these medicines is important and they should not be omitted (arrangements are in place to ensure stock can be accessed for use after hours) </w:t>
            </w:r>
          </w:p>
          <w:p w14:paraId="524C0760" w14:textId="77777777" w:rsidR="0086293A" w:rsidRPr="00D374FF" w:rsidRDefault="0086293A" w:rsidP="00773A4F">
            <w:pPr>
              <w:pStyle w:val="ListParagraph"/>
              <w:numPr>
                <w:ilvl w:val="0"/>
                <w:numId w:val="44"/>
              </w:numPr>
            </w:pPr>
            <w:r w:rsidRPr="00D374FF">
              <w:lastRenderedPageBreak/>
              <w:t>Policy guideline centre is NT-wide and includes an HRM register which refers to the APINCH classification and specific medicines within these classification groups. Embedded hyperlinks to various guidelines and procedures for heparin, dabigatran, enoxaparin, rivaroxaban and warfarin are included</w:t>
            </w:r>
          </w:p>
          <w:p w14:paraId="49C3DA85" w14:textId="77777777" w:rsidR="0086293A" w:rsidRPr="00D374FF" w:rsidRDefault="0086293A" w:rsidP="00773A4F">
            <w:pPr>
              <w:pStyle w:val="ListParagraph"/>
              <w:numPr>
                <w:ilvl w:val="0"/>
                <w:numId w:val="44"/>
              </w:numPr>
            </w:pPr>
            <w:r w:rsidRPr="00D374FF">
              <w:t>Anticoagulation and antiplatelet administration guidelines have been updated to include rivaroxaban. For example, guidelines on perioperative management of anticoagulants which are NT-wide</w:t>
            </w:r>
          </w:p>
          <w:p w14:paraId="79A308B0" w14:textId="77777777" w:rsidR="0086293A" w:rsidRPr="00D374FF" w:rsidRDefault="0086293A" w:rsidP="00773A4F">
            <w:pPr>
              <w:pStyle w:val="ListParagraph"/>
              <w:numPr>
                <w:ilvl w:val="0"/>
                <w:numId w:val="44"/>
              </w:numPr>
            </w:pPr>
            <w:r w:rsidRPr="00D374FF">
              <w:t>VTE Prevention in Adult Patient Guidelines were reported to be under-development and include information on specific DOACs.</w:t>
            </w:r>
          </w:p>
        </w:tc>
      </w:tr>
      <w:tr w:rsidR="0086293A" w:rsidRPr="004C5899" w14:paraId="1FEEB6D0" w14:textId="77777777" w:rsidTr="00773A4F">
        <w:tc>
          <w:tcPr>
            <w:tcW w:w="1255" w:type="pct"/>
          </w:tcPr>
          <w:p w14:paraId="26AEBD12" w14:textId="77777777" w:rsidR="0086293A" w:rsidRPr="004C5899" w:rsidRDefault="0086293A" w:rsidP="00773A4F">
            <w:r w:rsidRPr="004C5899">
              <w:lastRenderedPageBreak/>
              <w:t>Has any data or is data being captured about the interventions that have been made?</w:t>
            </w:r>
          </w:p>
        </w:tc>
        <w:tc>
          <w:tcPr>
            <w:tcW w:w="3745" w:type="pct"/>
          </w:tcPr>
          <w:p w14:paraId="189825CC" w14:textId="77777777" w:rsidR="0086293A" w:rsidRPr="004C5899" w:rsidRDefault="0086293A" w:rsidP="00773A4F">
            <w:r w:rsidRPr="004C5899">
              <w:t>Alerts have been implemented into EMMA for therapeutic duplication. Data is not available on how many alerts are being triggered. However, there had been a recent reduction in incident reports involving duplicate anticoagulant therapy.</w:t>
            </w:r>
          </w:p>
        </w:tc>
      </w:tr>
      <w:tr w:rsidR="0086293A" w:rsidRPr="004C5899" w14:paraId="13A8FD6F" w14:textId="77777777" w:rsidTr="00773A4F">
        <w:tc>
          <w:tcPr>
            <w:tcW w:w="1255" w:type="pct"/>
          </w:tcPr>
          <w:p w14:paraId="23E809C7" w14:textId="03047AF8" w:rsidR="0086293A" w:rsidRPr="004C5899" w:rsidRDefault="0086293A" w:rsidP="00773A4F">
            <w:r w:rsidRPr="004C5899">
              <w:t>What work plans are in place? What risk mitigation strategies, what education or policy/protocols etc</w:t>
            </w:r>
            <w:r w:rsidR="007A4E6A">
              <w:t>.</w:t>
            </w:r>
            <w:r w:rsidRPr="004C5899">
              <w:t>?</w:t>
            </w:r>
          </w:p>
        </w:tc>
        <w:tc>
          <w:tcPr>
            <w:tcW w:w="3745" w:type="pct"/>
          </w:tcPr>
          <w:p w14:paraId="17CBE452" w14:textId="77777777" w:rsidR="0086293A" w:rsidRPr="004C5899" w:rsidRDefault="0086293A" w:rsidP="00773A4F">
            <w:r w:rsidRPr="004C5899">
              <w:t>Tools will be built into the new EMM system to:</w:t>
            </w:r>
          </w:p>
          <w:p w14:paraId="0402ED24" w14:textId="77777777" w:rsidR="0086293A" w:rsidRPr="007D69F6" w:rsidRDefault="0086293A" w:rsidP="00773A4F">
            <w:pPr>
              <w:pStyle w:val="ListParagraph"/>
              <w:numPr>
                <w:ilvl w:val="0"/>
                <w:numId w:val="45"/>
              </w:numPr>
            </w:pPr>
            <w:r>
              <w:t>S</w:t>
            </w:r>
            <w:r w:rsidRPr="007D69F6">
              <w:t>upport documentation of VTE risk assessment (including prompts)</w:t>
            </w:r>
          </w:p>
          <w:p w14:paraId="7F503F43" w14:textId="77777777" w:rsidR="0086293A" w:rsidRPr="007D69F6" w:rsidRDefault="0086293A" w:rsidP="00773A4F">
            <w:pPr>
              <w:pStyle w:val="ListParagraph"/>
              <w:numPr>
                <w:ilvl w:val="0"/>
                <w:numId w:val="45"/>
              </w:numPr>
            </w:pPr>
            <w:r>
              <w:t>C</w:t>
            </w:r>
            <w:r w:rsidRPr="007D69F6">
              <w:t xml:space="preserve">apture administration data (as described above) </w:t>
            </w:r>
          </w:p>
          <w:p w14:paraId="4497EE97" w14:textId="77777777" w:rsidR="0086293A" w:rsidRPr="007D69F6" w:rsidRDefault="0086293A" w:rsidP="00773A4F">
            <w:pPr>
              <w:pStyle w:val="ListParagraph"/>
              <w:numPr>
                <w:ilvl w:val="0"/>
                <w:numId w:val="45"/>
              </w:numPr>
            </w:pPr>
            <w:r>
              <w:t>E</w:t>
            </w:r>
            <w:r w:rsidRPr="007D69F6">
              <w:t>nable reporting on specific information about DOACs.</w:t>
            </w:r>
          </w:p>
        </w:tc>
      </w:tr>
      <w:tr w:rsidR="0086293A" w:rsidRPr="004C5899" w14:paraId="1FE8418D" w14:textId="77777777" w:rsidTr="00773A4F">
        <w:tc>
          <w:tcPr>
            <w:tcW w:w="1255" w:type="pct"/>
          </w:tcPr>
          <w:p w14:paraId="550F5859" w14:textId="77777777" w:rsidR="0086293A" w:rsidRPr="004C5899" w:rsidRDefault="0086293A" w:rsidP="00773A4F">
            <w:r w:rsidRPr="004C5899">
              <w:t>Anticoagulant work in the EMM system</w:t>
            </w:r>
          </w:p>
        </w:tc>
        <w:tc>
          <w:tcPr>
            <w:tcW w:w="3745" w:type="pct"/>
          </w:tcPr>
          <w:p w14:paraId="48BD440B" w14:textId="77777777" w:rsidR="0086293A" w:rsidRPr="004C5899" w:rsidRDefault="0086293A" w:rsidP="00773A4F">
            <w:r w:rsidRPr="004C5899">
              <w:t>See above</w:t>
            </w:r>
          </w:p>
        </w:tc>
      </w:tr>
      <w:tr w:rsidR="0086293A" w:rsidRPr="004C5899" w14:paraId="67C93B94" w14:textId="77777777" w:rsidTr="00773A4F">
        <w:tc>
          <w:tcPr>
            <w:tcW w:w="1255" w:type="pct"/>
          </w:tcPr>
          <w:p w14:paraId="2C2772C0" w14:textId="77777777" w:rsidR="0086293A" w:rsidRPr="004C5899" w:rsidRDefault="0086293A" w:rsidP="00773A4F">
            <w:r w:rsidRPr="004C5899">
              <w:t>What do you feel the Commission could be doing to assist with improving safety of anticoagulant management/use?</w:t>
            </w:r>
          </w:p>
        </w:tc>
        <w:tc>
          <w:tcPr>
            <w:tcW w:w="3745" w:type="pct"/>
          </w:tcPr>
          <w:p w14:paraId="0069EFE5" w14:textId="77777777" w:rsidR="0086293A" w:rsidRPr="007D69F6" w:rsidRDefault="0086293A" w:rsidP="00773A4F">
            <w:pPr>
              <w:pStyle w:val="ListParagraph"/>
              <w:numPr>
                <w:ilvl w:val="0"/>
                <w:numId w:val="46"/>
              </w:numPr>
            </w:pPr>
            <w:r w:rsidRPr="007D69F6">
              <w:t xml:space="preserve">HRM eLearning module on perioperative management of anticoagulants would be useful and would reduce requirement for local education </w:t>
            </w:r>
          </w:p>
          <w:p w14:paraId="7B24C3E2" w14:textId="5E0826D3" w:rsidR="0086293A" w:rsidRPr="007D69F6" w:rsidRDefault="0086293A" w:rsidP="00773A4F">
            <w:pPr>
              <w:pStyle w:val="ListParagraph"/>
              <w:numPr>
                <w:ilvl w:val="0"/>
                <w:numId w:val="46"/>
              </w:numPr>
            </w:pPr>
            <w:r w:rsidRPr="007D69F6">
              <w:t>Guidance for EMM and EMM SAT need to include in functionality specifications for VTE risk assessment and documentation. Given that VTE risk assessment is not a medication order, the assessment tool more likely needs to be included within EMR system functionality rather than</w:t>
            </w:r>
            <w:r w:rsidR="006F6C7C">
              <w:t> </w:t>
            </w:r>
            <w:r w:rsidRPr="007D69F6">
              <w:t>EMM</w:t>
            </w:r>
          </w:p>
          <w:p w14:paraId="4C7BAEF0" w14:textId="77777777" w:rsidR="0086293A" w:rsidRPr="007D69F6" w:rsidRDefault="0086293A" w:rsidP="00773A4F">
            <w:pPr>
              <w:pStyle w:val="ListParagraph"/>
              <w:numPr>
                <w:ilvl w:val="0"/>
                <w:numId w:val="46"/>
              </w:numPr>
            </w:pPr>
            <w:r w:rsidRPr="007D69F6">
              <w:t>Measurement: advising on indicators for anticoagulants</w:t>
            </w:r>
          </w:p>
          <w:p w14:paraId="3FF2FC63" w14:textId="77777777" w:rsidR="0086293A" w:rsidRPr="007D69F6" w:rsidRDefault="0086293A" w:rsidP="00773A4F">
            <w:pPr>
              <w:pStyle w:val="ListParagraph"/>
              <w:numPr>
                <w:ilvl w:val="0"/>
                <w:numId w:val="46"/>
              </w:numPr>
            </w:pPr>
            <w:r w:rsidRPr="007D69F6">
              <w:t>Difficult for NT to justify an anticoagulant stewardship program. NT health services do well where patients need dose adjustments and prescribing of appropriate VTE prophylaxis. The main problem is primarily with the documentation of the VTE risk assessment.</w:t>
            </w:r>
          </w:p>
        </w:tc>
      </w:tr>
      <w:tr w:rsidR="0086293A" w:rsidRPr="004C5899" w14:paraId="7CB96603" w14:textId="77777777" w:rsidTr="00773A4F">
        <w:tc>
          <w:tcPr>
            <w:tcW w:w="1255" w:type="pct"/>
          </w:tcPr>
          <w:p w14:paraId="2DFF7FE6" w14:textId="77777777" w:rsidR="0086293A" w:rsidRPr="004C5899" w:rsidRDefault="0086293A" w:rsidP="00773A4F">
            <w:r w:rsidRPr="004C5899">
              <w:t>Further ideas</w:t>
            </w:r>
          </w:p>
        </w:tc>
        <w:tc>
          <w:tcPr>
            <w:tcW w:w="3745" w:type="pct"/>
          </w:tcPr>
          <w:p w14:paraId="3DDA59F2" w14:textId="77777777" w:rsidR="0086293A" w:rsidRPr="004C5899" w:rsidRDefault="0086293A" w:rsidP="00773A4F">
            <w:r>
              <w:t>–</w:t>
            </w:r>
          </w:p>
        </w:tc>
      </w:tr>
      <w:tr w:rsidR="0086293A" w:rsidRPr="004C5899" w14:paraId="7ABA8067" w14:textId="77777777" w:rsidTr="00773A4F">
        <w:tc>
          <w:tcPr>
            <w:tcW w:w="1255" w:type="pct"/>
          </w:tcPr>
          <w:p w14:paraId="6F8B7DC5" w14:textId="77777777" w:rsidR="0086293A" w:rsidRPr="004C5899" w:rsidRDefault="0086293A" w:rsidP="00773A4F">
            <w:r w:rsidRPr="004C5899">
              <w:t>Other notes</w:t>
            </w:r>
          </w:p>
        </w:tc>
        <w:tc>
          <w:tcPr>
            <w:tcW w:w="3745" w:type="pct"/>
          </w:tcPr>
          <w:p w14:paraId="5564D1FF" w14:textId="77777777" w:rsidR="0086293A" w:rsidRPr="004C5899" w:rsidRDefault="0086293A" w:rsidP="00773A4F">
            <w:r w:rsidRPr="004C5899">
              <w:t>Apixaban dosing: requires manual data entry</w:t>
            </w:r>
          </w:p>
          <w:p w14:paraId="17D8FEFA" w14:textId="77777777" w:rsidR="0086293A" w:rsidRPr="004C5899" w:rsidRDefault="0086293A" w:rsidP="00773A4F">
            <w:r w:rsidRPr="004C5899">
              <w:t>Rivaroxaban: a quick-list is available that includes dose options.</w:t>
            </w:r>
          </w:p>
        </w:tc>
      </w:tr>
    </w:tbl>
    <w:p w14:paraId="708D8107" w14:textId="76BD8A99" w:rsidR="001541E5" w:rsidRDefault="001541E5" w:rsidP="00555924"/>
    <w:p w14:paraId="607B0571" w14:textId="27C35C81" w:rsidR="00415050" w:rsidRDefault="00415050" w:rsidP="00415050"/>
    <w:p w14:paraId="0CC09636" w14:textId="534F44D2" w:rsidR="00415050" w:rsidRDefault="00415050" w:rsidP="00415050"/>
    <w:p w14:paraId="231016C4" w14:textId="3B4614F3" w:rsidR="00415050" w:rsidRDefault="00415050" w:rsidP="00415050"/>
    <w:p w14:paraId="0A9E8D84" w14:textId="7FA7AF41" w:rsidR="00415050" w:rsidRDefault="00415050" w:rsidP="00415050"/>
    <w:p w14:paraId="5EFB5A8E" w14:textId="77777777" w:rsidR="00415050" w:rsidRPr="00415050" w:rsidRDefault="00415050" w:rsidP="00415050"/>
    <w:p w14:paraId="332021A7" w14:textId="72B7C06F" w:rsidR="00415050" w:rsidRPr="00415050" w:rsidRDefault="00415050" w:rsidP="00415050"/>
    <w:p w14:paraId="0E5E4815" w14:textId="51FFF484" w:rsidR="00415050" w:rsidRDefault="00415050" w:rsidP="00415050"/>
    <w:p w14:paraId="7436B70F" w14:textId="77777777" w:rsidR="00415050" w:rsidRDefault="00415050" w:rsidP="00415050">
      <w:pPr>
        <w:rPr>
          <w:highlight w:val="green"/>
        </w:rPr>
      </w:pPr>
    </w:p>
    <w:p w14:paraId="7219BCBF" w14:textId="77777777" w:rsidR="00415050" w:rsidRDefault="00415050" w:rsidP="00415050">
      <w:pPr>
        <w:rPr>
          <w:highlight w:val="green"/>
        </w:rPr>
      </w:pPr>
    </w:p>
    <w:p w14:paraId="606AE6CB" w14:textId="77777777" w:rsidR="00415050" w:rsidRDefault="00415050" w:rsidP="00415050">
      <w:pPr>
        <w:rPr>
          <w:highlight w:val="green"/>
        </w:rPr>
      </w:pPr>
    </w:p>
    <w:p w14:paraId="0024D9E2" w14:textId="77777777" w:rsidR="00415050" w:rsidRDefault="00415050" w:rsidP="00415050">
      <w:pPr>
        <w:rPr>
          <w:highlight w:val="green"/>
        </w:rPr>
      </w:pPr>
    </w:p>
    <w:p w14:paraId="20C7684E" w14:textId="77777777" w:rsidR="00415050" w:rsidRDefault="00415050" w:rsidP="00415050">
      <w:pPr>
        <w:rPr>
          <w:highlight w:val="green"/>
        </w:rPr>
      </w:pPr>
    </w:p>
    <w:p w14:paraId="1CF92A78" w14:textId="77777777" w:rsidR="00415050" w:rsidRDefault="00415050" w:rsidP="00415050">
      <w:pPr>
        <w:rPr>
          <w:highlight w:val="green"/>
        </w:rPr>
      </w:pPr>
    </w:p>
    <w:p w14:paraId="1DDEECF3" w14:textId="77777777" w:rsidR="00415050" w:rsidRDefault="00415050" w:rsidP="00415050">
      <w:pPr>
        <w:rPr>
          <w:highlight w:val="green"/>
        </w:rPr>
      </w:pPr>
    </w:p>
    <w:p w14:paraId="0C34F854" w14:textId="77777777" w:rsidR="00415050" w:rsidRDefault="00415050" w:rsidP="00415050">
      <w:pPr>
        <w:rPr>
          <w:highlight w:val="green"/>
        </w:rPr>
      </w:pPr>
    </w:p>
    <w:p w14:paraId="67275E05" w14:textId="77777777" w:rsidR="00415050" w:rsidRDefault="00415050" w:rsidP="00415050">
      <w:pPr>
        <w:rPr>
          <w:highlight w:val="green"/>
        </w:rPr>
      </w:pPr>
    </w:p>
    <w:p w14:paraId="6C4EC5CC" w14:textId="77777777" w:rsidR="00415050" w:rsidRDefault="00415050" w:rsidP="00415050">
      <w:pPr>
        <w:rPr>
          <w:highlight w:val="green"/>
        </w:rPr>
      </w:pPr>
    </w:p>
    <w:p w14:paraId="2507171A" w14:textId="77777777" w:rsidR="00415050" w:rsidRDefault="00415050" w:rsidP="00415050">
      <w:pPr>
        <w:rPr>
          <w:highlight w:val="green"/>
        </w:rPr>
      </w:pPr>
    </w:p>
    <w:p w14:paraId="1C0DFAD1" w14:textId="77777777" w:rsidR="00415050" w:rsidRDefault="00415050" w:rsidP="00415050">
      <w:pPr>
        <w:rPr>
          <w:highlight w:val="green"/>
        </w:rPr>
      </w:pPr>
    </w:p>
    <w:p w14:paraId="5F5BEA82" w14:textId="77777777" w:rsidR="00415050" w:rsidRDefault="00415050" w:rsidP="00415050">
      <w:pPr>
        <w:rPr>
          <w:highlight w:val="green"/>
        </w:rPr>
      </w:pPr>
    </w:p>
    <w:p w14:paraId="64405B1C" w14:textId="77777777" w:rsidR="00415050" w:rsidRDefault="00415050" w:rsidP="00415050">
      <w:pPr>
        <w:rPr>
          <w:highlight w:val="green"/>
        </w:rPr>
      </w:pPr>
    </w:p>
    <w:p w14:paraId="13F431DE" w14:textId="77777777" w:rsidR="00415050" w:rsidRDefault="00415050" w:rsidP="00415050">
      <w:pPr>
        <w:rPr>
          <w:highlight w:val="green"/>
        </w:rPr>
      </w:pPr>
    </w:p>
    <w:p w14:paraId="1A29CC52" w14:textId="77777777" w:rsidR="00415050" w:rsidRDefault="00415050" w:rsidP="00415050">
      <w:pPr>
        <w:rPr>
          <w:highlight w:val="green"/>
        </w:rPr>
      </w:pPr>
    </w:p>
    <w:p w14:paraId="509021E2" w14:textId="77777777" w:rsidR="00415050" w:rsidRDefault="00415050" w:rsidP="00415050">
      <w:pPr>
        <w:rPr>
          <w:highlight w:val="green"/>
        </w:rPr>
      </w:pPr>
    </w:p>
    <w:p w14:paraId="4470A881" w14:textId="77777777" w:rsidR="00415050" w:rsidRDefault="00415050" w:rsidP="00415050">
      <w:pPr>
        <w:rPr>
          <w:highlight w:val="green"/>
        </w:rPr>
      </w:pPr>
    </w:p>
    <w:p w14:paraId="30FD28B1" w14:textId="77777777" w:rsidR="00415050" w:rsidRDefault="00415050" w:rsidP="00415050">
      <w:pPr>
        <w:rPr>
          <w:highlight w:val="green"/>
        </w:rPr>
      </w:pPr>
    </w:p>
    <w:p w14:paraId="7B0EE13E" w14:textId="77777777" w:rsidR="00415050" w:rsidRPr="00B70655" w:rsidRDefault="00415050" w:rsidP="00415050">
      <w:pPr>
        <w:rPr>
          <w:highlight w:val="green"/>
        </w:rPr>
      </w:pPr>
    </w:p>
    <w:p w14:paraId="04E40AA7" w14:textId="77777777" w:rsidR="00415050" w:rsidRPr="00B70655" w:rsidRDefault="00415050" w:rsidP="00415050">
      <w:pPr>
        <w:rPr>
          <w:highlight w:val="green"/>
        </w:rPr>
      </w:pPr>
      <w:r w:rsidRPr="00B70655">
        <w:rPr>
          <w:rFonts w:eastAsiaTheme="majorEastAsia"/>
          <w:noProof/>
        </w:rPr>
        <w:drawing>
          <wp:anchor distT="0" distB="0" distL="114300" distR="114300" simplePos="0" relativeHeight="251659264" behindDoc="0" locked="0" layoutInCell="1" allowOverlap="1" wp14:anchorId="69659449" wp14:editId="78F6B53E">
            <wp:simplePos x="0" y="0"/>
            <wp:positionH relativeFrom="column">
              <wp:posOffset>-67198</wp:posOffset>
            </wp:positionH>
            <wp:positionV relativeFrom="paragraph">
              <wp:posOffset>240665</wp:posOffset>
            </wp:positionV>
            <wp:extent cx="3941445" cy="555625"/>
            <wp:effectExtent l="0" t="0" r="0" b="3175"/>
            <wp:wrapTopAndBottom/>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14:sizeRelH relativeFrom="page">
              <wp14:pctWidth>0</wp14:pctWidth>
            </wp14:sizeRelH>
            <wp14:sizeRelV relativeFrom="page">
              <wp14:pctHeight>0</wp14:pctHeight>
            </wp14:sizeRelV>
          </wp:anchor>
        </w:drawing>
      </w:r>
    </w:p>
    <w:p w14:paraId="3B795759" w14:textId="77777777" w:rsidR="00415050" w:rsidRPr="00B70655" w:rsidRDefault="00415050" w:rsidP="00415050">
      <w:pPr>
        <w:rPr>
          <w:highlight w:val="green"/>
        </w:rPr>
      </w:pPr>
    </w:p>
    <w:p w14:paraId="3918D164" w14:textId="77777777" w:rsidR="00415050" w:rsidRPr="00B70655" w:rsidRDefault="00415050" w:rsidP="00415050">
      <w:r w:rsidRPr="00B70655">
        <w:t>Level 5, 255 Elizabeth Street, Sydney NSW 2000</w:t>
      </w:r>
      <w:r w:rsidRPr="00B70655">
        <w:br/>
        <w:t>GPO Box 5480, Sydney NSW 2001</w:t>
      </w:r>
    </w:p>
    <w:p w14:paraId="0825BDED" w14:textId="77777777" w:rsidR="00415050" w:rsidRPr="00B70655" w:rsidRDefault="00415050" w:rsidP="00415050">
      <w:r w:rsidRPr="00B70655">
        <w:t>Phone: (02) 9126 3600</w:t>
      </w:r>
    </w:p>
    <w:p w14:paraId="2AF3E359" w14:textId="77777777" w:rsidR="00415050" w:rsidRPr="00B70655" w:rsidRDefault="00415050" w:rsidP="00415050">
      <w:r w:rsidRPr="00B70655">
        <w:t xml:space="preserve">Email: </w:t>
      </w:r>
      <w:hyperlink r:id="rId65" w:history="1">
        <w:r w:rsidRPr="00B70655">
          <w:rPr>
            <w:rStyle w:val="Hyperlink"/>
          </w:rPr>
          <w:t>mail@safetyandquality.gov.au</w:t>
        </w:r>
      </w:hyperlink>
      <w:r w:rsidRPr="00B70655">
        <w:t xml:space="preserve"> </w:t>
      </w:r>
      <w:r w:rsidRPr="00B70655">
        <w:br/>
        <w:t xml:space="preserve">Website: </w:t>
      </w:r>
      <w:hyperlink r:id="rId66" w:history="1">
        <w:r w:rsidRPr="00B70655">
          <w:rPr>
            <w:rStyle w:val="Hyperlink"/>
          </w:rPr>
          <w:t>www.safetyandquality.gov.au</w:t>
        </w:r>
      </w:hyperlink>
    </w:p>
    <w:p w14:paraId="63545035" w14:textId="3495DC71" w:rsidR="00415050" w:rsidRPr="00415050" w:rsidRDefault="00415050" w:rsidP="00415050">
      <w:pPr>
        <w:tabs>
          <w:tab w:val="left" w:pos="2209"/>
        </w:tabs>
      </w:pPr>
      <w:r>
        <w:tab/>
      </w:r>
    </w:p>
    <w:sectPr w:rsidR="00415050" w:rsidRPr="00415050" w:rsidSect="00773A4F">
      <w:footerReference w:type="default" r:id="rId6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0A301" w14:textId="77777777" w:rsidR="002D45FC" w:rsidRDefault="002D45FC" w:rsidP="000B0274">
      <w:r>
        <w:separator/>
      </w:r>
    </w:p>
  </w:endnote>
  <w:endnote w:type="continuationSeparator" w:id="0">
    <w:p w14:paraId="45A52EE6" w14:textId="77777777" w:rsidR="002D45FC" w:rsidRDefault="002D45FC"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0297" w14:textId="77777777" w:rsidR="002F5AD6" w:rsidRDefault="002F5AD6" w:rsidP="00E6070B">
    <w:pPr>
      <w:pStyle w:val="Footer"/>
    </w:pPr>
  </w:p>
  <w:p w14:paraId="32F84696" w14:textId="3E4355A2" w:rsidR="002F5AD6" w:rsidRDefault="002F5AD6" w:rsidP="00E6070B">
    <w:pPr>
      <w:pStyle w:val="Footer"/>
    </w:pPr>
    <w:r>
      <w:t>National Anticoagulant Incident Review – An analysis</w:t>
    </w:r>
  </w:p>
  <w:p w14:paraId="601BD316" w14:textId="1F8687D2" w:rsidR="002F5AD6" w:rsidRPr="00F57148" w:rsidRDefault="002F5AD6" w:rsidP="009B053D">
    <w:pPr>
      <w:pStyle w:val="Footer"/>
      <w:jc w:val="right"/>
    </w:pP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67DED5A" w14:textId="77777777" w:rsidR="002F5AD6" w:rsidRDefault="002F5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211E" w14:textId="77777777" w:rsidR="002F5AD6" w:rsidRDefault="002F5AD6" w:rsidP="00E6070B">
    <w:pPr>
      <w:pStyle w:val="Footer"/>
    </w:pPr>
  </w:p>
  <w:p w14:paraId="45979BC3" w14:textId="2A4CFD40" w:rsidR="002F5AD6" w:rsidRPr="008B7905" w:rsidRDefault="002F5AD6" w:rsidP="008B7905">
    <w:pPr>
      <w:pStyle w:val="Footer"/>
    </w:pPr>
    <w:r>
      <w:t>National Anticoagulant Incident Analysis</w:t>
    </w:r>
    <w:r>
      <w:tab/>
    </w:r>
    <w:r>
      <w:tab/>
    </w:r>
    <w:r w:rsidRPr="000A4C01">
      <w:fldChar w:fldCharType="begin"/>
    </w:r>
    <w:r w:rsidRPr="000A4C01">
      <w:instrText xml:space="preserve"> PAGE   \* MERGEFORMAT </w:instrText>
    </w:r>
    <w:r w:rsidRPr="000A4C01">
      <w:fldChar w:fldCharType="separate"/>
    </w:r>
    <w:r w:rsidR="00D72C77">
      <w:rPr>
        <w:noProof/>
      </w:rPr>
      <w:t>22</w:t>
    </w:r>
    <w:r w:rsidRPr="000A4C0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DC14" w14:textId="6D753B2A" w:rsidR="002F5AD6" w:rsidRDefault="002F5AD6">
    <w:pPr>
      <w:pStyle w:val="Footer"/>
    </w:pPr>
    <w:r>
      <w:t>National Anticoagulant Incident Analysis</w:t>
    </w:r>
    <w:r>
      <w:tab/>
    </w:r>
    <w:r>
      <w:tab/>
    </w:r>
    <w:r w:rsidRPr="00F57148">
      <w:fldChar w:fldCharType="begin"/>
    </w:r>
    <w:r w:rsidRPr="00F57148">
      <w:instrText xml:space="preserve"> PAGE   \* MERGEFORMAT </w:instrText>
    </w:r>
    <w:r w:rsidRPr="00F57148">
      <w:fldChar w:fldCharType="separate"/>
    </w:r>
    <w:r w:rsidR="00D72C77">
      <w:rPr>
        <w:noProof/>
      </w:rPr>
      <w:t>21</w:t>
    </w:r>
    <w:r w:rsidRPr="00F5714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21B4" w14:textId="5AC5722A" w:rsidR="002F5AD6" w:rsidRDefault="002F5AD6">
    <w:pPr>
      <w:pStyle w:val="Footer"/>
    </w:pPr>
    <w:r>
      <w:t>National Anticoagulant Incident Analysis</w:t>
    </w:r>
    <w:r>
      <w:tab/>
    </w:r>
    <w:r>
      <w:tab/>
    </w:r>
    <w:r w:rsidRPr="00F57148">
      <w:fldChar w:fldCharType="begin"/>
    </w:r>
    <w:r w:rsidRPr="00F57148">
      <w:instrText xml:space="preserve"> PAGE   \* MERGEFORMAT </w:instrText>
    </w:r>
    <w:r w:rsidRPr="00F57148">
      <w:fldChar w:fldCharType="separate"/>
    </w:r>
    <w:r w:rsidR="00D72C77">
      <w:rPr>
        <w:noProof/>
      </w:rPr>
      <w:t>33</w:t>
    </w:r>
    <w:r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272E5" w14:textId="77777777" w:rsidR="002D45FC" w:rsidRDefault="002D45FC" w:rsidP="000B0274">
      <w:r>
        <w:separator/>
      </w:r>
    </w:p>
  </w:footnote>
  <w:footnote w:type="continuationSeparator" w:id="0">
    <w:p w14:paraId="1E2B8E22" w14:textId="77777777" w:rsidR="002D45FC" w:rsidRDefault="002D45FC" w:rsidP="000B0274">
      <w:r>
        <w:continuationSeparator/>
      </w:r>
    </w:p>
  </w:footnote>
  <w:footnote w:id="1">
    <w:p w14:paraId="57C21BF5" w14:textId="2B603146" w:rsidR="002F5AD6" w:rsidRPr="007E4016" w:rsidRDefault="002F5AD6" w:rsidP="00260C12">
      <w:pPr>
        <w:pStyle w:val="FootnoteText"/>
        <w:rPr>
          <w:rFonts w:eastAsia="Calibri"/>
        </w:rPr>
      </w:pPr>
      <w:r>
        <w:rPr>
          <w:rStyle w:val="FootnoteReference"/>
        </w:rPr>
        <w:footnoteRef/>
      </w:r>
      <w:r>
        <w:t xml:space="preserve"> </w:t>
      </w:r>
      <w:r>
        <w:tab/>
      </w:r>
      <w:r w:rsidRPr="007E4016">
        <w:rPr>
          <w:rFonts w:eastAsia="Calibri"/>
        </w:rPr>
        <w:t xml:space="preserve">It is acknowledged that Apixaban and Rivaroxaban have a mode of action that corresponds to classification as a Factor Xa inhibitor. </w:t>
      </w:r>
      <w:r>
        <w:rPr>
          <w:rFonts w:eastAsia="Calibri"/>
        </w:rPr>
        <w:t>However, f</w:t>
      </w:r>
      <w:r w:rsidRPr="007E4016">
        <w:rPr>
          <w:rFonts w:eastAsia="Calibri"/>
        </w:rPr>
        <w:t>or the purposes of reporting, these medicines have been classified into the DOAC medicine group.</w:t>
      </w:r>
    </w:p>
    <w:p w14:paraId="4CB77067" w14:textId="77777777" w:rsidR="002F5AD6" w:rsidRDefault="002F5AD6" w:rsidP="004B0EE4">
      <w:pPr>
        <w:pStyle w:val="FootnoteText"/>
      </w:pPr>
    </w:p>
  </w:footnote>
  <w:footnote w:id="2">
    <w:p w14:paraId="345FF690" w14:textId="2FEE474C" w:rsidR="002F5AD6" w:rsidRPr="0017378D" w:rsidRDefault="002F5AD6" w:rsidP="00262EC3">
      <w:pPr>
        <w:pStyle w:val="FootnoteText"/>
      </w:pPr>
      <w:r w:rsidRPr="00262EC3">
        <w:rPr>
          <w:rStyle w:val="FootnoteReference"/>
        </w:rPr>
        <w:footnoteRef/>
      </w:r>
      <w:r w:rsidRPr="0017378D">
        <w:t xml:space="preserve"> </w:t>
      </w:r>
      <w:r>
        <w:tab/>
      </w:r>
      <w:r w:rsidRPr="0017378D">
        <w:t xml:space="preserve">For the purposes of this </w:t>
      </w:r>
      <w:r w:rsidRPr="00262EC3">
        <w:t>report</w:t>
      </w:r>
      <w:r w:rsidRPr="0017378D">
        <w:t xml:space="preserve"> ‘near miss’ is aligned with the following definition:</w:t>
      </w:r>
      <w:r>
        <w:t xml:space="preserve"> incident occurred but did not harm the patient.</w:t>
      </w:r>
    </w:p>
  </w:footnote>
  <w:footnote w:id="3">
    <w:p w14:paraId="253E6F36" w14:textId="252D0B64" w:rsidR="002F5AD6" w:rsidRDefault="002F5AD6" w:rsidP="00996B73">
      <w:pPr>
        <w:pStyle w:val="FootnoteText"/>
        <w:ind w:left="170" w:hanging="170"/>
      </w:pPr>
      <w:r>
        <w:rPr>
          <w:rStyle w:val="FootnoteReference"/>
        </w:rPr>
        <w:footnoteRef/>
      </w:r>
      <w:r>
        <w:t xml:space="preserve"> </w:t>
      </w:r>
      <w:r>
        <w:tab/>
      </w:r>
      <w:r w:rsidRPr="00996B73">
        <w:t>It is acknowledged that apixaban and rivaroxaban have a mode of action that corresponds to classification as a Factor Xa inhibitor. However</w:t>
      </w:r>
      <w:r>
        <w:t>,</w:t>
      </w:r>
      <w:r w:rsidRPr="00996B73">
        <w:t xml:space="preserve"> for the purposes of reporting, these medicines have been classified as DOAC medicines.</w:t>
      </w:r>
    </w:p>
  </w:footnote>
  <w:footnote w:id="4">
    <w:p w14:paraId="108C17A2" w14:textId="1874237A" w:rsidR="002F5AD6" w:rsidRPr="00904B54" w:rsidRDefault="002F5AD6" w:rsidP="001E26C6">
      <w:pPr>
        <w:pStyle w:val="FootnoteText"/>
        <w:rPr>
          <w:lang w:val="en-US"/>
        </w:rPr>
      </w:pPr>
      <w:r>
        <w:rPr>
          <w:rStyle w:val="FootnoteReference"/>
        </w:rPr>
        <w:footnoteRef/>
      </w:r>
      <w:r>
        <w:t xml:space="preserve"> </w:t>
      </w:r>
      <w:r>
        <w:tab/>
      </w:r>
      <w:r w:rsidRPr="00991E03">
        <w:rPr>
          <w:lang w:val="en-US"/>
        </w:rPr>
        <w:t xml:space="preserve">Ong M, Magrabi F, Coiera E. Automated categorization of clinical incident reports using statistical text classification. Qual </w:t>
      </w:r>
      <w:r w:rsidRPr="00904B54">
        <w:t>Saf</w:t>
      </w:r>
      <w:r w:rsidRPr="00991E03">
        <w:rPr>
          <w:lang w:val="en-US"/>
        </w:rPr>
        <w:t xml:space="preserve"> Health Care 19 (2010) 1</w:t>
      </w:r>
      <w:r>
        <w:rPr>
          <w:lang w:val="en-US"/>
        </w:rPr>
        <w:t>–</w:t>
      </w:r>
      <w:r w:rsidRPr="00991E03">
        <w:rPr>
          <w:lang w:val="en-US"/>
        </w:rPr>
        <w:t>7.</w:t>
      </w:r>
    </w:p>
  </w:footnote>
  <w:footnote w:id="5">
    <w:p w14:paraId="6B8F3741" w14:textId="672B5411" w:rsidR="002F5AD6" w:rsidRPr="001E26C6" w:rsidRDefault="002F5AD6" w:rsidP="001E26C6">
      <w:pPr>
        <w:pStyle w:val="FootnoteText"/>
      </w:pPr>
      <w:r>
        <w:rPr>
          <w:rStyle w:val="FootnoteReference"/>
        </w:rPr>
        <w:footnoteRef/>
      </w:r>
      <w:r>
        <w:t xml:space="preserve"> </w:t>
      </w:r>
      <w:r>
        <w:tab/>
      </w:r>
      <w:r w:rsidRPr="00904B54">
        <w:t xml:space="preserve">Note that not </w:t>
      </w:r>
      <w:r w:rsidRPr="001E26C6">
        <w:rPr>
          <w:rFonts w:eastAsia="Calibri"/>
        </w:rPr>
        <w:t>all states and territories searched for the same medicines in their incident management systems</w:t>
      </w:r>
      <w:r w:rsidRPr="001E26C6">
        <w:t>.</w:t>
      </w:r>
    </w:p>
  </w:footnote>
  <w:footnote w:id="6">
    <w:p w14:paraId="42BCF972" w14:textId="7A932D29" w:rsidR="002F5AD6" w:rsidRDefault="002F5AD6" w:rsidP="001E26C6">
      <w:pPr>
        <w:pStyle w:val="FootnoteText"/>
      </w:pPr>
      <w:r w:rsidRPr="001E26C6">
        <w:rPr>
          <w:rStyle w:val="FootnoteReference"/>
        </w:rPr>
        <w:footnoteRef/>
      </w:r>
      <w:r w:rsidRPr="001E26C6">
        <w:rPr>
          <w:rStyle w:val="FootnoteReference"/>
        </w:rPr>
        <w:t xml:space="preserve"> </w:t>
      </w:r>
      <w:r w:rsidRPr="001E26C6">
        <w:tab/>
      </w:r>
      <w:r w:rsidRPr="001E26C6">
        <w:rPr>
          <w:rFonts w:eastAsia="Calibri"/>
        </w:rPr>
        <w:t>It is acknowledged that apixaban and rivaroxaban have a mode of action that corresponds to classification a</w:t>
      </w:r>
      <w:r w:rsidRPr="00904B54">
        <w:t>s a Factor Xa inhibitor. However</w:t>
      </w:r>
      <w:r>
        <w:t>,</w:t>
      </w:r>
      <w:r w:rsidRPr="00904B54">
        <w:t xml:space="preserve"> for the purposes of reporting, these medicines have been classified as DOAC medicines.</w:t>
      </w:r>
    </w:p>
  </w:footnote>
  <w:footnote w:id="7">
    <w:p w14:paraId="5F8A97B0" w14:textId="0BF01A84" w:rsidR="002F5AD6" w:rsidRDefault="002F5AD6">
      <w:pPr>
        <w:pStyle w:val="FootnoteText"/>
      </w:pPr>
      <w:r>
        <w:rPr>
          <w:rStyle w:val="FootnoteReference"/>
        </w:rPr>
        <w:footnoteRef/>
      </w:r>
      <w:r>
        <w:t xml:space="preserve"> </w:t>
      </w:r>
      <w:r>
        <w:tab/>
        <w:t xml:space="preserve">Clinical Excellence Commission. </w:t>
      </w:r>
      <w:hyperlink r:id="rId1" w:history="1">
        <w:r w:rsidRPr="00F5197E">
          <w:rPr>
            <w:rStyle w:val="Hyperlink"/>
            <w:i/>
            <w:iCs/>
          </w:rPr>
          <w:t>Guidelines on perioperative management of anticoagulant and antiplatelet agents</w:t>
        </w:r>
      </w:hyperlink>
      <w:r>
        <w:t>. Sydney: CEC; 2018.</w:t>
      </w:r>
    </w:p>
  </w:footnote>
  <w:footnote w:id="8">
    <w:p w14:paraId="1A48D879" w14:textId="7B5AA436" w:rsidR="002F5AD6" w:rsidRDefault="002F5AD6" w:rsidP="00FA0B70">
      <w:pPr>
        <w:pStyle w:val="FootnoteText"/>
        <w:ind w:left="170" w:hanging="170"/>
      </w:pPr>
      <w:r>
        <w:rPr>
          <w:rStyle w:val="FootnoteReference"/>
        </w:rPr>
        <w:footnoteRef/>
      </w:r>
      <w:r>
        <w:t xml:space="preserve"> </w:t>
      </w:r>
      <w:r>
        <w:tab/>
      </w:r>
      <w:r w:rsidRPr="00FA0B70">
        <w:t>2013</w:t>
      </w:r>
      <w:r>
        <w:t>–</w:t>
      </w:r>
      <w:r w:rsidRPr="00FA0B70">
        <w:t xml:space="preserve">2014 data. Incidents classified according to impact on patient rather than the stage of the medication management cycle. </w:t>
      </w:r>
    </w:p>
  </w:footnote>
  <w:footnote w:id="9">
    <w:p w14:paraId="4EDFD992" w14:textId="628133EB" w:rsidR="002F5AD6" w:rsidRPr="00E24B98" w:rsidRDefault="002F5AD6" w:rsidP="00E24B98">
      <w:pPr>
        <w:pStyle w:val="FootnoteText"/>
      </w:pPr>
      <w:r>
        <w:rPr>
          <w:rStyle w:val="FootnoteReference"/>
        </w:rPr>
        <w:footnoteRef/>
      </w:r>
      <w:r>
        <w:tab/>
      </w:r>
      <w:r w:rsidRPr="00E24B98">
        <w:t>Jovanovska T, Fitzsimons K, Ferguson C, Koay A. Types and causes of anticoagulant</w:t>
      </w:r>
      <w:r w:rsidRPr="00E24B98">
        <w:rPr>
          <w:rFonts w:ascii="Cambria Math" w:hAnsi="Cambria Math" w:cs="Cambria Math"/>
        </w:rPr>
        <w:t>‐</w:t>
      </w:r>
      <w:r w:rsidRPr="00E24B98">
        <w:t xml:space="preserve">related medication incidents across hospitals in Western Australia. JPPR 2019,49(6);523–537. </w:t>
      </w:r>
      <w:hyperlink r:id="rId2" w:history="1">
        <w:r w:rsidRPr="00E24B98">
          <w:rPr>
            <w:rStyle w:val="Hyperlink"/>
          </w:rPr>
          <w:t>https://onlinelibrary.wiley.com/doi/abs/10.1002/jppr.1576</w:t>
        </w:r>
      </w:hyperlink>
    </w:p>
  </w:footnote>
  <w:footnote w:id="10">
    <w:p w14:paraId="7CAA8F93" w14:textId="4AA737F2" w:rsidR="002F5AD6" w:rsidRPr="00E24B98" w:rsidRDefault="002F5AD6" w:rsidP="00E24B98">
      <w:pPr>
        <w:pStyle w:val="FootnoteText"/>
      </w:pPr>
      <w:r w:rsidRPr="00E24B98">
        <w:rPr>
          <w:rStyle w:val="FootnoteReference"/>
        </w:rPr>
        <w:footnoteRef/>
      </w:r>
      <w:r w:rsidRPr="00E24B98">
        <w:t xml:space="preserve"> </w:t>
      </w:r>
      <w:r w:rsidRPr="00E24B98">
        <w:tab/>
        <w:t xml:space="preserve">Institute for Safe Medication Practices (ISMP). Advisory. </w:t>
      </w:r>
      <w:hyperlink r:id="rId3" w:history="1">
        <w:r w:rsidRPr="00E24B98">
          <w:rPr>
            <w:rStyle w:val="Hyperlink"/>
          </w:rPr>
          <w:t>Oral Anticoagulants: A Review of Common Errors and Risk Reduction Strategies</w:t>
        </w:r>
      </w:hyperlink>
      <w:r w:rsidRPr="00E24B98">
        <w:t>. 2016</w:t>
      </w:r>
      <w:r>
        <w:t>.</w:t>
      </w:r>
    </w:p>
  </w:footnote>
  <w:footnote w:id="11">
    <w:p w14:paraId="3652FCEE" w14:textId="5C4111C5" w:rsidR="002F5AD6" w:rsidRDefault="002F5AD6" w:rsidP="00E24B98">
      <w:pPr>
        <w:pStyle w:val="FootnoteText"/>
      </w:pPr>
      <w:r w:rsidRPr="00E24B98">
        <w:rPr>
          <w:rStyle w:val="FootnoteReference"/>
        </w:rPr>
        <w:footnoteRef/>
      </w:r>
      <w:r w:rsidRPr="00E24B98">
        <w:t xml:space="preserve"> </w:t>
      </w:r>
      <w:r w:rsidRPr="00E24B98">
        <w:tab/>
        <w:t xml:space="preserve">Westbrook JI et al. Associations between double-checking and medication administration errors: a direct observational study of paediatric inpatients. BMJ Qual Safety. 2020;0:1–11. </w:t>
      </w:r>
      <w:hyperlink r:id="rId4" w:history="1">
        <w:r w:rsidRPr="00E24B98">
          <w:rPr>
            <w:rStyle w:val="Hyperlink"/>
          </w:rPr>
          <w:t>https://qualitysafety.bmj.com/content/early/2020/08/17/bmjqs-2020-011473</w:t>
        </w:r>
      </w:hyperlink>
    </w:p>
  </w:footnote>
  <w:footnote w:id="12">
    <w:p w14:paraId="3CA1164D" w14:textId="7DCA45C5" w:rsidR="002F5AD6" w:rsidRDefault="002F5AD6" w:rsidP="0067177E">
      <w:pPr>
        <w:pStyle w:val="FootnoteText"/>
      </w:pPr>
      <w:r>
        <w:rPr>
          <w:rStyle w:val="FootnoteReference"/>
        </w:rPr>
        <w:footnoteRef/>
      </w:r>
      <w:r>
        <w:t xml:space="preserve"> Daniel JW, Kramer J, Burgess LH. Assessment of oral anticoagulant adverse drug events before and after implementation of a real-time clinical surveillance tool. J Patient Saf. 2021 17(4); e350–e354. </w:t>
      </w:r>
      <w:hyperlink r:id="rId5" w:history="1">
        <w:r w:rsidRPr="007E5B8C">
          <w:rPr>
            <w:rStyle w:val="Hyperlink"/>
          </w:rPr>
          <w:t>https://pubmed.ncbi.nlm.nih.gov/31045622/</w:t>
        </w:r>
      </w:hyperlink>
      <w:r>
        <w:t xml:space="preserve"> </w:t>
      </w:r>
    </w:p>
    <w:p w14:paraId="31D4DBF1" w14:textId="69843156" w:rsidR="002F5AD6" w:rsidRDefault="002F5AD6">
      <w:pPr>
        <w:pStyle w:val="FootnoteText"/>
      </w:pPr>
    </w:p>
  </w:footnote>
  <w:footnote w:id="13">
    <w:p w14:paraId="0A9A124D" w14:textId="69F53E59" w:rsidR="002F5AD6" w:rsidRDefault="002F5AD6" w:rsidP="00A047EC">
      <w:pPr>
        <w:pStyle w:val="FootnoteText"/>
      </w:pPr>
      <w:r w:rsidRPr="00A047EC">
        <w:rPr>
          <w:rStyle w:val="FootnoteReference"/>
        </w:rPr>
        <w:footnoteRef/>
      </w:r>
      <w:r w:rsidRPr="00D277D3">
        <w:t xml:space="preserve"> </w:t>
      </w:r>
      <w:r>
        <w:tab/>
      </w:r>
      <w:r w:rsidRPr="00D277D3">
        <w:rPr>
          <w:lang w:val="en-US"/>
        </w:rPr>
        <w:t xml:space="preserve">Ong M, Magrabi F, Coiera E. Automated categorization of clinical incident reports using statistical text classification. Qual Saf </w:t>
      </w:r>
      <w:r w:rsidRPr="00A047EC">
        <w:rPr>
          <w:rStyle w:val="FootnoteTextChar"/>
        </w:rPr>
        <w:t>Health</w:t>
      </w:r>
      <w:r w:rsidRPr="00D277D3">
        <w:rPr>
          <w:lang w:val="en-US"/>
        </w:rPr>
        <w:t xml:space="preserve"> Care 19 (2010) 1</w:t>
      </w:r>
      <w:r>
        <w:rPr>
          <w:lang w:val="en-US"/>
        </w:rPr>
        <w:t>–</w:t>
      </w:r>
      <w:r w:rsidRPr="00D277D3">
        <w:rPr>
          <w:lang w:val="en-US"/>
        </w:rPr>
        <w:t>7.</w:t>
      </w:r>
    </w:p>
  </w:footnote>
  <w:footnote w:id="14">
    <w:p w14:paraId="77CAA772" w14:textId="0F89F7EF" w:rsidR="002F5AD6" w:rsidRPr="00A047EC" w:rsidRDefault="002F5AD6" w:rsidP="00A047EC">
      <w:pPr>
        <w:pStyle w:val="FootnoteText"/>
        <w:rPr>
          <w:rFonts w:eastAsia="Calibri"/>
          <w:lang w:eastAsia="en-US"/>
        </w:rPr>
      </w:pPr>
      <w:r>
        <w:rPr>
          <w:rStyle w:val="FootnoteReference"/>
        </w:rPr>
        <w:footnoteRef/>
      </w:r>
      <w:r>
        <w:t xml:space="preserve"> </w:t>
      </w:r>
      <w:r>
        <w:tab/>
      </w:r>
      <w:r w:rsidRPr="000E5F1E">
        <w:rPr>
          <w:rFonts w:eastAsia="Calibri"/>
          <w:lang w:eastAsia="en-US"/>
        </w:rPr>
        <w:t xml:space="preserve">Note that not all </w:t>
      </w:r>
      <w:r>
        <w:rPr>
          <w:rFonts w:eastAsia="Calibri"/>
          <w:lang w:eastAsia="en-US"/>
        </w:rPr>
        <w:t>states and territories</w:t>
      </w:r>
      <w:r w:rsidRPr="000E5F1E">
        <w:rPr>
          <w:rFonts w:eastAsia="Calibri"/>
          <w:lang w:eastAsia="en-US"/>
        </w:rPr>
        <w:t xml:space="preserve"> searched for the same medicines in their incident management systems</w:t>
      </w:r>
      <w:r>
        <w:rPr>
          <w:rFonts w:eastAsia="Calibri"/>
          <w:lang w:eastAsia="en-US"/>
        </w:rPr>
        <w:t>.</w:t>
      </w:r>
    </w:p>
  </w:footnote>
  <w:footnote w:id="15">
    <w:p w14:paraId="2ABF8CC3" w14:textId="72772C85" w:rsidR="002F5AD6" w:rsidRPr="00F556F8" w:rsidRDefault="002F5AD6" w:rsidP="00FD0C6C">
      <w:pPr>
        <w:pStyle w:val="FootnoteText"/>
        <w:rPr>
          <w:rFonts w:eastAsia="Calibri"/>
          <w:lang w:eastAsia="en-US"/>
        </w:rPr>
      </w:pPr>
      <w:r>
        <w:rPr>
          <w:rStyle w:val="FootnoteReference"/>
        </w:rPr>
        <w:footnoteRef/>
      </w:r>
      <w:r>
        <w:t xml:space="preserve"> </w:t>
      </w:r>
      <w:r>
        <w:rPr>
          <w:rFonts w:eastAsia="Calibri"/>
          <w:lang w:eastAsia="en-US"/>
        </w:rPr>
        <w:tab/>
      </w:r>
      <w:r w:rsidRPr="000E5F1E">
        <w:rPr>
          <w:rFonts w:eastAsia="Calibri"/>
          <w:lang w:eastAsia="en-US"/>
        </w:rPr>
        <w:t>It is acknowledged that Apixaban and Rivaroxaban have a mode of action that corresponds to classification as a Factor Xa inhibitor. However</w:t>
      </w:r>
      <w:r>
        <w:rPr>
          <w:rFonts w:eastAsia="Calibri"/>
          <w:lang w:eastAsia="en-US"/>
        </w:rPr>
        <w:t>,</w:t>
      </w:r>
      <w:r w:rsidRPr="000E5F1E">
        <w:rPr>
          <w:rFonts w:eastAsia="Calibri"/>
          <w:lang w:eastAsia="en-US"/>
        </w:rPr>
        <w:t xml:space="preserve"> for the purposes of reporting, these medicines have been classified </w:t>
      </w:r>
      <w:r>
        <w:rPr>
          <w:rFonts w:eastAsia="Calibri"/>
          <w:lang w:eastAsia="en-US"/>
        </w:rPr>
        <w:t>as</w:t>
      </w:r>
      <w:r w:rsidRPr="000E5F1E">
        <w:rPr>
          <w:rFonts w:eastAsia="Calibri"/>
          <w:lang w:eastAsia="en-US"/>
        </w:rPr>
        <w:t xml:space="preserve"> DOAC medicine</w:t>
      </w:r>
      <w:r>
        <w:rPr>
          <w:rFonts w:eastAsia="Calibri"/>
          <w:lang w:eastAsia="en-US"/>
        </w:rPr>
        <w:t>s</w:t>
      </w:r>
      <w:r w:rsidRPr="000E5F1E">
        <w:rPr>
          <w:rFonts w:eastAsia="Calibri"/>
          <w:lang w:eastAsia="en-US"/>
        </w:rPr>
        <w:t>.</w:t>
      </w:r>
      <w:r>
        <w:rPr>
          <w:rFonts w:ascii="Calibri" w:eastAsia="Calibri" w:hAnsi="Calibri" w:cs="Calibri"/>
          <w:b/>
          <w:lang w:eastAsia="en-US"/>
        </w:rPr>
        <w:br w:type="page"/>
      </w:r>
    </w:p>
    <w:p w14:paraId="1D54DF43" w14:textId="1187D462" w:rsidR="002F5AD6" w:rsidRDefault="002F5AD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F20E" w14:textId="76C1CF0E" w:rsidR="002F5AD6" w:rsidRDefault="002F5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3200" w14:textId="04314074" w:rsidR="002F5AD6" w:rsidRDefault="002F5A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701F" w14:textId="43C4FA44" w:rsidR="002F5AD6" w:rsidRDefault="002F5A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F6C4" w14:textId="539F9A1F" w:rsidR="002F5AD6" w:rsidRDefault="002F5A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0E6A" w14:textId="2CE872E7" w:rsidR="002F5AD6" w:rsidRDefault="002F5A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9219" w14:textId="7082590F" w:rsidR="002F5AD6" w:rsidRDefault="002F5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74880"/>
    <w:multiLevelType w:val="hybridMultilevel"/>
    <w:tmpl w:val="4AF86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B72E7"/>
    <w:multiLevelType w:val="hybridMultilevel"/>
    <w:tmpl w:val="A2343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25F0B8F"/>
    <w:multiLevelType w:val="hybridMultilevel"/>
    <w:tmpl w:val="5F746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55CA3"/>
    <w:multiLevelType w:val="hybridMultilevel"/>
    <w:tmpl w:val="44303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3744"/>
    <w:multiLevelType w:val="hybridMultilevel"/>
    <w:tmpl w:val="D3CCD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C34B2"/>
    <w:multiLevelType w:val="hybridMultilevel"/>
    <w:tmpl w:val="85442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F63D9"/>
    <w:multiLevelType w:val="hybridMultilevel"/>
    <w:tmpl w:val="A896F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ED1A45"/>
    <w:multiLevelType w:val="hybridMultilevel"/>
    <w:tmpl w:val="B2669CF8"/>
    <w:lvl w:ilvl="0" w:tplc="E9C4A68E">
      <w:start w:val="1"/>
      <w:numFmt w:val="decimal"/>
      <w:lvlText w:val="Recommendation %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245F7BCF"/>
    <w:multiLevelType w:val="hybridMultilevel"/>
    <w:tmpl w:val="10D88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F5CF7"/>
    <w:multiLevelType w:val="hybridMultilevel"/>
    <w:tmpl w:val="862CDF68"/>
    <w:lvl w:ilvl="0" w:tplc="EA9E38B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E43C9"/>
    <w:multiLevelType w:val="hybridMultilevel"/>
    <w:tmpl w:val="804A1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31016"/>
    <w:multiLevelType w:val="hybridMultilevel"/>
    <w:tmpl w:val="84C612C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2DBB1FC6"/>
    <w:multiLevelType w:val="hybridMultilevel"/>
    <w:tmpl w:val="471C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83E91"/>
    <w:multiLevelType w:val="hybridMultilevel"/>
    <w:tmpl w:val="13504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231430"/>
    <w:multiLevelType w:val="hybridMultilevel"/>
    <w:tmpl w:val="4EC2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50569A"/>
    <w:multiLevelType w:val="hybridMultilevel"/>
    <w:tmpl w:val="33A22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040EB1"/>
    <w:multiLevelType w:val="hybridMultilevel"/>
    <w:tmpl w:val="1662089E"/>
    <w:lvl w:ilvl="0" w:tplc="EA9E38B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090C49"/>
    <w:multiLevelType w:val="hybridMultilevel"/>
    <w:tmpl w:val="CEAAF5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C615FE"/>
    <w:multiLevelType w:val="hybridMultilevel"/>
    <w:tmpl w:val="CDE0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266EB"/>
    <w:multiLevelType w:val="hybridMultilevel"/>
    <w:tmpl w:val="CEAAF5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134347"/>
    <w:multiLevelType w:val="hybridMultilevel"/>
    <w:tmpl w:val="82B4CE9C"/>
    <w:lvl w:ilvl="0" w:tplc="EA9E38B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8B15C5"/>
    <w:multiLevelType w:val="hybridMultilevel"/>
    <w:tmpl w:val="D478AB70"/>
    <w:lvl w:ilvl="0" w:tplc="EA9E38B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CB74539"/>
    <w:multiLevelType w:val="hybridMultilevel"/>
    <w:tmpl w:val="A4E0D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C40D8B"/>
    <w:multiLevelType w:val="hybridMultilevel"/>
    <w:tmpl w:val="7DE6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116533"/>
    <w:multiLevelType w:val="hybridMultilevel"/>
    <w:tmpl w:val="3AC8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F477D3"/>
    <w:multiLevelType w:val="hybridMultilevel"/>
    <w:tmpl w:val="605E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8D554D"/>
    <w:multiLevelType w:val="hybridMultilevel"/>
    <w:tmpl w:val="4CB8AE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530E78D4"/>
    <w:multiLevelType w:val="hybridMultilevel"/>
    <w:tmpl w:val="6D3864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383A46"/>
    <w:multiLevelType w:val="hybridMultilevel"/>
    <w:tmpl w:val="7B7A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C51E80"/>
    <w:multiLevelType w:val="hybridMultilevel"/>
    <w:tmpl w:val="981AC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BC5D48"/>
    <w:multiLevelType w:val="hybridMultilevel"/>
    <w:tmpl w:val="D1AE9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4353BE"/>
    <w:multiLevelType w:val="hybridMultilevel"/>
    <w:tmpl w:val="77DCC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1A4FEC"/>
    <w:multiLevelType w:val="hybridMultilevel"/>
    <w:tmpl w:val="CDD85260"/>
    <w:lvl w:ilvl="0" w:tplc="EA9E38B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6E6E4E"/>
    <w:multiLevelType w:val="hybridMultilevel"/>
    <w:tmpl w:val="E1D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801018"/>
    <w:multiLevelType w:val="hybridMultilevel"/>
    <w:tmpl w:val="4D9A8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EB1504"/>
    <w:multiLevelType w:val="hybridMultilevel"/>
    <w:tmpl w:val="C19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A81566"/>
    <w:multiLevelType w:val="hybridMultilevel"/>
    <w:tmpl w:val="4C666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BB63F3"/>
    <w:multiLevelType w:val="hybridMultilevel"/>
    <w:tmpl w:val="7186ADF4"/>
    <w:lvl w:ilvl="0" w:tplc="EA9E38B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560A89"/>
    <w:multiLevelType w:val="hybridMultilevel"/>
    <w:tmpl w:val="99E6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F3234B"/>
    <w:multiLevelType w:val="hybridMultilevel"/>
    <w:tmpl w:val="7D8C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1C164D"/>
    <w:multiLevelType w:val="hybridMultilevel"/>
    <w:tmpl w:val="69566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FE72CB"/>
    <w:multiLevelType w:val="hybridMultilevel"/>
    <w:tmpl w:val="4CF4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AC623F"/>
    <w:multiLevelType w:val="hybridMultilevel"/>
    <w:tmpl w:val="CA6AD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65902B1"/>
    <w:multiLevelType w:val="hybridMultilevel"/>
    <w:tmpl w:val="ED4AC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A8451E"/>
    <w:multiLevelType w:val="hybridMultilevel"/>
    <w:tmpl w:val="C0A8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3"/>
  </w:num>
  <w:num w:numId="4">
    <w:abstractNumId w:val="29"/>
  </w:num>
  <w:num w:numId="5">
    <w:abstractNumId w:val="28"/>
  </w:num>
  <w:num w:numId="6">
    <w:abstractNumId w:val="5"/>
  </w:num>
  <w:num w:numId="7">
    <w:abstractNumId w:val="8"/>
  </w:num>
  <w:num w:numId="8">
    <w:abstractNumId w:val="1"/>
  </w:num>
  <w:num w:numId="9">
    <w:abstractNumId w:val="34"/>
  </w:num>
  <w:num w:numId="10">
    <w:abstractNumId w:val="17"/>
  </w:num>
  <w:num w:numId="11">
    <w:abstractNumId w:val="38"/>
  </w:num>
  <w:num w:numId="12">
    <w:abstractNumId w:val="50"/>
  </w:num>
  <w:num w:numId="13">
    <w:abstractNumId w:val="42"/>
  </w:num>
  <w:num w:numId="14">
    <w:abstractNumId w:val="21"/>
  </w:num>
  <w:num w:numId="15">
    <w:abstractNumId w:val="12"/>
  </w:num>
  <w:num w:numId="16">
    <w:abstractNumId w:val="31"/>
  </w:num>
  <w:num w:numId="17">
    <w:abstractNumId w:val="23"/>
  </w:num>
  <w:num w:numId="18">
    <w:abstractNumId w:val="10"/>
  </w:num>
  <w:num w:numId="19">
    <w:abstractNumId w:val="33"/>
  </w:num>
  <w:num w:numId="20">
    <w:abstractNumId w:val="16"/>
  </w:num>
  <w:num w:numId="21">
    <w:abstractNumId w:val="49"/>
  </w:num>
  <w:num w:numId="22">
    <w:abstractNumId w:val="24"/>
  </w:num>
  <w:num w:numId="23">
    <w:abstractNumId w:val="2"/>
  </w:num>
  <w:num w:numId="24">
    <w:abstractNumId w:val="25"/>
  </w:num>
  <w:num w:numId="25">
    <w:abstractNumId w:val="41"/>
  </w:num>
  <w:num w:numId="26">
    <w:abstractNumId w:val="43"/>
  </w:num>
  <w:num w:numId="27">
    <w:abstractNumId w:val="52"/>
  </w:num>
  <w:num w:numId="28">
    <w:abstractNumId w:val="48"/>
  </w:num>
  <w:num w:numId="29">
    <w:abstractNumId w:val="35"/>
  </w:num>
  <w:num w:numId="30">
    <w:abstractNumId w:val="37"/>
  </w:num>
  <w:num w:numId="31">
    <w:abstractNumId w:val="44"/>
  </w:num>
  <w:num w:numId="32">
    <w:abstractNumId w:val="19"/>
  </w:num>
  <w:num w:numId="33">
    <w:abstractNumId w:val="46"/>
  </w:num>
  <w:num w:numId="34">
    <w:abstractNumId w:val="11"/>
  </w:num>
  <w:num w:numId="35">
    <w:abstractNumId w:val="51"/>
  </w:num>
  <w:num w:numId="36">
    <w:abstractNumId w:val="36"/>
  </w:num>
  <w:num w:numId="37">
    <w:abstractNumId w:val="30"/>
  </w:num>
  <w:num w:numId="38">
    <w:abstractNumId w:val="3"/>
  </w:num>
  <w:num w:numId="39">
    <w:abstractNumId w:val="7"/>
  </w:num>
  <w:num w:numId="40">
    <w:abstractNumId w:val="18"/>
  </w:num>
  <w:num w:numId="41">
    <w:abstractNumId w:val="6"/>
  </w:num>
  <w:num w:numId="42">
    <w:abstractNumId w:val="32"/>
  </w:num>
  <w:num w:numId="43">
    <w:abstractNumId w:val="47"/>
  </w:num>
  <w:num w:numId="44">
    <w:abstractNumId w:val="14"/>
  </w:num>
  <w:num w:numId="45">
    <w:abstractNumId w:val="20"/>
  </w:num>
  <w:num w:numId="46">
    <w:abstractNumId w:val="9"/>
  </w:num>
  <w:num w:numId="47">
    <w:abstractNumId w:val="22"/>
  </w:num>
  <w:num w:numId="48">
    <w:abstractNumId w:val="15"/>
  </w:num>
  <w:num w:numId="49">
    <w:abstractNumId w:val="27"/>
  </w:num>
  <w:num w:numId="50">
    <w:abstractNumId w:val="26"/>
  </w:num>
  <w:num w:numId="51">
    <w:abstractNumId w:val="45"/>
  </w:num>
  <w:num w:numId="52">
    <w:abstractNumId w:val="40"/>
  </w:num>
  <w:num w:numId="53">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0965"/>
    <w:rsid w:val="00000B05"/>
    <w:rsid w:val="00002416"/>
    <w:rsid w:val="000034AE"/>
    <w:rsid w:val="00003743"/>
    <w:rsid w:val="00003B12"/>
    <w:rsid w:val="00003FBB"/>
    <w:rsid w:val="000044DB"/>
    <w:rsid w:val="00007967"/>
    <w:rsid w:val="0001001C"/>
    <w:rsid w:val="000101F5"/>
    <w:rsid w:val="0001333D"/>
    <w:rsid w:val="00020DBD"/>
    <w:rsid w:val="00020E52"/>
    <w:rsid w:val="00024E37"/>
    <w:rsid w:val="0002614B"/>
    <w:rsid w:val="0003162D"/>
    <w:rsid w:val="00036420"/>
    <w:rsid w:val="0004041C"/>
    <w:rsid w:val="000406F8"/>
    <w:rsid w:val="00042522"/>
    <w:rsid w:val="00043671"/>
    <w:rsid w:val="00045B1A"/>
    <w:rsid w:val="00053B38"/>
    <w:rsid w:val="00054AF4"/>
    <w:rsid w:val="0005506B"/>
    <w:rsid w:val="00064A36"/>
    <w:rsid w:val="00067456"/>
    <w:rsid w:val="000726C3"/>
    <w:rsid w:val="00081F7A"/>
    <w:rsid w:val="000840E0"/>
    <w:rsid w:val="00085574"/>
    <w:rsid w:val="0009165D"/>
    <w:rsid w:val="000952A1"/>
    <w:rsid w:val="00095CFE"/>
    <w:rsid w:val="000A2BDD"/>
    <w:rsid w:val="000A3967"/>
    <w:rsid w:val="000A3F0D"/>
    <w:rsid w:val="000A4C01"/>
    <w:rsid w:val="000A514C"/>
    <w:rsid w:val="000A723A"/>
    <w:rsid w:val="000A7E7E"/>
    <w:rsid w:val="000B0274"/>
    <w:rsid w:val="000B3598"/>
    <w:rsid w:val="000B64B9"/>
    <w:rsid w:val="000B65D8"/>
    <w:rsid w:val="000B79D3"/>
    <w:rsid w:val="000C19DF"/>
    <w:rsid w:val="000C1DD4"/>
    <w:rsid w:val="000C2216"/>
    <w:rsid w:val="000C3F9B"/>
    <w:rsid w:val="000C6E85"/>
    <w:rsid w:val="000D017D"/>
    <w:rsid w:val="000D077F"/>
    <w:rsid w:val="000D0969"/>
    <w:rsid w:val="000D113D"/>
    <w:rsid w:val="000D5BDE"/>
    <w:rsid w:val="000D6405"/>
    <w:rsid w:val="000E2392"/>
    <w:rsid w:val="000E2F2E"/>
    <w:rsid w:val="000E4563"/>
    <w:rsid w:val="000E5F1E"/>
    <w:rsid w:val="000F1E43"/>
    <w:rsid w:val="000F25A4"/>
    <w:rsid w:val="000F470D"/>
    <w:rsid w:val="000F5460"/>
    <w:rsid w:val="00103BAC"/>
    <w:rsid w:val="001075C8"/>
    <w:rsid w:val="0011360C"/>
    <w:rsid w:val="00117A02"/>
    <w:rsid w:val="00120F5B"/>
    <w:rsid w:val="00122BFA"/>
    <w:rsid w:val="001259EB"/>
    <w:rsid w:val="001305E4"/>
    <w:rsid w:val="00130FA4"/>
    <w:rsid w:val="001321E3"/>
    <w:rsid w:val="00132FAB"/>
    <w:rsid w:val="00133FE9"/>
    <w:rsid w:val="0013440F"/>
    <w:rsid w:val="00140E87"/>
    <w:rsid w:val="00141CBC"/>
    <w:rsid w:val="0014224F"/>
    <w:rsid w:val="001426F5"/>
    <w:rsid w:val="00143991"/>
    <w:rsid w:val="00151AEC"/>
    <w:rsid w:val="001541E5"/>
    <w:rsid w:val="001542A9"/>
    <w:rsid w:val="00155DFF"/>
    <w:rsid w:val="001577DE"/>
    <w:rsid w:val="001620C5"/>
    <w:rsid w:val="00165618"/>
    <w:rsid w:val="0016708A"/>
    <w:rsid w:val="00173010"/>
    <w:rsid w:val="001745C6"/>
    <w:rsid w:val="0017622D"/>
    <w:rsid w:val="0017675C"/>
    <w:rsid w:val="001801CF"/>
    <w:rsid w:val="001804A5"/>
    <w:rsid w:val="00180728"/>
    <w:rsid w:val="001818A0"/>
    <w:rsid w:val="00186B33"/>
    <w:rsid w:val="0019175C"/>
    <w:rsid w:val="001921ED"/>
    <w:rsid w:val="00193392"/>
    <w:rsid w:val="00195B85"/>
    <w:rsid w:val="001965D1"/>
    <w:rsid w:val="00196AC8"/>
    <w:rsid w:val="001A273F"/>
    <w:rsid w:val="001B305C"/>
    <w:rsid w:val="001B3443"/>
    <w:rsid w:val="001B4823"/>
    <w:rsid w:val="001B5742"/>
    <w:rsid w:val="001B7464"/>
    <w:rsid w:val="001C2C24"/>
    <w:rsid w:val="001C47DE"/>
    <w:rsid w:val="001C597E"/>
    <w:rsid w:val="001D1222"/>
    <w:rsid w:val="001D27B0"/>
    <w:rsid w:val="001D4251"/>
    <w:rsid w:val="001D7226"/>
    <w:rsid w:val="001D77A0"/>
    <w:rsid w:val="001E0AD9"/>
    <w:rsid w:val="001E1042"/>
    <w:rsid w:val="001E26C6"/>
    <w:rsid w:val="001E722B"/>
    <w:rsid w:val="001E77C4"/>
    <w:rsid w:val="001F2071"/>
    <w:rsid w:val="001F61FB"/>
    <w:rsid w:val="001F7877"/>
    <w:rsid w:val="00203B25"/>
    <w:rsid w:val="00206F3C"/>
    <w:rsid w:val="00210264"/>
    <w:rsid w:val="002142B1"/>
    <w:rsid w:val="00220BCA"/>
    <w:rsid w:val="00220F33"/>
    <w:rsid w:val="002211FC"/>
    <w:rsid w:val="002212CA"/>
    <w:rsid w:val="00224231"/>
    <w:rsid w:val="002257A8"/>
    <w:rsid w:val="00230E2E"/>
    <w:rsid w:val="002348A4"/>
    <w:rsid w:val="00234C25"/>
    <w:rsid w:val="00234FE8"/>
    <w:rsid w:val="00235AE3"/>
    <w:rsid w:val="00235B86"/>
    <w:rsid w:val="002374DD"/>
    <w:rsid w:val="00237ADF"/>
    <w:rsid w:val="00241CD4"/>
    <w:rsid w:val="002423CB"/>
    <w:rsid w:val="00245D81"/>
    <w:rsid w:val="00247405"/>
    <w:rsid w:val="00247F60"/>
    <w:rsid w:val="00251A89"/>
    <w:rsid w:val="0025236F"/>
    <w:rsid w:val="00252497"/>
    <w:rsid w:val="0025327D"/>
    <w:rsid w:val="00255596"/>
    <w:rsid w:val="002577D0"/>
    <w:rsid w:val="00260C12"/>
    <w:rsid w:val="00261F43"/>
    <w:rsid w:val="00262EC3"/>
    <w:rsid w:val="002636F2"/>
    <w:rsid w:val="002662B4"/>
    <w:rsid w:val="002671D3"/>
    <w:rsid w:val="00267635"/>
    <w:rsid w:val="00270366"/>
    <w:rsid w:val="002731DD"/>
    <w:rsid w:val="00274711"/>
    <w:rsid w:val="0027737A"/>
    <w:rsid w:val="00280FE8"/>
    <w:rsid w:val="00281FD4"/>
    <w:rsid w:val="00282958"/>
    <w:rsid w:val="00285BDF"/>
    <w:rsid w:val="00291F9D"/>
    <w:rsid w:val="00293AE7"/>
    <w:rsid w:val="00294B90"/>
    <w:rsid w:val="00296E66"/>
    <w:rsid w:val="002A219E"/>
    <w:rsid w:val="002A2B7F"/>
    <w:rsid w:val="002A6A6E"/>
    <w:rsid w:val="002A6E74"/>
    <w:rsid w:val="002B4671"/>
    <w:rsid w:val="002C1C5C"/>
    <w:rsid w:val="002C2BA1"/>
    <w:rsid w:val="002C2F47"/>
    <w:rsid w:val="002C33E5"/>
    <w:rsid w:val="002C6AF0"/>
    <w:rsid w:val="002C7BB5"/>
    <w:rsid w:val="002D0206"/>
    <w:rsid w:val="002D1E0A"/>
    <w:rsid w:val="002D2E45"/>
    <w:rsid w:val="002D4585"/>
    <w:rsid w:val="002D45FC"/>
    <w:rsid w:val="002D5B2F"/>
    <w:rsid w:val="002D5C28"/>
    <w:rsid w:val="002E195D"/>
    <w:rsid w:val="002E6A48"/>
    <w:rsid w:val="002F352C"/>
    <w:rsid w:val="002F3AE3"/>
    <w:rsid w:val="002F5007"/>
    <w:rsid w:val="002F54D3"/>
    <w:rsid w:val="002F5AD6"/>
    <w:rsid w:val="002F7220"/>
    <w:rsid w:val="002F7E6F"/>
    <w:rsid w:val="0030185C"/>
    <w:rsid w:val="00302360"/>
    <w:rsid w:val="00305044"/>
    <w:rsid w:val="00306404"/>
    <w:rsid w:val="0030786C"/>
    <w:rsid w:val="00312A62"/>
    <w:rsid w:val="003134D0"/>
    <w:rsid w:val="0031453B"/>
    <w:rsid w:val="00316683"/>
    <w:rsid w:val="0032266E"/>
    <w:rsid w:val="00323371"/>
    <w:rsid w:val="00325A41"/>
    <w:rsid w:val="00340250"/>
    <w:rsid w:val="00340B3B"/>
    <w:rsid w:val="00342149"/>
    <w:rsid w:val="003424DD"/>
    <w:rsid w:val="00342F44"/>
    <w:rsid w:val="0034770F"/>
    <w:rsid w:val="003478F1"/>
    <w:rsid w:val="00352545"/>
    <w:rsid w:val="003553E3"/>
    <w:rsid w:val="00357233"/>
    <w:rsid w:val="00360BA7"/>
    <w:rsid w:val="003621BB"/>
    <w:rsid w:val="00363172"/>
    <w:rsid w:val="00365A80"/>
    <w:rsid w:val="003668F9"/>
    <w:rsid w:val="00367FBC"/>
    <w:rsid w:val="00371B7F"/>
    <w:rsid w:val="0037371E"/>
    <w:rsid w:val="00373D2D"/>
    <w:rsid w:val="00376882"/>
    <w:rsid w:val="00382808"/>
    <w:rsid w:val="0038493B"/>
    <w:rsid w:val="00384DC6"/>
    <w:rsid w:val="00385AAF"/>
    <w:rsid w:val="00386C52"/>
    <w:rsid w:val="003873C6"/>
    <w:rsid w:val="00394F29"/>
    <w:rsid w:val="00395C61"/>
    <w:rsid w:val="003A13DA"/>
    <w:rsid w:val="003A2AD2"/>
    <w:rsid w:val="003A2EAE"/>
    <w:rsid w:val="003A32F9"/>
    <w:rsid w:val="003A5320"/>
    <w:rsid w:val="003A6B94"/>
    <w:rsid w:val="003A75EF"/>
    <w:rsid w:val="003B792B"/>
    <w:rsid w:val="003B7CD7"/>
    <w:rsid w:val="003C297A"/>
    <w:rsid w:val="003C540E"/>
    <w:rsid w:val="003C6C3A"/>
    <w:rsid w:val="003C79DE"/>
    <w:rsid w:val="003D1767"/>
    <w:rsid w:val="003D17F9"/>
    <w:rsid w:val="003D33A0"/>
    <w:rsid w:val="003D437B"/>
    <w:rsid w:val="003E1FB7"/>
    <w:rsid w:val="003E5A3C"/>
    <w:rsid w:val="003E76C8"/>
    <w:rsid w:val="003E7CF9"/>
    <w:rsid w:val="003F234E"/>
    <w:rsid w:val="003F3D90"/>
    <w:rsid w:val="003F3FC2"/>
    <w:rsid w:val="003F5F11"/>
    <w:rsid w:val="003F7C81"/>
    <w:rsid w:val="004009E8"/>
    <w:rsid w:val="00400BF0"/>
    <w:rsid w:val="0040220E"/>
    <w:rsid w:val="00402414"/>
    <w:rsid w:val="00403BC9"/>
    <w:rsid w:val="00403FB3"/>
    <w:rsid w:val="00404286"/>
    <w:rsid w:val="00405B3F"/>
    <w:rsid w:val="00406E45"/>
    <w:rsid w:val="00407310"/>
    <w:rsid w:val="00412969"/>
    <w:rsid w:val="00412E9D"/>
    <w:rsid w:val="00415050"/>
    <w:rsid w:val="00416F05"/>
    <w:rsid w:val="00425504"/>
    <w:rsid w:val="00431800"/>
    <w:rsid w:val="00434B80"/>
    <w:rsid w:val="00436C8C"/>
    <w:rsid w:val="004375DD"/>
    <w:rsid w:val="0043763C"/>
    <w:rsid w:val="00437EAF"/>
    <w:rsid w:val="00440503"/>
    <w:rsid w:val="00442770"/>
    <w:rsid w:val="004429C5"/>
    <w:rsid w:val="00443281"/>
    <w:rsid w:val="00444460"/>
    <w:rsid w:val="004470A3"/>
    <w:rsid w:val="00447650"/>
    <w:rsid w:val="00447D31"/>
    <w:rsid w:val="00447F21"/>
    <w:rsid w:val="00453B26"/>
    <w:rsid w:val="004568D1"/>
    <w:rsid w:val="00456F0E"/>
    <w:rsid w:val="00457B71"/>
    <w:rsid w:val="00462A4D"/>
    <w:rsid w:val="00463744"/>
    <w:rsid w:val="0046515B"/>
    <w:rsid w:val="004709B7"/>
    <w:rsid w:val="00470AB8"/>
    <w:rsid w:val="004724F0"/>
    <w:rsid w:val="0047331F"/>
    <w:rsid w:val="00474366"/>
    <w:rsid w:val="00483549"/>
    <w:rsid w:val="00485043"/>
    <w:rsid w:val="00485146"/>
    <w:rsid w:val="004867E2"/>
    <w:rsid w:val="00486826"/>
    <w:rsid w:val="004906EB"/>
    <w:rsid w:val="00491C58"/>
    <w:rsid w:val="0049574A"/>
    <w:rsid w:val="004A0670"/>
    <w:rsid w:val="004A28A9"/>
    <w:rsid w:val="004A3136"/>
    <w:rsid w:val="004A5191"/>
    <w:rsid w:val="004A6549"/>
    <w:rsid w:val="004A774E"/>
    <w:rsid w:val="004B0EE4"/>
    <w:rsid w:val="004B2999"/>
    <w:rsid w:val="004B3FDE"/>
    <w:rsid w:val="004B4714"/>
    <w:rsid w:val="004B50C6"/>
    <w:rsid w:val="004B66A8"/>
    <w:rsid w:val="004C26A5"/>
    <w:rsid w:val="004C4855"/>
    <w:rsid w:val="004C53F4"/>
    <w:rsid w:val="004C5899"/>
    <w:rsid w:val="004C6D49"/>
    <w:rsid w:val="004D0F1A"/>
    <w:rsid w:val="004D4BDC"/>
    <w:rsid w:val="004D4C40"/>
    <w:rsid w:val="004D7540"/>
    <w:rsid w:val="004D759E"/>
    <w:rsid w:val="004E17F7"/>
    <w:rsid w:val="004E201A"/>
    <w:rsid w:val="004E22CA"/>
    <w:rsid w:val="004E3696"/>
    <w:rsid w:val="004E58C1"/>
    <w:rsid w:val="004F038C"/>
    <w:rsid w:val="00500306"/>
    <w:rsid w:val="0050390F"/>
    <w:rsid w:val="0050436C"/>
    <w:rsid w:val="00504C29"/>
    <w:rsid w:val="005126E7"/>
    <w:rsid w:val="00513490"/>
    <w:rsid w:val="00514080"/>
    <w:rsid w:val="00516831"/>
    <w:rsid w:val="00520808"/>
    <w:rsid w:val="0052107C"/>
    <w:rsid w:val="005221B7"/>
    <w:rsid w:val="00525133"/>
    <w:rsid w:val="005260EB"/>
    <w:rsid w:val="0053223E"/>
    <w:rsid w:val="0053430D"/>
    <w:rsid w:val="00536F1D"/>
    <w:rsid w:val="00541351"/>
    <w:rsid w:val="00541E36"/>
    <w:rsid w:val="00542FF5"/>
    <w:rsid w:val="00543590"/>
    <w:rsid w:val="00544A4E"/>
    <w:rsid w:val="00552936"/>
    <w:rsid w:val="00553841"/>
    <w:rsid w:val="00553E33"/>
    <w:rsid w:val="00554333"/>
    <w:rsid w:val="005547E9"/>
    <w:rsid w:val="00554850"/>
    <w:rsid w:val="0055587E"/>
    <w:rsid w:val="00555924"/>
    <w:rsid w:val="005569BF"/>
    <w:rsid w:val="00556E09"/>
    <w:rsid w:val="005613EE"/>
    <w:rsid w:val="00563B80"/>
    <w:rsid w:val="005647AD"/>
    <w:rsid w:val="005652F4"/>
    <w:rsid w:val="00565D16"/>
    <w:rsid w:val="00566B97"/>
    <w:rsid w:val="0057322F"/>
    <w:rsid w:val="005740A2"/>
    <w:rsid w:val="00575C10"/>
    <w:rsid w:val="0057613F"/>
    <w:rsid w:val="005802A0"/>
    <w:rsid w:val="0058132C"/>
    <w:rsid w:val="0058160D"/>
    <w:rsid w:val="00581864"/>
    <w:rsid w:val="00581D67"/>
    <w:rsid w:val="00587969"/>
    <w:rsid w:val="005879FA"/>
    <w:rsid w:val="00592E76"/>
    <w:rsid w:val="0059724C"/>
    <w:rsid w:val="00597C19"/>
    <w:rsid w:val="005A08AA"/>
    <w:rsid w:val="005A1CED"/>
    <w:rsid w:val="005A3DCC"/>
    <w:rsid w:val="005B0433"/>
    <w:rsid w:val="005B127C"/>
    <w:rsid w:val="005B167B"/>
    <w:rsid w:val="005B205F"/>
    <w:rsid w:val="005B23F1"/>
    <w:rsid w:val="005B6A93"/>
    <w:rsid w:val="005B7C45"/>
    <w:rsid w:val="005B7E9E"/>
    <w:rsid w:val="005C07B0"/>
    <w:rsid w:val="005C1496"/>
    <w:rsid w:val="005C4B28"/>
    <w:rsid w:val="005C58E9"/>
    <w:rsid w:val="005C6AAE"/>
    <w:rsid w:val="005D2AB5"/>
    <w:rsid w:val="005D2AF5"/>
    <w:rsid w:val="005D5861"/>
    <w:rsid w:val="005D60E2"/>
    <w:rsid w:val="005D7FD7"/>
    <w:rsid w:val="005E011C"/>
    <w:rsid w:val="005E0498"/>
    <w:rsid w:val="005E1BD5"/>
    <w:rsid w:val="005E2614"/>
    <w:rsid w:val="005E281F"/>
    <w:rsid w:val="005E652F"/>
    <w:rsid w:val="005F03A5"/>
    <w:rsid w:val="005F3A82"/>
    <w:rsid w:val="005F3DD9"/>
    <w:rsid w:val="00603492"/>
    <w:rsid w:val="00605CDF"/>
    <w:rsid w:val="00607B0B"/>
    <w:rsid w:val="00607E6D"/>
    <w:rsid w:val="00620C02"/>
    <w:rsid w:val="00621680"/>
    <w:rsid w:val="006250B5"/>
    <w:rsid w:val="00625141"/>
    <w:rsid w:val="00627A2F"/>
    <w:rsid w:val="006317C9"/>
    <w:rsid w:val="0063257C"/>
    <w:rsid w:val="006325AA"/>
    <w:rsid w:val="00635D97"/>
    <w:rsid w:val="00636799"/>
    <w:rsid w:val="006400C2"/>
    <w:rsid w:val="00641E66"/>
    <w:rsid w:val="006470F3"/>
    <w:rsid w:val="0065119B"/>
    <w:rsid w:val="006517EB"/>
    <w:rsid w:val="00653BC2"/>
    <w:rsid w:val="00656B18"/>
    <w:rsid w:val="00656FEB"/>
    <w:rsid w:val="00667868"/>
    <w:rsid w:val="0067177E"/>
    <w:rsid w:val="00671977"/>
    <w:rsid w:val="00673451"/>
    <w:rsid w:val="00674D75"/>
    <w:rsid w:val="006803BA"/>
    <w:rsid w:val="0068075C"/>
    <w:rsid w:val="00682777"/>
    <w:rsid w:val="00686075"/>
    <w:rsid w:val="006863AD"/>
    <w:rsid w:val="006910D5"/>
    <w:rsid w:val="006918D6"/>
    <w:rsid w:val="00693CF9"/>
    <w:rsid w:val="00694C5C"/>
    <w:rsid w:val="00696078"/>
    <w:rsid w:val="006A1993"/>
    <w:rsid w:val="006A2FC2"/>
    <w:rsid w:val="006A7231"/>
    <w:rsid w:val="006A7C55"/>
    <w:rsid w:val="006B0E11"/>
    <w:rsid w:val="006B1131"/>
    <w:rsid w:val="006B1B7B"/>
    <w:rsid w:val="006B23CB"/>
    <w:rsid w:val="006B263F"/>
    <w:rsid w:val="006B6503"/>
    <w:rsid w:val="006B761E"/>
    <w:rsid w:val="006C0E60"/>
    <w:rsid w:val="006C11A5"/>
    <w:rsid w:val="006C5B97"/>
    <w:rsid w:val="006C6374"/>
    <w:rsid w:val="006C69E5"/>
    <w:rsid w:val="006D732F"/>
    <w:rsid w:val="006E367B"/>
    <w:rsid w:val="006E3AB3"/>
    <w:rsid w:val="006E5CDA"/>
    <w:rsid w:val="006E688D"/>
    <w:rsid w:val="006E737E"/>
    <w:rsid w:val="006F1C04"/>
    <w:rsid w:val="006F2404"/>
    <w:rsid w:val="006F34AB"/>
    <w:rsid w:val="006F6C7C"/>
    <w:rsid w:val="007028EC"/>
    <w:rsid w:val="007037A2"/>
    <w:rsid w:val="007050E5"/>
    <w:rsid w:val="007059A8"/>
    <w:rsid w:val="00706C49"/>
    <w:rsid w:val="0070703E"/>
    <w:rsid w:val="007109FE"/>
    <w:rsid w:val="00710C56"/>
    <w:rsid w:val="007132DC"/>
    <w:rsid w:val="00714C65"/>
    <w:rsid w:val="0071637F"/>
    <w:rsid w:val="007165AA"/>
    <w:rsid w:val="007172C2"/>
    <w:rsid w:val="007206EA"/>
    <w:rsid w:val="00722826"/>
    <w:rsid w:val="00726689"/>
    <w:rsid w:val="00727C0F"/>
    <w:rsid w:val="00732B32"/>
    <w:rsid w:val="0073333A"/>
    <w:rsid w:val="007360BF"/>
    <w:rsid w:val="00740F0C"/>
    <w:rsid w:val="00741BF3"/>
    <w:rsid w:val="007420C5"/>
    <w:rsid w:val="007434B1"/>
    <w:rsid w:val="00746728"/>
    <w:rsid w:val="00746EF9"/>
    <w:rsid w:val="00747089"/>
    <w:rsid w:val="00753605"/>
    <w:rsid w:val="007545C7"/>
    <w:rsid w:val="007573E2"/>
    <w:rsid w:val="00757F17"/>
    <w:rsid w:val="0076005C"/>
    <w:rsid w:val="0076088B"/>
    <w:rsid w:val="007608CE"/>
    <w:rsid w:val="007635C1"/>
    <w:rsid w:val="00764BB9"/>
    <w:rsid w:val="00766B42"/>
    <w:rsid w:val="007676EC"/>
    <w:rsid w:val="00770938"/>
    <w:rsid w:val="00770E1A"/>
    <w:rsid w:val="00773A4F"/>
    <w:rsid w:val="0077603C"/>
    <w:rsid w:val="00780489"/>
    <w:rsid w:val="0078070C"/>
    <w:rsid w:val="00781A28"/>
    <w:rsid w:val="00784541"/>
    <w:rsid w:val="00785646"/>
    <w:rsid w:val="00786F15"/>
    <w:rsid w:val="00791318"/>
    <w:rsid w:val="00794242"/>
    <w:rsid w:val="007968CC"/>
    <w:rsid w:val="00796FB7"/>
    <w:rsid w:val="007A0E1A"/>
    <w:rsid w:val="007A4E6A"/>
    <w:rsid w:val="007B04A9"/>
    <w:rsid w:val="007B0BE2"/>
    <w:rsid w:val="007B16AC"/>
    <w:rsid w:val="007B6D8B"/>
    <w:rsid w:val="007B7CE1"/>
    <w:rsid w:val="007C5FA0"/>
    <w:rsid w:val="007D0BBE"/>
    <w:rsid w:val="007D395F"/>
    <w:rsid w:val="007D69F6"/>
    <w:rsid w:val="007E000D"/>
    <w:rsid w:val="007E0748"/>
    <w:rsid w:val="007E0E4B"/>
    <w:rsid w:val="007E1C0E"/>
    <w:rsid w:val="007E2DEA"/>
    <w:rsid w:val="007E4016"/>
    <w:rsid w:val="00802507"/>
    <w:rsid w:val="00803CE8"/>
    <w:rsid w:val="008040A0"/>
    <w:rsid w:val="00804247"/>
    <w:rsid w:val="008044FA"/>
    <w:rsid w:val="008061EE"/>
    <w:rsid w:val="00806246"/>
    <w:rsid w:val="0081090C"/>
    <w:rsid w:val="00810A60"/>
    <w:rsid w:val="00813D5C"/>
    <w:rsid w:val="0081598B"/>
    <w:rsid w:val="008250D6"/>
    <w:rsid w:val="008264EB"/>
    <w:rsid w:val="0082762A"/>
    <w:rsid w:val="00827924"/>
    <w:rsid w:val="00827C89"/>
    <w:rsid w:val="00830756"/>
    <w:rsid w:val="008339DF"/>
    <w:rsid w:val="00835131"/>
    <w:rsid w:val="0083537E"/>
    <w:rsid w:val="0083766A"/>
    <w:rsid w:val="00837DEA"/>
    <w:rsid w:val="00840E71"/>
    <w:rsid w:val="00844CE6"/>
    <w:rsid w:val="0084765E"/>
    <w:rsid w:val="008510C9"/>
    <w:rsid w:val="00851EFD"/>
    <w:rsid w:val="008525BA"/>
    <w:rsid w:val="0086018C"/>
    <w:rsid w:val="0086293A"/>
    <w:rsid w:val="00865932"/>
    <w:rsid w:val="00865CBA"/>
    <w:rsid w:val="00872A0B"/>
    <w:rsid w:val="00876D05"/>
    <w:rsid w:val="0088128D"/>
    <w:rsid w:val="00883F67"/>
    <w:rsid w:val="00892AF5"/>
    <w:rsid w:val="00895E01"/>
    <w:rsid w:val="008A0600"/>
    <w:rsid w:val="008A0EF2"/>
    <w:rsid w:val="008A16A4"/>
    <w:rsid w:val="008A22A6"/>
    <w:rsid w:val="008A27E7"/>
    <w:rsid w:val="008A38A3"/>
    <w:rsid w:val="008A4426"/>
    <w:rsid w:val="008A4CC9"/>
    <w:rsid w:val="008A58F9"/>
    <w:rsid w:val="008A69AF"/>
    <w:rsid w:val="008B05BE"/>
    <w:rsid w:val="008B3BD9"/>
    <w:rsid w:val="008B44E4"/>
    <w:rsid w:val="008B5A68"/>
    <w:rsid w:val="008B5CE3"/>
    <w:rsid w:val="008B7905"/>
    <w:rsid w:val="008C1FC2"/>
    <w:rsid w:val="008C361D"/>
    <w:rsid w:val="008C4C70"/>
    <w:rsid w:val="008C4FCD"/>
    <w:rsid w:val="008C552A"/>
    <w:rsid w:val="008C650C"/>
    <w:rsid w:val="008D1A42"/>
    <w:rsid w:val="008D36C0"/>
    <w:rsid w:val="008D3CDD"/>
    <w:rsid w:val="008D5AC7"/>
    <w:rsid w:val="008E2352"/>
    <w:rsid w:val="008E58DE"/>
    <w:rsid w:val="008E5D6A"/>
    <w:rsid w:val="008E7292"/>
    <w:rsid w:val="008F020D"/>
    <w:rsid w:val="008F52B3"/>
    <w:rsid w:val="008F63D0"/>
    <w:rsid w:val="00901734"/>
    <w:rsid w:val="00902D64"/>
    <w:rsid w:val="00903FAE"/>
    <w:rsid w:val="00904B54"/>
    <w:rsid w:val="00905022"/>
    <w:rsid w:val="00906D54"/>
    <w:rsid w:val="00906FC7"/>
    <w:rsid w:val="00907908"/>
    <w:rsid w:val="00907C67"/>
    <w:rsid w:val="00907FE5"/>
    <w:rsid w:val="0091137C"/>
    <w:rsid w:val="009162C9"/>
    <w:rsid w:val="00916433"/>
    <w:rsid w:val="00916DA6"/>
    <w:rsid w:val="00920E2A"/>
    <w:rsid w:val="00922E01"/>
    <w:rsid w:val="00923C90"/>
    <w:rsid w:val="00924295"/>
    <w:rsid w:val="0093101A"/>
    <w:rsid w:val="00935B1B"/>
    <w:rsid w:val="00935D0E"/>
    <w:rsid w:val="00936C47"/>
    <w:rsid w:val="00941CAF"/>
    <w:rsid w:val="009424A5"/>
    <w:rsid w:val="009474E6"/>
    <w:rsid w:val="00950338"/>
    <w:rsid w:val="00952F46"/>
    <w:rsid w:val="009532C3"/>
    <w:rsid w:val="00953951"/>
    <w:rsid w:val="00955096"/>
    <w:rsid w:val="0095672F"/>
    <w:rsid w:val="00957064"/>
    <w:rsid w:val="0096141D"/>
    <w:rsid w:val="0096331E"/>
    <w:rsid w:val="00964277"/>
    <w:rsid w:val="00965524"/>
    <w:rsid w:val="00970986"/>
    <w:rsid w:val="00972822"/>
    <w:rsid w:val="00975C33"/>
    <w:rsid w:val="00975EF4"/>
    <w:rsid w:val="009763A2"/>
    <w:rsid w:val="00977537"/>
    <w:rsid w:val="00977D26"/>
    <w:rsid w:val="009835D6"/>
    <w:rsid w:val="00983D95"/>
    <w:rsid w:val="00991E03"/>
    <w:rsid w:val="00994F63"/>
    <w:rsid w:val="00995D8C"/>
    <w:rsid w:val="00996B73"/>
    <w:rsid w:val="00997428"/>
    <w:rsid w:val="009A007B"/>
    <w:rsid w:val="009A1C10"/>
    <w:rsid w:val="009A263C"/>
    <w:rsid w:val="009A2F15"/>
    <w:rsid w:val="009A500B"/>
    <w:rsid w:val="009A72AD"/>
    <w:rsid w:val="009B053D"/>
    <w:rsid w:val="009B443C"/>
    <w:rsid w:val="009B4A37"/>
    <w:rsid w:val="009B5190"/>
    <w:rsid w:val="009B64E3"/>
    <w:rsid w:val="009C0E56"/>
    <w:rsid w:val="009C1746"/>
    <w:rsid w:val="009C2524"/>
    <w:rsid w:val="009C37AE"/>
    <w:rsid w:val="009C5ABD"/>
    <w:rsid w:val="009C7A23"/>
    <w:rsid w:val="009D143F"/>
    <w:rsid w:val="009D7115"/>
    <w:rsid w:val="009D7181"/>
    <w:rsid w:val="009E1F38"/>
    <w:rsid w:val="009E6B78"/>
    <w:rsid w:val="009F06E4"/>
    <w:rsid w:val="009F1DCC"/>
    <w:rsid w:val="009F39E1"/>
    <w:rsid w:val="009F5557"/>
    <w:rsid w:val="009F7C42"/>
    <w:rsid w:val="009F7D0C"/>
    <w:rsid w:val="00A0241C"/>
    <w:rsid w:val="00A047EC"/>
    <w:rsid w:val="00A0554C"/>
    <w:rsid w:val="00A06E9F"/>
    <w:rsid w:val="00A07821"/>
    <w:rsid w:val="00A07D2F"/>
    <w:rsid w:val="00A11074"/>
    <w:rsid w:val="00A15082"/>
    <w:rsid w:val="00A15448"/>
    <w:rsid w:val="00A1596C"/>
    <w:rsid w:val="00A16AEE"/>
    <w:rsid w:val="00A2053E"/>
    <w:rsid w:val="00A229F6"/>
    <w:rsid w:val="00A22EF1"/>
    <w:rsid w:val="00A26873"/>
    <w:rsid w:val="00A30586"/>
    <w:rsid w:val="00A3234F"/>
    <w:rsid w:val="00A34EDE"/>
    <w:rsid w:val="00A36E22"/>
    <w:rsid w:val="00A4199A"/>
    <w:rsid w:val="00A423E9"/>
    <w:rsid w:val="00A4512D"/>
    <w:rsid w:val="00A45D6C"/>
    <w:rsid w:val="00A464CA"/>
    <w:rsid w:val="00A55D36"/>
    <w:rsid w:val="00A6151E"/>
    <w:rsid w:val="00A63354"/>
    <w:rsid w:val="00A638EC"/>
    <w:rsid w:val="00A65A2B"/>
    <w:rsid w:val="00A705AF"/>
    <w:rsid w:val="00A71845"/>
    <w:rsid w:val="00A728D1"/>
    <w:rsid w:val="00A75B58"/>
    <w:rsid w:val="00A7677D"/>
    <w:rsid w:val="00A77349"/>
    <w:rsid w:val="00A81693"/>
    <w:rsid w:val="00A821B9"/>
    <w:rsid w:val="00A84F73"/>
    <w:rsid w:val="00A86A7C"/>
    <w:rsid w:val="00A87B25"/>
    <w:rsid w:val="00A87FA2"/>
    <w:rsid w:val="00A90671"/>
    <w:rsid w:val="00A90EC1"/>
    <w:rsid w:val="00A91306"/>
    <w:rsid w:val="00A91408"/>
    <w:rsid w:val="00A917F0"/>
    <w:rsid w:val="00A91E0C"/>
    <w:rsid w:val="00A92B8E"/>
    <w:rsid w:val="00A931E2"/>
    <w:rsid w:val="00A93A18"/>
    <w:rsid w:val="00A964DB"/>
    <w:rsid w:val="00A97B85"/>
    <w:rsid w:val="00AA6953"/>
    <w:rsid w:val="00AA6DC2"/>
    <w:rsid w:val="00AA7B0A"/>
    <w:rsid w:val="00AA7B58"/>
    <w:rsid w:val="00AB40AB"/>
    <w:rsid w:val="00AB4335"/>
    <w:rsid w:val="00AB6A37"/>
    <w:rsid w:val="00AB6ED9"/>
    <w:rsid w:val="00AD061B"/>
    <w:rsid w:val="00AD0EBF"/>
    <w:rsid w:val="00AD2161"/>
    <w:rsid w:val="00AD52A0"/>
    <w:rsid w:val="00AD58F1"/>
    <w:rsid w:val="00AD60FF"/>
    <w:rsid w:val="00AE2AD0"/>
    <w:rsid w:val="00AE5F73"/>
    <w:rsid w:val="00AF37EE"/>
    <w:rsid w:val="00AF4CCF"/>
    <w:rsid w:val="00AF5BB1"/>
    <w:rsid w:val="00AF6154"/>
    <w:rsid w:val="00B00029"/>
    <w:rsid w:val="00B051AC"/>
    <w:rsid w:val="00B05293"/>
    <w:rsid w:val="00B06813"/>
    <w:rsid w:val="00B10560"/>
    <w:rsid w:val="00B11252"/>
    <w:rsid w:val="00B13666"/>
    <w:rsid w:val="00B1377A"/>
    <w:rsid w:val="00B14E92"/>
    <w:rsid w:val="00B162E8"/>
    <w:rsid w:val="00B168DF"/>
    <w:rsid w:val="00B174C8"/>
    <w:rsid w:val="00B22515"/>
    <w:rsid w:val="00B23327"/>
    <w:rsid w:val="00B24807"/>
    <w:rsid w:val="00B24DF4"/>
    <w:rsid w:val="00B2665E"/>
    <w:rsid w:val="00B30723"/>
    <w:rsid w:val="00B328AF"/>
    <w:rsid w:val="00B32DD1"/>
    <w:rsid w:val="00B34073"/>
    <w:rsid w:val="00B355E3"/>
    <w:rsid w:val="00B3720C"/>
    <w:rsid w:val="00B40040"/>
    <w:rsid w:val="00B40AAC"/>
    <w:rsid w:val="00B41409"/>
    <w:rsid w:val="00B42851"/>
    <w:rsid w:val="00B459E9"/>
    <w:rsid w:val="00B47076"/>
    <w:rsid w:val="00B47F61"/>
    <w:rsid w:val="00B538D6"/>
    <w:rsid w:val="00B551E6"/>
    <w:rsid w:val="00B564C8"/>
    <w:rsid w:val="00B56B37"/>
    <w:rsid w:val="00B603B2"/>
    <w:rsid w:val="00B612F4"/>
    <w:rsid w:val="00B658B7"/>
    <w:rsid w:val="00B66017"/>
    <w:rsid w:val="00B708E8"/>
    <w:rsid w:val="00B70DFE"/>
    <w:rsid w:val="00B848FC"/>
    <w:rsid w:val="00B85656"/>
    <w:rsid w:val="00B860CA"/>
    <w:rsid w:val="00B904EC"/>
    <w:rsid w:val="00B91460"/>
    <w:rsid w:val="00B91FF9"/>
    <w:rsid w:val="00B95A67"/>
    <w:rsid w:val="00B96BBC"/>
    <w:rsid w:val="00BA0683"/>
    <w:rsid w:val="00BA1AE2"/>
    <w:rsid w:val="00BA2878"/>
    <w:rsid w:val="00BA47EF"/>
    <w:rsid w:val="00BA4AEE"/>
    <w:rsid w:val="00BB0D91"/>
    <w:rsid w:val="00BB0FF2"/>
    <w:rsid w:val="00BB1A04"/>
    <w:rsid w:val="00BB229E"/>
    <w:rsid w:val="00BB22C3"/>
    <w:rsid w:val="00BB22C6"/>
    <w:rsid w:val="00BB3EDF"/>
    <w:rsid w:val="00BB7CB7"/>
    <w:rsid w:val="00BC07E4"/>
    <w:rsid w:val="00BC3615"/>
    <w:rsid w:val="00BC5113"/>
    <w:rsid w:val="00BD29AD"/>
    <w:rsid w:val="00BD5F77"/>
    <w:rsid w:val="00BE0286"/>
    <w:rsid w:val="00BE03CF"/>
    <w:rsid w:val="00BE0633"/>
    <w:rsid w:val="00BE07AD"/>
    <w:rsid w:val="00BE0A17"/>
    <w:rsid w:val="00BE0A1B"/>
    <w:rsid w:val="00BE0F2C"/>
    <w:rsid w:val="00BE2652"/>
    <w:rsid w:val="00BE2B85"/>
    <w:rsid w:val="00BE5F57"/>
    <w:rsid w:val="00BF07FA"/>
    <w:rsid w:val="00BF3599"/>
    <w:rsid w:val="00BF5201"/>
    <w:rsid w:val="00BF67E4"/>
    <w:rsid w:val="00BF6BC2"/>
    <w:rsid w:val="00C002A9"/>
    <w:rsid w:val="00C06314"/>
    <w:rsid w:val="00C07D06"/>
    <w:rsid w:val="00C10475"/>
    <w:rsid w:val="00C11640"/>
    <w:rsid w:val="00C119C5"/>
    <w:rsid w:val="00C11AC8"/>
    <w:rsid w:val="00C144D6"/>
    <w:rsid w:val="00C21396"/>
    <w:rsid w:val="00C21888"/>
    <w:rsid w:val="00C23604"/>
    <w:rsid w:val="00C26DF9"/>
    <w:rsid w:val="00C31839"/>
    <w:rsid w:val="00C3281C"/>
    <w:rsid w:val="00C338F2"/>
    <w:rsid w:val="00C33F48"/>
    <w:rsid w:val="00C34AF9"/>
    <w:rsid w:val="00C3507E"/>
    <w:rsid w:val="00C35650"/>
    <w:rsid w:val="00C35DEC"/>
    <w:rsid w:val="00C37FAC"/>
    <w:rsid w:val="00C412F1"/>
    <w:rsid w:val="00C41DB0"/>
    <w:rsid w:val="00C425C2"/>
    <w:rsid w:val="00C43181"/>
    <w:rsid w:val="00C436EE"/>
    <w:rsid w:val="00C445D4"/>
    <w:rsid w:val="00C51BE7"/>
    <w:rsid w:val="00C579B8"/>
    <w:rsid w:val="00C66329"/>
    <w:rsid w:val="00C76F54"/>
    <w:rsid w:val="00C80AD0"/>
    <w:rsid w:val="00C81278"/>
    <w:rsid w:val="00C813E6"/>
    <w:rsid w:val="00C81C99"/>
    <w:rsid w:val="00C82B8B"/>
    <w:rsid w:val="00C86964"/>
    <w:rsid w:val="00C87683"/>
    <w:rsid w:val="00C911AD"/>
    <w:rsid w:val="00C91B79"/>
    <w:rsid w:val="00CA28B6"/>
    <w:rsid w:val="00CA3A99"/>
    <w:rsid w:val="00CA54D4"/>
    <w:rsid w:val="00CB056C"/>
    <w:rsid w:val="00CB0684"/>
    <w:rsid w:val="00CB0FA8"/>
    <w:rsid w:val="00CB4C8D"/>
    <w:rsid w:val="00CB5999"/>
    <w:rsid w:val="00CB5B1A"/>
    <w:rsid w:val="00CB733F"/>
    <w:rsid w:val="00CC2F15"/>
    <w:rsid w:val="00CC5105"/>
    <w:rsid w:val="00CC61F8"/>
    <w:rsid w:val="00CC697B"/>
    <w:rsid w:val="00CD30D6"/>
    <w:rsid w:val="00CD34FC"/>
    <w:rsid w:val="00CD3DD9"/>
    <w:rsid w:val="00CD5265"/>
    <w:rsid w:val="00CE2023"/>
    <w:rsid w:val="00CE2B00"/>
    <w:rsid w:val="00CE3559"/>
    <w:rsid w:val="00CF2DB8"/>
    <w:rsid w:val="00CF5346"/>
    <w:rsid w:val="00D005F8"/>
    <w:rsid w:val="00D02DD1"/>
    <w:rsid w:val="00D05730"/>
    <w:rsid w:val="00D13122"/>
    <w:rsid w:val="00D13C67"/>
    <w:rsid w:val="00D13CD9"/>
    <w:rsid w:val="00D146F9"/>
    <w:rsid w:val="00D20018"/>
    <w:rsid w:val="00D20C70"/>
    <w:rsid w:val="00D214DF"/>
    <w:rsid w:val="00D22495"/>
    <w:rsid w:val="00D241B6"/>
    <w:rsid w:val="00D24649"/>
    <w:rsid w:val="00D24922"/>
    <w:rsid w:val="00D25D80"/>
    <w:rsid w:val="00D2755F"/>
    <w:rsid w:val="00D277D3"/>
    <w:rsid w:val="00D27DDE"/>
    <w:rsid w:val="00D27E61"/>
    <w:rsid w:val="00D318FC"/>
    <w:rsid w:val="00D34711"/>
    <w:rsid w:val="00D36A61"/>
    <w:rsid w:val="00D374FF"/>
    <w:rsid w:val="00D42B9A"/>
    <w:rsid w:val="00D42DB6"/>
    <w:rsid w:val="00D45A81"/>
    <w:rsid w:val="00D469E4"/>
    <w:rsid w:val="00D46D25"/>
    <w:rsid w:val="00D47ED2"/>
    <w:rsid w:val="00D50808"/>
    <w:rsid w:val="00D51F66"/>
    <w:rsid w:val="00D539A0"/>
    <w:rsid w:val="00D61AA2"/>
    <w:rsid w:val="00D62DC9"/>
    <w:rsid w:val="00D640C8"/>
    <w:rsid w:val="00D647AB"/>
    <w:rsid w:val="00D65923"/>
    <w:rsid w:val="00D66D0E"/>
    <w:rsid w:val="00D677FF"/>
    <w:rsid w:val="00D70F69"/>
    <w:rsid w:val="00D72C77"/>
    <w:rsid w:val="00D73FE2"/>
    <w:rsid w:val="00D7465B"/>
    <w:rsid w:val="00D75581"/>
    <w:rsid w:val="00D75B1C"/>
    <w:rsid w:val="00D75D50"/>
    <w:rsid w:val="00D83BE1"/>
    <w:rsid w:val="00D85023"/>
    <w:rsid w:val="00D8797F"/>
    <w:rsid w:val="00D90BC6"/>
    <w:rsid w:val="00D939D1"/>
    <w:rsid w:val="00D9513A"/>
    <w:rsid w:val="00D96327"/>
    <w:rsid w:val="00DA0BB1"/>
    <w:rsid w:val="00DA0DC9"/>
    <w:rsid w:val="00DA31E3"/>
    <w:rsid w:val="00DB03C6"/>
    <w:rsid w:val="00DB1C16"/>
    <w:rsid w:val="00DB20D9"/>
    <w:rsid w:val="00DB2147"/>
    <w:rsid w:val="00DB5911"/>
    <w:rsid w:val="00DB7468"/>
    <w:rsid w:val="00DC0D24"/>
    <w:rsid w:val="00DC4707"/>
    <w:rsid w:val="00DD1CFB"/>
    <w:rsid w:val="00DD3C0B"/>
    <w:rsid w:val="00DD3DD1"/>
    <w:rsid w:val="00DD42C7"/>
    <w:rsid w:val="00DE5147"/>
    <w:rsid w:val="00DE72CE"/>
    <w:rsid w:val="00DF17C1"/>
    <w:rsid w:val="00DF1E0D"/>
    <w:rsid w:val="00DF24E8"/>
    <w:rsid w:val="00DF4AED"/>
    <w:rsid w:val="00E00E98"/>
    <w:rsid w:val="00E01EA8"/>
    <w:rsid w:val="00E02F61"/>
    <w:rsid w:val="00E03B5A"/>
    <w:rsid w:val="00E0542E"/>
    <w:rsid w:val="00E05E8F"/>
    <w:rsid w:val="00E069F8"/>
    <w:rsid w:val="00E110BB"/>
    <w:rsid w:val="00E119BD"/>
    <w:rsid w:val="00E1202B"/>
    <w:rsid w:val="00E13C5C"/>
    <w:rsid w:val="00E2225A"/>
    <w:rsid w:val="00E236C6"/>
    <w:rsid w:val="00E23D82"/>
    <w:rsid w:val="00E24B98"/>
    <w:rsid w:val="00E3192E"/>
    <w:rsid w:val="00E40F95"/>
    <w:rsid w:val="00E42B02"/>
    <w:rsid w:val="00E4312B"/>
    <w:rsid w:val="00E445FF"/>
    <w:rsid w:val="00E45372"/>
    <w:rsid w:val="00E45EF2"/>
    <w:rsid w:val="00E468A3"/>
    <w:rsid w:val="00E500D0"/>
    <w:rsid w:val="00E534DB"/>
    <w:rsid w:val="00E54234"/>
    <w:rsid w:val="00E550E2"/>
    <w:rsid w:val="00E6009C"/>
    <w:rsid w:val="00E6070B"/>
    <w:rsid w:val="00E60B88"/>
    <w:rsid w:val="00E60EE1"/>
    <w:rsid w:val="00E64B67"/>
    <w:rsid w:val="00E708F6"/>
    <w:rsid w:val="00E716B4"/>
    <w:rsid w:val="00E72643"/>
    <w:rsid w:val="00E7384C"/>
    <w:rsid w:val="00E80357"/>
    <w:rsid w:val="00E86B67"/>
    <w:rsid w:val="00E87A2A"/>
    <w:rsid w:val="00E93A21"/>
    <w:rsid w:val="00E957A7"/>
    <w:rsid w:val="00EA1C57"/>
    <w:rsid w:val="00EA33D5"/>
    <w:rsid w:val="00EA46ED"/>
    <w:rsid w:val="00EA48A0"/>
    <w:rsid w:val="00EA54D1"/>
    <w:rsid w:val="00EA5E02"/>
    <w:rsid w:val="00EA5FD0"/>
    <w:rsid w:val="00EA77DA"/>
    <w:rsid w:val="00EB0700"/>
    <w:rsid w:val="00EB0B6D"/>
    <w:rsid w:val="00EB3171"/>
    <w:rsid w:val="00EB379C"/>
    <w:rsid w:val="00EB3E6F"/>
    <w:rsid w:val="00EB5743"/>
    <w:rsid w:val="00EC43D4"/>
    <w:rsid w:val="00ED220E"/>
    <w:rsid w:val="00ED346B"/>
    <w:rsid w:val="00ED4053"/>
    <w:rsid w:val="00ED71BB"/>
    <w:rsid w:val="00ED7C15"/>
    <w:rsid w:val="00EE117B"/>
    <w:rsid w:val="00EE11A2"/>
    <w:rsid w:val="00EE129C"/>
    <w:rsid w:val="00EE2461"/>
    <w:rsid w:val="00EE2D5C"/>
    <w:rsid w:val="00EE356F"/>
    <w:rsid w:val="00EE397E"/>
    <w:rsid w:val="00EE6269"/>
    <w:rsid w:val="00EE771C"/>
    <w:rsid w:val="00EE7C06"/>
    <w:rsid w:val="00EE7FE0"/>
    <w:rsid w:val="00EF1C95"/>
    <w:rsid w:val="00EF3BD2"/>
    <w:rsid w:val="00EF6BF7"/>
    <w:rsid w:val="00F061C5"/>
    <w:rsid w:val="00F078B7"/>
    <w:rsid w:val="00F125D7"/>
    <w:rsid w:val="00F12634"/>
    <w:rsid w:val="00F13297"/>
    <w:rsid w:val="00F21896"/>
    <w:rsid w:val="00F237B6"/>
    <w:rsid w:val="00F238F2"/>
    <w:rsid w:val="00F269A8"/>
    <w:rsid w:val="00F276E2"/>
    <w:rsid w:val="00F332B3"/>
    <w:rsid w:val="00F34D63"/>
    <w:rsid w:val="00F366C1"/>
    <w:rsid w:val="00F375FB"/>
    <w:rsid w:val="00F37DD1"/>
    <w:rsid w:val="00F41C35"/>
    <w:rsid w:val="00F45C10"/>
    <w:rsid w:val="00F5197E"/>
    <w:rsid w:val="00F53F19"/>
    <w:rsid w:val="00F549D7"/>
    <w:rsid w:val="00F54D9A"/>
    <w:rsid w:val="00F5550B"/>
    <w:rsid w:val="00F556DB"/>
    <w:rsid w:val="00F556F8"/>
    <w:rsid w:val="00F560D5"/>
    <w:rsid w:val="00F56258"/>
    <w:rsid w:val="00F61536"/>
    <w:rsid w:val="00F7095E"/>
    <w:rsid w:val="00F7343B"/>
    <w:rsid w:val="00F73D95"/>
    <w:rsid w:val="00F73DD7"/>
    <w:rsid w:val="00F81C06"/>
    <w:rsid w:val="00F82FC5"/>
    <w:rsid w:val="00F83155"/>
    <w:rsid w:val="00F904EC"/>
    <w:rsid w:val="00F94494"/>
    <w:rsid w:val="00F95769"/>
    <w:rsid w:val="00F95D10"/>
    <w:rsid w:val="00F97B40"/>
    <w:rsid w:val="00FA0B70"/>
    <w:rsid w:val="00FA3DE6"/>
    <w:rsid w:val="00FA5E92"/>
    <w:rsid w:val="00FA6B8C"/>
    <w:rsid w:val="00FB3BEB"/>
    <w:rsid w:val="00FB495E"/>
    <w:rsid w:val="00FB4F13"/>
    <w:rsid w:val="00FB6504"/>
    <w:rsid w:val="00FB66B5"/>
    <w:rsid w:val="00FC2611"/>
    <w:rsid w:val="00FC3A3A"/>
    <w:rsid w:val="00FC6ABE"/>
    <w:rsid w:val="00FC7B0A"/>
    <w:rsid w:val="00FC7F5D"/>
    <w:rsid w:val="00FD0C6C"/>
    <w:rsid w:val="00FD1D84"/>
    <w:rsid w:val="00FD6E59"/>
    <w:rsid w:val="00FD700B"/>
    <w:rsid w:val="00FE2438"/>
    <w:rsid w:val="00FE3BEF"/>
    <w:rsid w:val="00FE52FC"/>
    <w:rsid w:val="00FE57B3"/>
    <w:rsid w:val="00FE5CA3"/>
    <w:rsid w:val="00FE73E4"/>
    <w:rsid w:val="00FF1658"/>
    <w:rsid w:val="00FF3C5B"/>
    <w:rsid w:val="00FF73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ADA07"/>
  <w15:docId w15:val="{94ED2B91-1DB6-48E7-AB38-DC6CE150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82B8B"/>
    <w:pPr>
      <w:keepLines/>
      <w:spacing w:after="120"/>
    </w:pPr>
  </w:style>
  <w:style w:type="paragraph" w:styleId="Heading1">
    <w:name w:val="heading 1"/>
    <w:basedOn w:val="Normal"/>
    <w:next w:val="Normal"/>
    <w:qFormat/>
    <w:rsid w:val="0057322F"/>
    <w:pPr>
      <w:keepNext/>
      <w:spacing w:before="240" w:after="360"/>
      <w:outlineLvl w:val="0"/>
    </w:pPr>
    <w:rPr>
      <w:rFonts w:cs="Arial"/>
      <w:b/>
      <w:bCs/>
      <w:color w:val="125370" w:themeColor="accent3"/>
      <w:kern w:val="28"/>
      <w:sz w:val="42"/>
      <w:szCs w:val="32"/>
    </w:rPr>
  </w:style>
  <w:style w:type="paragraph" w:styleId="Heading2">
    <w:name w:val="heading 2"/>
    <w:basedOn w:val="Heading1"/>
    <w:next w:val="Normal"/>
    <w:qFormat/>
    <w:rsid w:val="002374DD"/>
    <w:pPr>
      <w:spacing w:before="480"/>
      <w:outlineLvl w:val="1"/>
    </w:pPr>
    <w:rPr>
      <w:bCs w:val="0"/>
      <w:iCs/>
      <w:sz w:val="32"/>
      <w:szCs w:val="28"/>
    </w:rPr>
  </w:style>
  <w:style w:type="paragraph" w:styleId="Heading3">
    <w:name w:val="heading 3"/>
    <w:basedOn w:val="Heading2"/>
    <w:next w:val="Normal"/>
    <w:qFormat/>
    <w:rsid w:val="00BF07FA"/>
    <w:pPr>
      <w:spacing w:before="360" w:after="240"/>
      <w:outlineLvl w:val="2"/>
    </w:pPr>
    <w:rPr>
      <w:bCs/>
      <w:color w:val="1178A2" w:themeColor="accent1"/>
      <w:sz w:val="28"/>
      <w:szCs w:val="26"/>
    </w:rPr>
  </w:style>
  <w:style w:type="paragraph" w:styleId="Heading4">
    <w:name w:val="heading 4"/>
    <w:basedOn w:val="Normal"/>
    <w:next w:val="Normal"/>
    <w:qFormat/>
    <w:rsid w:val="00241CD4"/>
    <w:pPr>
      <w:keepNext/>
      <w:spacing w:before="240" w:after="180"/>
      <w:outlineLvl w:val="3"/>
    </w:pPr>
    <w:rPr>
      <w:b/>
      <w:bCs/>
      <w:color w:val="404040" w:themeColor="text1" w:themeTint="BF"/>
      <w:sz w:val="24"/>
      <w:szCs w:val="26"/>
    </w:rPr>
  </w:style>
  <w:style w:type="paragraph" w:styleId="Heading5">
    <w:name w:val="heading 5"/>
    <w:basedOn w:val="Normal"/>
    <w:next w:val="Normal"/>
    <w:qFormat/>
    <w:rsid w:val="00E01EA8"/>
    <w:pPr>
      <w:keepNext/>
      <w:spacing w:before="240"/>
      <w:outlineLvl w:val="4"/>
    </w:pPr>
    <w:rPr>
      <w:b/>
      <w:bCs/>
      <w:iCs/>
      <w:color w:val="000000" w:themeColor="text1"/>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4A6549"/>
    <w:pPr>
      <w:tabs>
        <w:tab w:val="right" w:leader="dot" w:pos="9016"/>
      </w:tabs>
      <w:spacing w:before="120" w:after="0"/>
    </w:pPr>
    <w:rPr>
      <w:rFonts w:cstheme="minorHAnsi"/>
      <w:b/>
      <w:bCs/>
      <w:iCs/>
      <w:noProof/>
      <w:color w:val="1178A2" w:themeColor="text2"/>
      <w:sz w:val="26"/>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7676EC"/>
    <w:pPr>
      <w:spacing w:before="60" w:after="0"/>
      <w:ind w:left="221"/>
    </w:pPr>
    <w:rPr>
      <w:rFonts w:cstheme="minorHAnsi"/>
      <w:bCs/>
    </w:rPr>
  </w:style>
  <w:style w:type="paragraph" w:styleId="TOC3">
    <w:name w:val="toc 3"/>
    <w:basedOn w:val="Normal"/>
    <w:next w:val="Normal"/>
    <w:autoRedefine/>
    <w:uiPriority w:val="39"/>
    <w:qFormat/>
    <w:rsid w:val="007676EC"/>
    <w:pPr>
      <w:spacing w:before="60" w:after="0"/>
      <w:ind w:left="680"/>
      <w:contextualSpacing/>
    </w:pPr>
    <w:rPr>
      <w:rFonts w:cstheme="minorHAnsi"/>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9763A2"/>
    <w:pPr>
      <w:spacing w:after="60"/>
      <w:ind w:left="227" w:hanging="227"/>
    </w:pPr>
    <w:rPr>
      <w:sz w:val="20"/>
      <w:szCs w:val="20"/>
    </w:rPr>
  </w:style>
  <w:style w:type="character" w:customStyle="1" w:styleId="FootnoteTextChar">
    <w:name w:val="Footnote Text Char"/>
    <w:basedOn w:val="DefaultParagraphFont"/>
    <w:link w:val="FootnoteText"/>
    <w:rsid w:val="009763A2"/>
    <w:rPr>
      <w:sz w:val="20"/>
      <w:szCs w:val="20"/>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39"/>
    <w:locked/>
    <w:rsid w:val="00D25D80"/>
    <w:pPr>
      <w:spacing w:after="0"/>
    </w:pPr>
    <w:rPr>
      <w:rFonts w:ascii="Arial" w:hAnsi="Arial"/>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right w:w="170" w:type="dxa"/>
      </w:tblCellMar>
    </w:tblPr>
    <w:trPr>
      <w:cantSplit/>
    </w:trPr>
    <w:tblStylePr w:type="firstRow">
      <w:pPr>
        <w:wordWrap/>
        <w:jc w:val="left"/>
        <w:outlineLvl w:val="9"/>
      </w:pPr>
      <w:rPr>
        <w:rFonts w:ascii="Arial" w:hAnsi="Arial"/>
        <w:b/>
        <w:color w:val="000000" w:themeColor="text1"/>
        <w:sz w:val="22"/>
      </w:rPr>
      <w:tblPr/>
      <w:tcPr>
        <w:shd w:val="clear" w:color="auto" w:fill="8BE3FF" w:themeFill="accent2" w:themeFillTint="66"/>
      </w:tcPr>
    </w:tblStylePr>
    <w:tblStylePr w:type="lastRow">
      <w:pPr>
        <w:jc w:val="left"/>
      </w:pPr>
      <w:rPr>
        <w:b/>
      </w:rPr>
      <w:tblPr/>
      <w:tcPr>
        <w:shd w:val="clear" w:color="auto" w:fill="F2F2F2" w:themeFill="background1" w:themeFillShade="F2"/>
        <w:vAlign w:val="center"/>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A1C57"/>
    <w:rPr>
      <w:color w:val="1178A2" w:themeColor="text2"/>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941CAF"/>
    <w:pPr>
      <w:spacing w:before="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82958"/>
    <w:pPr>
      <w:pBdr>
        <w:top w:val="single" w:sz="4" w:space="8" w:color="00A9DD" w:themeColor="accent2"/>
        <w:left w:val="single" w:sz="4" w:space="8" w:color="00A9DD" w:themeColor="accent2"/>
        <w:bottom w:val="single" w:sz="4" w:space="8" w:color="00A9DD" w:themeColor="accent2"/>
        <w:right w:val="single" w:sz="4" w:space="8" w:color="00A9DD" w:themeColor="accent2"/>
      </w:pBdr>
      <w:shd w:val="clear" w:color="auto" w:fill="C5F1FF" w:themeFill="accent2" w:themeFillTint="33"/>
      <w:spacing w:after="180"/>
    </w:pPr>
    <w:rPr>
      <w:rFonts w:ascii="Arial" w:hAnsi="Arial"/>
      <w:b/>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val="0"/>
      <w:bCs/>
      <w:color w:val="0C5979" w:themeColor="accent1" w:themeShade="BF"/>
      <w:sz w:val="24"/>
    </w:rPr>
  </w:style>
  <w:style w:type="paragraph" w:customStyle="1" w:styleId="BoxDash">
    <w:name w:val="BoxDash"/>
    <w:basedOn w:val="BoxText"/>
    <w:rsid w:val="002E195D"/>
    <w:pPr>
      <w:tabs>
        <w:tab w:val="left" w:pos="357"/>
      </w:tabs>
      <w:ind w:left="720" w:hanging="720"/>
    </w:pPr>
  </w:style>
  <w:style w:type="paragraph" w:styleId="ListParagraph">
    <w:name w:val="List Paragraph"/>
    <w:basedOn w:val="Normal"/>
    <w:uiPriority w:val="34"/>
    <w:qFormat/>
    <w:locked/>
    <w:rsid w:val="00000B05"/>
    <w:pPr>
      <w:ind w:left="720"/>
      <w:contextualSpacing/>
    </w:pPr>
  </w:style>
  <w:style w:type="table" w:customStyle="1" w:styleId="TableGrid1">
    <w:name w:val="Table Grid1"/>
    <w:basedOn w:val="TableNormal"/>
    <w:next w:val="TableGrid"/>
    <w:uiPriority w:val="59"/>
    <w:rsid w:val="00220F33"/>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locked/>
    <w:rsid w:val="00AD58F1"/>
    <w:rPr>
      <w:sz w:val="16"/>
      <w:szCs w:val="16"/>
    </w:rPr>
  </w:style>
  <w:style w:type="paragraph" w:styleId="CommentText">
    <w:name w:val="annotation text"/>
    <w:basedOn w:val="Normal"/>
    <w:link w:val="CommentTextChar"/>
    <w:uiPriority w:val="99"/>
    <w:locked/>
    <w:rsid w:val="00AD58F1"/>
    <w:rPr>
      <w:sz w:val="20"/>
      <w:szCs w:val="20"/>
    </w:rPr>
  </w:style>
  <w:style w:type="character" w:customStyle="1" w:styleId="CommentTextChar">
    <w:name w:val="Comment Text Char"/>
    <w:basedOn w:val="DefaultParagraphFont"/>
    <w:link w:val="CommentText"/>
    <w:uiPriority w:val="99"/>
    <w:rsid w:val="00AD58F1"/>
    <w:rPr>
      <w:sz w:val="20"/>
      <w:szCs w:val="20"/>
    </w:rPr>
  </w:style>
  <w:style w:type="paragraph" w:styleId="CommentSubject">
    <w:name w:val="annotation subject"/>
    <w:basedOn w:val="CommentText"/>
    <w:next w:val="CommentText"/>
    <w:link w:val="CommentSubjectChar"/>
    <w:uiPriority w:val="98"/>
    <w:locked/>
    <w:rsid w:val="00AD58F1"/>
    <w:rPr>
      <w:b/>
      <w:bCs/>
    </w:rPr>
  </w:style>
  <w:style w:type="character" w:customStyle="1" w:styleId="CommentSubjectChar">
    <w:name w:val="Comment Subject Char"/>
    <w:basedOn w:val="CommentTextChar"/>
    <w:link w:val="CommentSubject"/>
    <w:uiPriority w:val="98"/>
    <w:rsid w:val="00AD58F1"/>
    <w:rPr>
      <w:b/>
      <w:bCs/>
      <w:sz w:val="20"/>
      <w:szCs w:val="20"/>
    </w:rPr>
  </w:style>
  <w:style w:type="paragraph" w:styleId="NormalWeb">
    <w:name w:val="Normal (Web)"/>
    <w:basedOn w:val="Normal"/>
    <w:uiPriority w:val="99"/>
    <w:semiHidden/>
    <w:unhideWhenUsed/>
    <w:locked/>
    <w:rsid w:val="000E4563"/>
    <w:pPr>
      <w:spacing w:before="100" w:beforeAutospacing="1" w:after="100" w:afterAutospacing="1"/>
    </w:pPr>
    <w:rPr>
      <w:rFonts w:ascii="Times New Roman" w:eastAsiaTheme="minorEastAsia" w:hAnsi="Times New Roman"/>
      <w:sz w:val="24"/>
      <w:szCs w:val="24"/>
    </w:rPr>
  </w:style>
  <w:style w:type="character" w:customStyle="1" w:styleId="Blue">
    <w:name w:val="Blue"/>
    <w:basedOn w:val="DefaultParagraphFont"/>
    <w:uiPriority w:val="1"/>
    <w:qFormat/>
    <w:rsid w:val="001D27B0"/>
    <w:rPr>
      <w:color w:val="002060"/>
    </w:rPr>
  </w:style>
  <w:style w:type="character" w:customStyle="1" w:styleId="UnresolvedMention1">
    <w:name w:val="Unresolved Mention1"/>
    <w:basedOn w:val="DefaultParagraphFont"/>
    <w:uiPriority w:val="99"/>
    <w:semiHidden/>
    <w:unhideWhenUsed/>
    <w:rsid w:val="002D2E45"/>
    <w:rPr>
      <w:color w:val="605E5C"/>
      <w:shd w:val="clear" w:color="auto" w:fill="E1DFDD"/>
    </w:rPr>
  </w:style>
  <w:style w:type="paragraph" w:styleId="Caption">
    <w:name w:val="caption"/>
    <w:basedOn w:val="Normal"/>
    <w:next w:val="Normal"/>
    <w:uiPriority w:val="98"/>
    <w:unhideWhenUsed/>
    <w:qFormat/>
    <w:locked/>
    <w:rsid w:val="00CD30D6"/>
    <w:pPr>
      <w:keepNext/>
      <w:spacing w:before="240" w:after="240"/>
    </w:pPr>
    <w:rPr>
      <w:b/>
      <w:iCs/>
      <w:color w:val="000000" w:themeColor="text1"/>
      <w:szCs w:val="18"/>
    </w:rPr>
  </w:style>
  <w:style w:type="paragraph" w:styleId="TOC5">
    <w:name w:val="toc 5"/>
    <w:basedOn w:val="Normal"/>
    <w:next w:val="Normal"/>
    <w:autoRedefine/>
    <w:uiPriority w:val="98"/>
    <w:semiHidden/>
    <w:unhideWhenUsed/>
    <w:locked/>
    <w:rsid w:val="00794242"/>
    <w:pPr>
      <w:spacing w:after="0"/>
      <w:ind w:left="880"/>
    </w:pPr>
    <w:rPr>
      <w:rFonts w:cstheme="minorHAnsi"/>
      <w:sz w:val="20"/>
      <w:szCs w:val="20"/>
    </w:rPr>
  </w:style>
  <w:style w:type="paragraph" w:styleId="TOC6">
    <w:name w:val="toc 6"/>
    <w:basedOn w:val="Normal"/>
    <w:next w:val="Normal"/>
    <w:autoRedefine/>
    <w:uiPriority w:val="98"/>
    <w:semiHidden/>
    <w:unhideWhenUsed/>
    <w:locked/>
    <w:rsid w:val="00794242"/>
    <w:pPr>
      <w:spacing w:after="0"/>
      <w:ind w:left="1100"/>
    </w:pPr>
    <w:rPr>
      <w:rFonts w:cstheme="minorHAnsi"/>
      <w:sz w:val="20"/>
      <w:szCs w:val="20"/>
    </w:rPr>
  </w:style>
  <w:style w:type="paragraph" w:styleId="TOC7">
    <w:name w:val="toc 7"/>
    <w:basedOn w:val="Normal"/>
    <w:next w:val="Normal"/>
    <w:autoRedefine/>
    <w:uiPriority w:val="98"/>
    <w:semiHidden/>
    <w:unhideWhenUsed/>
    <w:locked/>
    <w:rsid w:val="00794242"/>
    <w:pPr>
      <w:spacing w:after="0"/>
      <w:ind w:left="1320"/>
    </w:pPr>
    <w:rPr>
      <w:rFonts w:cstheme="minorHAnsi"/>
      <w:sz w:val="20"/>
      <w:szCs w:val="20"/>
    </w:rPr>
  </w:style>
  <w:style w:type="paragraph" w:styleId="TOC8">
    <w:name w:val="toc 8"/>
    <w:basedOn w:val="Normal"/>
    <w:next w:val="Normal"/>
    <w:autoRedefine/>
    <w:uiPriority w:val="98"/>
    <w:semiHidden/>
    <w:unhideWhenUsed/>
    <w:locked/>
    <w:rsid w:val="00794242"/>
    <w:pPr>
      <w:spacing w:after="0"/>
      <w:ind w:left="1540"/>
    </w:pPr>
    <w:rPr>
      <w:rFonts w:cstheme="minorHAnsi"/>
      <w:sz w:val="20"/>
      <w:szCs w:val="20"/>
    </w:rPr>
  </w:style>
  <w:style w:type="paragraph" w:styleId="TOC9">
    <w:name w:val="toc 9"/>
    <w:basedOn w:val="Normal"/>
    <w:next w:val="Normal"/>
    <w:autoRedefine/>
    <w:uiPriority w:val="98"/>
    <w:semiHidden/>
    <w:unhideWhenUsed/>
    <w:locked/>
    <w:rsid w:val="00794242"/>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105">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45378991">
      <w:bodyDiv w:val="1"/>
      <w:marLeft w:val="0"/>
      <w:marRight w:val="0"/>
      <w:marTop w:val="0"/>
      <w:marBottom w:val="0"/>
      <w:divBdr>
        <w:top w:val="none" w:sz="0" w:space="0" w:color="auto"/>
        <w:left w:val="none" w:sz="0" w:space="0" w:color="auto"/>
        <w:bottom w:val="none" w:sz="0" w:space="0" w:color="auto"/>
        <w:right w:val="none" w:sz="0" w:space="0" w:color="auto"/>
      </w:divBdr>
    </w:div>
    <w:div w:id="300040583">
      <w:bodyDiv w:val="1"/>
      <w:marLeft w:val="0"/>
      <w:marRight w:val="0"/>
      <w:marTop w:val="0"/>
      <w:marBottom w:val="0"/>
      <w:divBdr>
        <w:top w:val="none" w:sz="0" w:space="0" w:color="auto"/>
        <w:left w:val="none" w:sz="0" w:space="0" w:color="auto"/>
        <w:bottom w:val="none" w:sz="0" w:space="0" w:color="auto"/>
        <w:right w:val="none" w:sz="0" w:space="0" w:color="auto"/>
      </w:divBdr>
    </w:div>
    <w:div w:id="678197294">
      <w:bodyDiv w:val="1"/>
      <w:marLeft w:val="0"/>
      <w:marRight w:val="0"/>
      <w:marTop w:val="0"/>
      <w:marBottom w:val="0"/>
      <w:divBdr>
        <w:top w:val="none" w:sz="0" w:space="0" w:color="auto"/>
        <w:left w:val="none" w:sz="0" w:space="0" w:color="auto"/>
        <w:bottom w:val="none" w:sz="0" w:space="0" w:color="auto"/>
        <w:right w:val="none" w:sz="0" w:space="0" w:color="auto"/>
      </w:divBdr>
    </w:div>
    <w:div w:id="749497142">
      <w:bodyDiv w:val="1"/>
      <w:marLeft w:val="0"/>
      <w:marRight w:val="0"/>
      <w:marTop w:val="0"/>
      <w:marBottom w:val="0"/>
      <w:divBdr>
        <w:top w:val="none" w:sz="0" w:space="0" w:color="auto"/>
        <w:left w:val="none" w:sz="0" w:space="0" w:color="auto"/>
        <w:bottom w:val="none" w:sz="0" w:space="0" w:color="auto"/>
        <w:right w:val="none" w:sz="0" w:space="0" w:color="auto"/>
      </w:divBdr>
      <w:divsChild>
        <w:div w:id="201751869">
          <w:marLeft w:val="0"/>
          <w:marRight w:val="0"/>
          <w:marTop w:val="0"/>
          <w:marBottom w:val="0"/>
          <w:divBdr>
            <w:top w:val="none" w:sz="0" w:space="0" w:color="auto"/>
            <w:left w:val="none" w:sz="0" w:space="0" w:color="auto"/>
            <w:bottom w:val="none" w:sz="0" w:space="0" w:color="auto"/>
            <w:right w:val="none" w:sz="0" w:space="0" w:color="auto"/>
          </w:divBdr>
          <w:divsChild>
            <w:div w:id="1738936495">
              <w:marLeft w:val="0"/>
              <w:marRight w:val="0"/>
              <w:marTop w:val="0"/>
              <w:marBottom w:val="0"/>
              <w:divBdr>
                <w:top w:val="none" w:sz="0" w:space="0" w:color="auto"/>
                <w:left w:val="none" w:sz="0" w:space="0" w:color="auto"/>
                <w:bottom w:val="none" w:sz="0" w:space="0" w:color="auto"/>
                <w:right w:val="none" w:sz="0" w:space="0" w:color="auto"/>
              </w:divBdr>
              <w:divsChild>
                <w:div w:id="1310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7202">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0141400">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80756098">
      <w:bodyDiv w:val="1"/>
      <w:marLeft w:val="0"/>
      <w:marRight w:val="0"/>
      <w:marTop w:val="0"/>
      <w:marBottom w:val="0"/>
      <w:divBdr>
        <w:top w:val="none" w:sz="0" w:space="0" w:color="auto"/>
        <w:left w:val="none" w:sz="0" w:space="0" w:color="auto"/>
        <w:bottom w:val="none" w:sz="0" w:space="0" w:color="auto"/>
        <w:right w:val="none" w:sz="0" w:space="0" w:color="auto"/>
      </w:divBdr>
    </w:div>
    <w:div w:id="1971200593">
      <w:bodyDiv w:val="1"/>
      <w:marLeft w:val="0"/>
      <w:marRight w:val="0"/>
      <w:marTop w:val="0"/>
      <w:marBottom w:val="0"/>
      <w:divBdr>
        <w:top w:val="none" w:sz="0" w:space="0" w:color="auto"/>
        <w:left w:val="none" w:sz="0" w:space="0" w:color="auto"/>
        <w:bottom w:val="none" w:sz="0" w:space="0" w:color="auto"/>
        <w:right w:val="none" w:sz="0" w:space="0" w:color="auto"/>
      </w:divBdr>
      <w:divsChild>
        <w:div w:id="233702306">
          <w:marLeft w:val="0"/>
          <w:marRight w:val="0"/>
          <w:marTop w:val="0"/>
          <w:marBottom w:val="0"/>
          <w:divBdr>
            <w:top w:val="none" w:sz="0" w:space="0" w:color="auto"/>
            <w:left w:val="none" w:sz="0" w:space="0" w:color="auto"/>
            <w:bottom w:val="none" w:sz="0" w:space="0" w:color="auto"/>
            <w:right w:val="none" w:sz="0" w:space="0" w:color="auto"/>
          </w:divBdr>
          <w:divsChild>
            <w:div w:id="210502400">
              <w:marLeft w:val="0"/>
              <w:marRight w:val="0"/>
              <w:marTop w:val="0"/>
              <w:marBottom w:val="0"/>
              <w:divBdr>
                <w:top w:val="none" w:sz="0" w:space="0" w:color="auto"/>
                <w:left w:val="none" w:sz="0" w:space="0" w:color="auto"/>
                <w:bottom w:val="none" w:sz="0" w:space="0" w:color="auto"/>
                <w:right w:val="none" w:sz="0" w:space="0" w:color="auto"/>
              </w:divBdr>
              <w:divsChild>
                <w:div w:id="1891575427">
                  <w:marLeft w:val="0"/>
                  <w:marRight w:val="0"/>
                  <w:marTop w:val="0"/>
                  <w:marBottom w:val="0"/>
                  <w:divBdr>
                    <w:top w:val="none" w:sz="0" w:space="0" w:color="auto"/>
                    <w:left w:val="none" w:sz="0" w:space="0" w:color="auto"/>
                    <w:bottom w:val="none" w:sz="0" w:space="0" w:color="auto"/>
                    <w:right w:val="none" w:sz="0" w:space="0" w:color="auto"/>
                  </w:divBdr>
                  <w:divsChild>
                    <w:div w:id="14734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08772">
      <w:bodyDiv w:val="1"/>
      <w:marLeft w:val="0"/>
      <w:marRight w:val="0"/>
      <w:marTop w:val="0"/>
      <w:marBottom w:val="0"/>
      <w:divBdr>
        <w:top w:val="none" w:sz="0" w:space="0" w:color="auto"/>
        <w:left w:val="none" w:sz="0" w:space="0" w:color="auto"/>
        <w:bottom w:val="none" w:sz="0" w:space="0" w:color="auto"/>
        <w:right w:val="none" w:sz="0" w:space="0" w:color="auto"/>
      </w:divBdr>
      <w:divsChild>
        <w:div w:id="1142381657">
          <w:marLeft w:val="0"/>
          <w:marRight w:val="0"/>
          <w:marTop w:val="0"/>
          <w:marBottom w:val="0"/>
          <w:divBdr>
            <w:top w:val="none" w:sz="0" w:space="0" w:color="auto"/>
            <w:left w:val="none" w:sz="0" w:space="0" w:color="auto"/>
            <w:bottom w:val="none" w:sz="0" w:space="0" w:color="auto"/>
            <w:right w:val="none" w:sz="0" w:space="0" w:color="auto"/>
          </w:divBdr>
          <w:divsChild>
            <w:div w:id="107554176">
              <w:marLeft w:val="0"/>
              <w:marRight w:val="0"/>
              <w:marTop w:val="0"/>
              <w:marBottom w:val="0"/>
              <w:divBdr>
                <w:top w:val="none" w:sz="0" w:space="0" w:color="auto"/>
                <w:left w:val="none" w:sz="0" w:space="0" w:color="auto"/>
                <w:bottom w:val="none" w:sz="0" w:space="0" w:color="auto"/>
                <w:right w:val="none" w:sz="0" w:space="0" w:color="auto"/>
              </w:divBdr>
              <w:divsChild>
                <w:div w:id="1014723178">
                  <w:marLeft w:val="0"/>
                  <w:marRight w:val="0"/>
                  <w:marTop w:val="0"/>
                  <w:marBottom w:val="0"/>
                  <w:divBdr>
                    <w:top w:val="none" w:sz="0" w:space="0" w:color="auto"/>
                    <w:left w:val="none" w:sz="0" w:space="0" w:color="auto"/>
                    <w:bottom w:val="none" w:sz="0" w:space="0" w:color="auto"/>
                    <w:right w:val="none" w:sz="0" w:space="0" w:color="auto"/>
                  </w:divBdr>
                  <w:divsChild>
                    <w:div w:id="11609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45687">
      <w:bodyDiv w:val="1"/>
      <w:marLeft w:val="0"/>
      <w:marRight w:val="0"/>
      <w:marTop w:val="0"/>
      <w:marBottom w:val="0"/>
      <w:divBdr>
        <w:top w:val="none" w:sz="0" w:space="0" w:color="auto"/>
        <w:left w:val="none" w:sz="0" w:space="0" w:color="auto"/>
        <w:bottom w:val="none" w:sz="0" w:space="0" w:color="auto"/>
        <w:right w:val="none" w:sz="0" w:space="0" w:color="auto"/>
      </w:divBdr>
      <w:divsChild>
        <w:div w:id="934632057">
          <w:marLeft w:val="0"/>
          <w:marRight w:val="0"/>
          <w:marTop w:val="0"/>
          <w:marBottom w:val="0"/>
          <w:divBdr>
            <w:top w:val="none" w:sz="0" w:space="0" w:color="auto"/>
            <w:left w:val="none" w:sz="0" w:space="0" w:color="auto"/>
            <w:bottom w:val="none" w:sz="0" w:space="0" w:color="auto"/>
            <w:right w:val="none" w:sz="0" w:space="0" w:color="auto"/>
          </w:divBdr>
          <w:divsChild>
            <w:div w:id="1212351963">
              <w:marLeft w:val="0"/>
              <w:marRight w:val="0"/>
              <w:marTop w:val="0"/>
              <w:marBottom w:val="0"/>
              <w:divBdr>
                <w:top w:val="none" w:sz="0" w:space="0" w:color="auto"/>
                <w:left w:val="none" w:sz="0" w:space="0" w:color="auto"/>
                <w:bottom w:val="none" w:sz="0" w:space="0" w:color="auto"/>
                <w:right w:val="none" w:sz="0" w:space="0" w:color="auto"/>
              </w:divBdr>
              <w:divsChild>
                <w:div w:id="1641808628">
                  <w:marLeft w:val="0"/>
                  <w:marRight w:val="0"/>
                  <w:marTop w:val="0"/>
                  <w:marBottom w:val="0"/>
                  <w:divBdr>
                    <w:top w:val="none" w:sz="0" w:space="0" w:color="auto"/>
                    <w:left w:val="none" w:sz="0" w:space="0" w:color="auto"/>
                    <w:bottom w:val="none" w:sz="0" w:space="0" w:color="auto"/>
                    <w:right w:val="none" w:sz="0" w:space="0" w:color="auto"/>
                  </w:divBdr>
                  <w:divsChild>
                    <w:div w:id="6761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footer" Target="footer3.xml"/><Relationship Id="rId42" Type="http://schemas.openxmlformats.org/officeDocument/2006/relationships/hyperlink" Target="http://www.safetyandquality.gov.au/sites/default/files/migrated/SAQ730_HAC_Factsheet_MedicalComplications_LongV2.pdf" TargetMode="External"/><Relationship Id="rId47" Type="http://schemas.openxmlformats.org/officeDocument/2006/relationships/hyperlink" Target="http://www.cec.health.nsw.gov.au/__data/assets/pdf_file/0006/458988/Guidelines-on-perioperative-management-of-anticoagulant-and-antiplatelet-agents.pdf" TargetMode="External"/><Relationship Id="rId63" Type="http://schemas.openxmlformats.org/officeDocument/2006/relationships/hyperlink" Target="https://www.alfredhealth.org.au/services/pharmacy-at-alfred-health/about-alfred-health-pharmacy/centre-for-medicine-use-and-safety-cmus/cmus-stewardship-program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safetyandquality.gov.au/standards/clinical-care-standards/venous-thromboembolism-prevention-clinical-care-standard" TargetMode="External"/><Relationship Id="rId11" Type="http://schemas.openxmlformats.org/officeDocument/2006/relationships/hyperlink" Target="http://www.safetyandquality.gov.au" TargetMode="External"/><Relationship Id="rId24" Type="http://schemas.openxmlformats.org/officeDocument/2006/relationships/chart" Target="charts/chart2.xml"/><Relationship Id="rId32" Type="http://schemas.openxmlformats.org/officeDocument/2006/relationships/hyperlink" Target="http://www.hrmeducation.health.gov.au/" TargetMode="External"/><Relationship Id="rId37" Type="http://schemas.openxmlformats.org/officeDocument/2006/relationships/hyperlink" Target="http://www.cec.health.nsw.gov.au/__data/assets/pdf_file/0007/326419/noac_guidelines.pdf" TargetMode="External"/><Relationship Id="rId40" Type="http://schemas.openxmlformats.org/officeDocument/2006/relationships/hyperlink" Target="https://www.nps.org.au/professionals/anticoagulants/oral-anticoagulants-safety-checks" TargetMode="External"/><Relationship Id="rId45" Type="http://schemas.openxmlformats.org/officeDocument/2006/relationships/hyperlink" Target="http://www.heartlungcirc.org/article/S1443-9506(18)31778-5/fulltext" TargetMode="External"/><Relationship Id="rId53" Type="http://schemas.openxmlformats.org/officeDocument/2006/relationships/hyperlink" Target="https://www.ismp.org/sites/default/files/attachments/2017-11/2017_ISMP_Antithrombotic_Self_Assessment.pdf" TargetMode="External"/><Relationship Id="rId58" Type="http://schemas.openxmlformats.org/officeDocument/2006/relationships/hyperlink" Target="https://www.health.qld.gov.au/__data/assets/pdf_file/0031/812938/vte-prevention-guideline.pdf" TargetMode="External"/><Relationship Id="rId66" Type="http://schemas.openxmlformats.org/officeDocument/2006/relationships/hyperlink" Target="http://www.safetyandquality.gov.au/" TargetMode="External"/><Relationship Id="rId5" Type="http://schemas.openxmlformats.org/officeDocument/2006/relationships/webSettings" Target="webSettings.xml"/><Relationship Id="rId61" Type="http://schemas.openxmlformats.org/officeDocument/2006/relationships/hyperlink" Target="https://www.shpa.org.au/GRIT/Issues" TargetMode="External"/><Relationship Id="rId19" Type="http://schemas.openxmlformats.org/officeDocument/2006/relationships/header" Target="header4.xml"/><Relationship Id="rId14" Type="http://schemas.openxmlformats.org/officeDocument/2006/relationships/hyperlink" Target="mailto:communications@safetyandquality.gov.au" TargetMode="External"/><Relationship Id="rId22" Type="http://schemas.openxmlformats.org/officeDocument/2006/relationships/header" Target="header6.xml"/><Relationship Id="rId27" Type="http://schemas.openxmlformats.org/officeDocument/2006/relationships/chart" Target="charts/chart5.xml"/><Relationship Id="rId30" Type="http://schemas.openxmlformats.org/officeDocument/2006/relationships/hyperlink" Target="https://www.safetyandquality.gov.au/publications-and-resources/resource-library/hospital-acquired-complication-10-medication-complications-fact-sheet" TargetMode="External"/><Relationship Id="rId35" Type="http://schemas.openxmlformats.org/officeDocument/2006/relationships/hyperlink" Target="http://www.heartlungcirc.org/article/S1443-9506(18)31778-5/pdf" TargetMode="External"/><Relationship Id="rId43" Type="http://schemas.openxmlformats.org/officeDocument/2006/relationships/hyperlink" Target="https://www.sahealth.sa.gov.au/wps/wcm/connect/6c27fa80496b841fa7e1b763e3a03091/Guideline_Safe+Prescribing+of+NOAC+Policy+v1.1_Oct+2015.pdf?MOD=AJPERES&amp;CACHEID=ROOTWORKSPACE6c27fa80496b841f7e1b763e3a03091-lztmu.E" TargetMode="External"/><Relationship Id="rId48" Type="http://schemas.openxmlformats.org/officeDocument/2006/relationships/hyperlink" Target="http://www.cec.health.nsw.gov.au/__data/assets/pdf_file/0007/326419/noac_guidelines.pdf" TargetMode="External"/><Relationship Id="rId56" Type="http://schemas.openxmlformats.org/officeDocument/2006/relationships/hyperlink" Target="https://www.victag.org.au/images/pdfs/3.-Sarah-Charles---Melbourne-Health-Experience-with-VTE-Prevention-and-Anticoagulant-Management.pdf" TargetMode="External"/><Relationship Id="rId64" Type="http://schemas.openxmlformats.org/officeDocument/2006/relationships/image" Target="media/image3.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cec.health.nsw.gov.au/keep-patients-safe/medication-safety/vte-prevention/education" TargetMode="External"/><Relationship Id="rId3" Type="http://schemas.openxmlformats.org/officeDocument/2006/relationships/styles" Target="styles.xml"/><Relationship Id="rId12" Type="http://schemas.openxmlformats.org/officeDocument/2006/relationships/hyperlink" Target="http://creativecommons.org/licenses/by-nc-nd/4.0/" TargetMode="Externa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hyperlink" Target="https://www.safetyandquality.gov.au/standards/nsqhs-standards/medication-safety-standard" TargetMode="External"/><Relationship Id="rId38" Type="http://schemas.openxmlformats.org/officeDocument/2006/relationships/hyperlink" Target="http://www.rch.org.au/clinicalguide/guideline_index/Anticoagulation_%20therapy/" TargetMode="External"/><Relationship Id="rId46" Type="http://schemas.openxmlformats.org/officeDocument/2006/relationships/hyperlink" Target="https://www.safetyandquality.gov.au/publications-and-resources/resource-library/venous-thromboembolism-prevention-clinical-care-standard" TargetMode="External"/><Relationship Id="rId59" Type="http://schemas.openxmlformats.org/officeDocument/2006/relationships/hyperlink" Target="https://www.health.qld.gov.au/clinical-practice/guidelines-procedures/medicines/safety" TargetMode="External"/><Relationship Id="rId67" Type="http://schemas.openxmlformats.org/officeDocument/2006/relationships/footer" Target="footer4.xml"/><Relationship Id="rId20" Type="http://schemas.openxmlformats.org/officeDocument/2006/relationships/header" Target="header5.xml"/><Relationship Id="rId41" Type="http://schemas.openxmlformats.org/officeDocument/2006/relationships/hyperlink" Target="http://www.health.qld.gov.au/__data/assets/pdf_file/0025/443806/warfarin-guidelines.pdf" TargetMode="External"/><Relationship Id="rId54" Type="http://schemas.openxmlformats.org/officeDocument/2006/relationships/hyperlink" Target="https://www.victag.org.au/events/medicines-roundtable" TargetMode="External"/><Relationship Id="rId62" Type="http://schemas.openxmlformats.org/officeDocument/2006/relationships/hyperlink" Target="https://www2.health.vic.gov.au/health-workforce/reform-and-innovation/partnered-pharmacist-medication-char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www.sahealth.sa.gov.au/wps/wcm/connect/6c27fa80496b841fa7e1b763e3a03091/Guideline_Safe+Prescribing+of+NOAC+Policy+v1.1_Oct+2015.pdf?MOD=AJPERES&amp;CACHEID=ROOTWORKSPACE6c27fa80496b841f7e1b763e3a03091-lztmu.E" TargetMode="External"/><Relationship Id="rId49" Type="http://schemas.openxmlformats.org/officeDocument/2006/relationships/hyperlink" Target="https://www.cec.health.nsw.gov.au/__data/assets/pdf_file/0006/458988/Guidelines-on-perioperative-management-of-anticoagulant-and-antiplatelet-agents.pdf" TargetMode="External"/><Relationship Id="rId57" Type="http://schemas.openxmlformats.org/officeDocument/2006/relationships/hyperlink" Target="https://bmjopen.bmj.com/content/9/2/bmjopen-2018-025292" TargetMode="External"/><Relationship Id="rId10" Type="http://schemas.openxmlformats.org/officeDocument/2006/relationships/hyperlink" Target="mailto:mail@safetyandquality.gov.au" TargetMode="External"/><Relationship Id="rId31" Type="http://schemas.openxmlformats.org/officeDocument/2006/relationships/hyperlink" Target="https://www.safetyandquality.gov.au/standards/nsqhs-standards/medication-safety-standard" TargetMode="External"/><Relationship Id="rId44" Type="http://schemas.openxmlformats.org/officeDocument/2006/relationships/hyperlink" Target="http://www.cec.health.nsw.gov.au/__data/assets/pdf_file/0007/326419/noac_guidelines.pdf" TargetMode="External"/><Relationship Id="rId52" Type="http://schemas.openxmlformats.org/officeDocument/2006/relationships/hyperlink" Target="https://www.nswtag.org.au/qum-indicators-set-1/" TargetMode="External"/><Relationship Id="rId60" Type="http://schemas.openxmlformats.org/officeDocument/2006/relationships/hyperlink" Target="https://pubmed.ncbi.nlm.nih.gov/27167767/" TargetMode="External"/><Relationship Id="rId65" Type="http://schemas.openxmlformats.org/officeDocument/2006/relationships/hyperlink" Target="mailto:mail@safetyandquality.gov.a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yperlink" Target="http://www.seslhd.health.nsw.gov.au/sites/default/files/documents/warfadminanddosageadjust.pdf" TargetMode="External"/><Relationship Id="rId34" Type="http://schemas.openxmlformats.org/officeDocument/2006/relationships/hyperlink" Target="http://cec.health.nsw.gov.au/__data/assets/pdf_file/0016/554110/A-Guide-to-Medication-Reviews-for-NSW-Health-Services-2019.PDF" TargetMode="External"/><Relationship Id="rId50" Type="http://schemas.openxmlformats.org/officeDocument/2006/relationships/hyperlink" Target="https://www.cec.health.nsw.gov.au/__data/assets/pdf_file/0008/458999/Amended-Intravenous-Unfractionated-Heparin-Recommended-Standard.pdf" TargetMode="External"/><Relationship Id="rId55" Type="http://schemas.openxmlformats.org/officeDocument/2006/relationships/hyperlink" Target="https://www.victag.org.au/2._Andrew_Wilson_SCV_introduction__anticoagulants_Jul_1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smp.org/alerts/oral-anticoagulants-review-common-errors-and-risk-reduction-strategies" TargetMode="External"/><Relationship Id="rId2" Type="http://schemas.openxmlformats.org/officeDocument/2006/relationships/hyperlink" Target="https://onlinelibrary.wiley.com/doi/abs/10.1002/jppr.1576" TargetMode="External"/><Relationship Id="rId1" Type="http://schemas.openxmlformats.org/officeDocument/2006/relationships/hyperlink" Target="https://www.cec.health.nsw.gov.au/__data/assets/pdf_file/0006/458988/Guidelines-on-perioperative-management-of-anticoagulant-and-antiplatelet-agents.pdf" TargetMode="External"/><Relationship Id="rId5" Type="http://schemas.openxmlformats.org/officeDocument/2006/relationships/hyperlink" Target="https://pubmed.ncbi.nlm.nih.gov/31045622/" TargetMode="External"/><Relationship Id="rId4" Type="http://schemas.openxmlformats.org/officeDocument/2006/relationships/hyperlink" Target="https://qualitysafety.bmj.com/content/early/2020/08/17/bmjqs-2020-01147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18\OLIVEK\Documents\Offline%20Records%20(CP)\EH%20&amp;%20MS%20high%20risk%20medicines%20AE%20surveillance%20and%20~%20HEALTH%20SAFETY%20QUALITY%20-%20Implementation\Confidential-%20Collated%20Anticoagulant%20Incident%20Data%20%20Template-WI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UserEnv\Users\User_18\OLIVEK\Documents\Offline%20Records%20(CP)\EH%20~%20HEALTH%20SAFETY%20QUALITY%20-%20Implementation(19)\Confidential-%20Collated%20Anticoagulant%20Incident%20Data%20%20Template-WI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UserEnv\Users\User_18\OLIVEK\Documents\Offline%20Records%20(CP)\EH%20&amp;%20MS%20high%20risk%20medicines%20AE%20surveillance%20and%20~%20HEALTH%20SAFETY%20QUALITY%20-%20Implementation(2)\Confidential-%20Collated%20Anticoagulant%20Incident%20Data%20%20Template-WI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UserEnv\Users\User_18\OLIVEK\Documents\Offline%20Records%20(CP)\EH%20&amp;%20MS%20high%20risk%20medicines%20AE%20surveillance%20and%20~%20HEALTH%20SAFETY%20QUALITY%20-%20Implementation(2)\Confidential-%20Collated%20Anticoagulant%20Incident%20Data%20%20Template-WI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l.Health\DFSUserEnv\Users\User_18\OLIVEK\Documents\Offline%20Records%20(CP)\EH%20~%20HEALTH%20SAFETY%20QUALITY%20-%20Implementation(19)\Confidential-%20Collated%20Anticoagulant%20Incident%20Data%20%20Template-WIP.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[Confidential- Collated Anticoagulant Incident Data  Template-WIP.XLSX]Fig1- AntiCoagulant Incidents!PivotTable12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AU">
                <a:solidFill>
                  <a:schemeClr val="tx1">
                    <a:lumMod val="75000"/>
                    <a:lumOff val="25000"/>
                  </a:schemeClr>
                </a:solidFill>
              </a:rPr>
              <a:t>Proportion of each anticoagulant medicine class </a:t>
            </a:r>
            <a:br>
              <a:rPr lang="en-AU">
                <a:solidFill>
                  <a:schemeClr val="tx1">
                    <a:lumMod val="75000"/>
                    <a:lumOff val="25000"/>
                  </a:schemeClr>
                </a:solidFill>
              </a:rPr>
            </a:br>
            <a:r>
              <a:rPr lang="en-AU">
                <a:solidFill>
                  <a:schemeClr val="tx1">
                    <a:lumMod val="75000"/>
                    <a:lumOff val="25000"/>
                  </a:schemeClr>
                </a:solidFill>
              </a:rPr>
              <a:t>involved in incidents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US"/>
        </a:p>
      </c:txPr>
    </c:title>
    <c:autoTitleDeleted val="0"/>
    <c:pivotFmts>
      <c:pivotFmt>
        <c:idx val="0"/>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dLbl>
          <c:idx val="0"/>
          <c:tx>
            <c:rich>
              <a:bodyPr/>
              <a:lstStyle/>
              <a:p>
                <a:r>
                  <a:rPr lang="en-US"/>
                  <a:t>0.3%</a:t>
                </a:r>
              </a:p>
            </c:rich>
          </c:tx>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3"/>
        <c:dLbl>
          <c:idx val="0"/>
          <c:tx>
            <c:rich>
              <a:bodyPr/>
              <a:lstStyle/>
              <a:p>
                <a:r>
                  <a:rPr lang="en-US"/>
                  <a:t>0.3%</a:t>
                </a:r>
              </a:p>
            </c:rich>
          </c:tx>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4"/>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5"/>
        <c:dLbl>
          <c:idx val="0"/>
          <c:tx>
            <c:rich>
              <a:bodyPr/>
              <a:lstStyle/>
              <a:p>
                <a:r>
                  <a:rPr lang="en-US"/>
                  <a:t>0.3%</a:t>
                </a:r>
              </a:p>
            </c:rich>
          </c:tx>
          <c:showLegendKey val="0"/>
          <c:showVal val="0"/>
          <c:showCatName val="0"/>
          <c:showSerName val="0"/>
          <c:showPercent val="1"/>
          <c:showBubbleSize val="0"/>
          <c:extLst>
            <c:ext xmlns:c15="http://schemas.microsoft.com/office/drawing/2012/chart" uri="{CE6537A1-D6FC-4f65-9D91-7224C49458BB}">
              <c15:showDataLabelsRange val="0"/>
            </c:ext>
          </c:extLst>
        </c:dLbl>
      </c:pivotFmt>
    </c:pivotFmts>
    <c:plotArea>
      <c:layout/>
      <c:pieChart>
        <c:varyColors val="1"/>
        <c:ser>
          <c:idx val="0"/>
          <c:order val="0"/>
          <c:tx>
            <c:strRef>
              <c:f>'Fig1- AntiCoagulant Incidents'!$B$3</c:f>
              <c:strCache>
                <c:ptCount val="1"/>
                <c:pt idx="0">
                  <c:v>Total</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5-9A45-0B4B-AA68-289934CCC9A1}"/>
              </c:ext>
            </c:extLst>
          </c:dPt>
          <c:dPt>
            <c:idx val="1"/>
            <c:bubble3D val="0"/>
            <c:spPr>
              <a:solidFill>
                <a:schemeClr val="accent2"/>
              </a:solidFill>
              <a:ln w="19050">
                <a:noFill/>
              </a:ln>
              <a:effectLst/>
            </c:spPr>
            <c:extLst>
              <c:ext xmlns:c16="http://schemas.microsoft.com/office/drawing/2014/chart" uri="{C3380CC4-5D6E-409C-BE32-E72D297353CC}">
                <c16:uniqueId val="{00000006-9A45-0B4B-AA68-289934CCC9A1}"/>
              </c:ext>
            </c:extLst>
          </c:dPt>
          <c:dPt>
            <c:idx val="2"/>
            <c:bubble3D val="0"/>
            <c:spPr>
              <a:solidFill>
                <a:schemeClr val="accent3"/>
              </a:solidFill>
              <a:ln w="19050">
                <a:noFill/>
              </a:ln>
              <a:effectLst/>
            </c:spPr>
            <c:extLst>
              <c:ext xmlns:c16="http://schemas.microsoft.com/office/drawing/2014/chart" uri="{C3380CC4-5D6E-409C-BE32-E72D297353CC}">
                <c16:uniqueId val="{00000007-9A45-0B4B-AA68-289934CCC9A1}"/>
              </c:ext>
            </c:extLst>
          </c:dPt>
          <c:dPt>
            <c:idx val="3"/>
            <c:bubble3D val="0"/>
            <c:spPr>
              <a:solidFill>
                <a:schemeClr val="accent4"/>
              </a:solidFill>
              <a:ln w="19050">
                <a:noFill/>
              </a:ln>
              <a:effectLst/>
            </c:spPr>
            <c:extLst>
              <c:ext xmlns:c16="http://schemas.microsoft.com/office/drawing/2014/chart" uri="{C3380CC4-5D6E-409C-BE32-E72D297353CC}">
                <c16:uniqueId val="{00000008-9A45-0B4B-AA68-289934CCC9A1}"/>
              </c:ext>
            </c:extLst>
          </c:dPt>
          <c:dPt>
            <c:idx val="4"/>
            <c:bubble3D val="0"/>
            <c:spPr>
              <a:solidFill>
                <a:schemeClr val="accent5"/>
              </a:solidFill>
              <a:ln w="19050">
                <a:noFill/>
              </a:ln>
              <a:effectLst/>
            </c:spPr>
            <c:extLst>
              <c:ext xmlns:c16="http://schemas.microsoft.com/office/drawing/2014/chart" uri="{C3380CC4-5D6E-409C-BE32-E72D297353CC}">
                <c16:uniqueId val="{00000000-0AF7-4A7A-BB2F-F32750246C77}"/>
              </c:ext>
            </c:extLst>
          </c:dPt>
          <c:dLbls>
            <c:dLbl>
              <c:idx val="0"/>
              <c:layout>
                <c:manualLayout>
                  <c:x val="-8.5699354173403172E-2"/>
                  <c:y val="0.194466485515109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45-0B4B-AA68-289934CCC9A1}"/>
                </c:ext>
              </c:extLst>
            </c:dLbl>
            <c:dLbl>
              <c:idx val="1"/>
              <c:layout>
                <c:manualLayout>
                  <c:x val="-4.9255682662308724E-2"/>
                  <c:y val="0.186949564049808"/>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A45-0B4B-AA68-289934CCC9A1}"/>
                </c:ext>
              </c:extLst>
            </c:dLbl>
            <c:dLbl>
              <c:idx val="2"/>
              <c:layout>
                <c:manualLayout>
                  <c:x val="0.13195347251959766"/>
                  <c:y val="-0.169161117815069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45-0B4B-AA68-289934CCC9A1}"/>
                </c:ext>
              </c:extLst>
            </c:dLbl>
            <c:dLbl>
              <c:idx val="3"/>
              <c:layout>
                <c:manualLayout>
                  <c:x val="-5.2998855165301895E-2"/>
                  <c:y val="2.78681124065666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A45-0B4B-AA68-289934CCC9A1}"/>
                </c:ext>
              </c:extLst>
            </c:dLbl>
            <c:dLbl>
              <c:idx val="4"/>
              <c:layout>
                <c:manualLayout>
                  <c:x val="-0.14427451563005236"/>
                  <c:y val="3.2773673412102411E-2"/>
                </c:manualLayout>
              </c:layout>
              <c:tx>
                <c:rich>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r>
                      <a:rPr lang="en-US">
                        <a:solidFill>
                          <a:schemeClr val="tx1">
                            <a:lumMod val="75000"/>
                            <a:lumOff val="25000"/>
                          </a:schemeClr>
                        </a:solidFill>
                      </a:rPr>
                      <a:t>0.3%</a:t>
                    </a:r>
                  </a:p>
                </c:rich>
              </c:tx>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0AF7-4A7A-BB2F-F32750246C7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'Fig1- AntiCoagulant Incidents'!$A$4:$A$9</c:f>
              <c:strCache>
                <c:ptCount val="5"/>
                <c:pt idx="0">
                  <c:v>Direct Oral Anticoagulant (DOAC)</c:v>
                </c:pt>
                <c:pt idx="1">
                  <c:v>Heparins</c:v>
                </c:pt>
                <c:pt idx="2">
                  <c:v>Low Molecular Weight Heparins (LMWH)</c:v>
                </c:pt>
                <c:pt idx="3">
                  <c:v>Vitamin K antagonists</c:v>
                </c:pt>
                <c:pt idx="4">
                  <c:v>Factor Xa inhibitor</c:v>
                </c:pt>
              </c:strCache>
            </c:strRef>
          </c:cat>
          <c:val>
            <c:numRef>
              <c:f>'Fig1- AntiCoagulant Incidents'!$B$4:$B$9</c:f>
              <c:numCache>
                <c:formatCode>General</c:formatCode>
                <c:ptCount val="5"/>
                <c:pt idx="0">
                  <c:v>49</c:v>
                </c:pt>
                <c:pt idx="1">
                  <c:v>115</c:v>
                </c:pt>
                <c:pt idx="2">
                  <c:v>107</c:v>
                </c:pt>
                <c:pt idx="3">
                  <c:v>76</c:v>
                </c:pt>
                <c:pt idx="4">
                  <c:v>1</c:v>
                </c:pt>
              </c:numCache>
            </c:numRef>
          </c:val>
          <c:extLst>
            <c:ext xmlns:c16="http://schemas.microsoft.com/office/drawing/2014/chart" uri="{C3380CC4-5D6E-409C-BE32-E72D297353CC}">
              <c16:uniqueId val="{00000001-0AF7-4A7A-BB2F-F32750246C7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5806601588785876"/>
          <c:y val="0.28092142798631281"/>
          <c:w val="0.42830538247092032"/>
          <c:h val="0.51298803017390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[Confidential- Collated Anticoagulant Incident Data  Template-WIP.XLSX]Fig5- DOAC Incidents!PivotTable22</c:name>
    <c:fmtId val="-1"/>
  </c:pivotSource>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US">
                <a:solidFill>
                  <a:schemeClr val="tx1">
                    <a:lumMod val="75000"/>
                    <a:lumOff val="25000"/>
                  </a:schemeClr>
                </a:solidFill>
              </a:rPr>
              <a:t>Type of DOAC involved in reported incidents</a:t>
            </a:r>
          </a:p>
        </c:rich>
      </c:tx>
      <c:layout>
        <c:manualLayout>
          <c:xMode val="edge"/>
          <c:yMode val="edge"/>
          <c:x val="0.18817292476153755"/>
          <c:y val="3.40947834981247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US"/>
        </a:p>
      </c:txPr>
    </c:title>
    <c:autoTitleDeleted val="0"/>
    <c:pivotFmts>
      <c:pivotFmt>
        <c:idx val="0"/>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0.11474777152966673"/>
          <c:y val="0.16789323071613105"/>
          <c:w val="0.50421023430125744"/>
          <c:h val="0.74435747052717527"/>
        </c:manualLayout>
      </c:layout>
      <c:pieChart>
        <c:varyColors val="1"/>
        <c:ser>
          <c:idx val="0"/>
          <c:order val="0"/>
          <c:tx>
            <c:strRef>
              <c:f>'Fig5- DOAC Incidents'!$B$4:$B$5</c:f>
              <c:strCache>
                <c:ptCount val="1"/>
                <c:pt idx="0">
                  <c:v>Total</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0-1D62-AF40-A647-8E1A640C9719}"/>
              </c:ext>
            </c:extLst>
          </c:dPt>
          <c:dPt>
            <c:idx val="1"/>
            <c:bubble3D val="0"/>
            <c:spPr>
              <a:solidFill>
                <a:schemeClr val="accent2"/>
              </a:solidFill>
              <a:ln w="19050">
                <a:noFill/>
              </a:ln>
              <a:effectLst/>
            </c:spPr>
            <c:extLst>
              <c:ext xmlns:c16="http://schemas.microsoft.com/office/drawing/2014/chart" uri="{C3380CC4-5D6E-409C-BE32-E72D297353CC}">
                <c16:uniqueId val="{00000001-1D62-AF40-A647-8E1A640C9719}"/>
              </c:ext>
            </c:extLst>
          </c:dPt>
          <c:dPt>
            <c:idx val="2"/>
            <c:bubble3D val="0"/>
            <c:spPr>
              <a:solidFill>
                <a:schemeClr val="accent3"/>
              </a:solidFill>
              <a:ln w="19050">
                <a:noFill/>
              </a:ln>
              <a:effectLst/>
            </c:spPr>
            <c:extLst>
              <c:ext xmlns:c16="http://schemas.microsoft.com/office/drawing/2014/chart" uri="{C3380CC4-5D6E-409C-BE32-E72D297353CC}">
                <c16:uniqueId val="{00000002-1D62-AF40-A647-8E1A640C9719}"/>
              </c:ext>
            </c:extLst>
          </c:dPt>
          <c:dLbls>
            <c:dLbl>
              <c:idx val="0"/>
              <c:layout>
                <c:manualLayout>
                  <c:x val="-0.18200954024332155"/>
                  <c:y val="5.9536069327849529E-2"/>
                </c:manualLayout>
              </c:layout>
              <c:showLegendKey val="0"/>
              <c:showVal val="0"/>
              <c:showCatName val="0"/>
              <c:showSerName val="0"/>
              <c:showPercent val="1"/>
              <c:showBubbleSize val="0"/>
              <c:extLst>
                <c:ext xmlns:c15="http://schemas.microsoft.com/office/drawing/2012/chart" uri="{CE6537A1-D6FC-4f65-9D91-7224C49458BB}">
                  <c15:layout>
                    <c:manualLayout>
                      <c:w val="9.0892975847551502E-2"/>
                      <c:h val="6.5121036481418329E-2"/>
                    </c:manualLayout>
                  </c15:layout>
                </c:ext>
                <c:ext xmlns:c16="http://schemas.microsoft.com/office/drawing/2014/chart" uri="{C3380CC4-5D6E-409C-BE32-E72D297353CC}">
                  <c16:uniqueId val="{00000000-1D62-AF40-A647-8E1A640C9719}"/>
                </c:ext>
              </c:extLst>
            </c:dLbl>
            <c:dLbl>
              <c:idx val="1"/>
              <c:layout>
                <c:manualLayout>
                  <c:x val="6.7966207857964131E-2"/>
                  <c:y val="-4.5300423365933675E-3"/>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62-AF40-A647-8E1A640C9719}"/>
                </c:ext>
              </c:extLst>
            </c:dLbl>
            <c:dLbl>
              <c:idx val="2"/>
              <c:layout>
                <c:manualLayout>
                  <c:x val="0.20478547538083333"/>
                  <c:y val="4.3269501813466638E-3"/>
                </c:manualLayout>
              </c:layout>
              <c:showLegendKey val="0"/>
              <c:showVal val="0"/>
              <c:showCatName val="0"/>
              <c:showSerName val="0"/>
              <c:showPercent val="1"/>
              <c:showBubbleSize val="0"/>
              <c:extLst>
                <c:ext xmlns:c15="http://schemas.microsoft.com/office/drawing/2012/chart" uri="{CE6537A1-D6FC-4f65-9D91-7224C49458BB}">
                  <c15:layout>
                    <c:manualLayout>
                      <c:w val="9.7540438732550416E-2"/>
                      <c:h val="6.5121036481418329E-2"/>
                    </c:manualLayout>
                  </c15:layout>
                </c:ext>
                <c:ext xmlns:c16="http://schemas.microsoft.com/office/drawing/2014/chart" uri="{C3380CC4-5D6E-409C-BE32-E72D297353CC}">
                  <c16:uniqueId val="{00000002-1D62-AF40-A647-8E1A640C971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'Fig5- DOAC Incidents'!$A$6:$A$9</c:f>
              <c:strCache>
                <c:ptCount val="3"/>
                <c:pt idx="0">
                  <c:v>Apixaban</c:v>
                </c:pt>
                <c:pt idx="1">
                  <c:v>Dabigatran</c:v>
                </c:pt>
                <c:pt idx="2">
                  <c:v>Rivaroxaban</c:v>
                </c:pt>
              </c:strCache>
            </c:strRef>
          </c:cat>
          <c:val>
            <c:numRef>
              <c:f>'Fig5- DOAC Incidents'!$B$6:$B$9</c:f>
              <c:numCache>
                <c:formatCode>General</c:formatCode>
                <c:ptCount val="3"/>
                <c:pt idx="0">
                  <c:v>23</c:v>
                </c:pt>
                <c:pt idx="1">
                  <c:v>2</c:v>
                </c:pt>
                <c:pt idx="2">
                  <c:v>25</c:v>
                </c:pt>
              </c:numCache>
            </c:numRef>
          </c:val>
          <c:extLst>
            <c:ext xmlns:c16="http://schemas.microsoft.com/office/drawing/2014/chart" uri="{C3380CC4-5D6E-409C-BE32-E72D297353CC}">
              <c16:uniqueId val="{00000000-5D3D-4D9C-B3BB-C5F1E54BDA8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842565048303157"/>
          <c:y val="0.44073086939910588"/>
          <c:w val="0.25299912239531985"/>
          <c:h val="0.19779594533092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[Confidential- Collated Anticoagulant Incident Data  Template-WIP.XLSX]Fig2- Process Type Breakdown!PivotTable14</c:name>
    <c:fmtId val="-1"/>
  </c:pivotSource>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US">
                <a:solidFill>
                  <a:schemeClr val="tx1">
                    <a:lumMod val="75000"/>
                    <a:lumOff val="25000"/>
                  </a:schemeClr>
                </a:solidFill>
              </a:rPr>
              <a:t>Breakdown of incident process types for all anticoagulants</a:t>
            </a:r>
          </a:p>
        </c:rich>
      </c:tx>
      <c:layout>
        <c:manualLayout>
          <c:xMode val="edge"/>
          <c:yMode val="edge"/>
          <c:x val="0.12077772858828136"/>
          <c:y val="2.42368306217730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US"/>
        </a:p>
      </c:txPr>
    </c:title>
    <c:autoTitleDeleted val="0"/>
    <c:pivotFmts>
      <c:pivotFmt>
        <c:idx val="0"/>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6344237621638289"/>
          <c:y val="0.16514193157484328"/>
          <c:w val="0.6323863731592938"/>
          <c:h val="0.76448261524935668"/>
        </c:manualLayout>
      </c:layout>
      <c:barChart>
        <c:barDir val="bar"/>
        <c:grouping val="stacked"/>
        <c:varyColors val="0"/>
        <c:ser>
          <c:idx val="0"/>
          <c:order val="0"/>
          <c:tx>
            <c:strRef>
              <c:f>'Fig2- Process Type Breakdown'!$B$2</c:f>
              <c:strCache>
                <c:ptCount val="1"/>
                <c:pt idx="0">
                  <c:v>Total</c:v>
                </c:pt>
              </c:strCache>
            </c:strRef>
          </c:tx>
          <c:spPr>
            <a:solidFill>
              <a:schemeClr val="accent2"/>
            </a:solidFill>
            <a:ln>
              <a:noFill/>
            </a:ln>
            <a:effectLst/>
          </c:spPr>
          <c:invertIfNegative val="0"/>
          <c:dLbls>
            <c:dLbl>
              <c:idx val="0"/>
              <c:layout>
                <c:manualLayout>
                  <c:x val="0.283826237677391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43-4022-A78E-EF6D8AB67999}"/>
                </c:ext>
              </c:extLst>
            </c:dLbl>
            <c:dLbl>
              <c:idx val="1"/>
              <c:layout>
                <c:manualLayout>
                  <c:x val="1.7332900010833024E-2"/>
                  <c:y val="2.574469755772926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DD-054D-8DA1-CEF35CB243B7}"/>
                </c:ext>
              </c:extLst>
            </c:dLbl>
            <c:dLbl>
              <c:idx val="2"/>
              <c:layout>
                <c:manualLayout>
                  <c:x val="2.2749431264218394E-2"/>
                  <c:y val="2.5744697563723422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0343493381169408E-2"/>
                      <c:h val="4.361615170835377E-2"/>
                    </c:manualLayout>
                  </c15:layout>
                </c:ext>
                <c:ext xmlns:c16="http://schemas.microsoft.com/office/drawing/2014/chart" uri="{C3380CC4-5D6E-409C-BE32-E72D297353CC}">
                  <c16:uniqueId val="{00000001-1CDD-054D-8DA1-CEF35CB243B7}"/>
                </c:ext>
              </c:extLst>
            </c:dLbl>
            <c:dLbl>
              <c:idx val="3"/>
              <c:layout>
                <c:manualLayout>
                  <c:x val="1.516628750947893E-2"/>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9009943386585942E-2"/>
                      <c:h val="4.361615170835377E-2"/>
                    </c:manualLayout>
                  </c15:layout>
                </c:ext>
                <c:ext xmlns:c16="http://schemas.microsoft.com/office/drawing/2014/chart" uri="{C3380CC4-5D6E-409C-BE32-E72D297353CC}">
                  <c16:uniqueId val="{00000002-1CDD-054D-8DA1-CEF35CB243B7}"/>
                </c:ext>
              </c:extLst>
            </c:dLbl>
            <c:dLbl>
              <c:idx val="4"/>
              <c:layout>
                <c:manualLayout>
                  <c:x val="3.6832412523020219E-2"/>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3353916152096196E-2"/>
                      <c:h val="4.361615170835377E-2"/>
                    </c:manualLayout>
                  </c15:layout>
                </c:ext>
                <c:ext xmlns:c16="http://schemas.microsoft.com/office/drawing/2014/chart" uri="{C3380CC4-5D6E-409C-BE32-E72D297353CC}">
                  <c16:uniqueId val="{00000001-B743-4022-A78E-EF6D8AB67999}"/>
                </c:ext>
              </c:extLst>
            </c:dLbl>
            <c:dLbl>
              <c:idx val="5"/>
              <c:layout>
                <c:manualLayout>
                  <c:x val="0.17441230635900762"/>
                  <c:y val="2.5744697569717578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031113920314724E-2"/>
                      <c:h val="4.361615170835377E-2"/>
                    </c:manualLayout>
                  </c15:layout>
                </c:ext>
                <c:ext xmlns:c16="http://schemas.microsoft.com/office/drawing/2014/chart" uri="{C3380CC4-5D6E-409C-BE32-E72D297353CC}">
                  <c16:uniqueId val="{00000002-B743-4022-A78E-EF6D8AB67999}"/>
                </c:ext>
              </c:extLst>
            </c:dLbl>
            <c:dLbl>
              <c:idx val="6"/>
              <c:layout>
                <c:manualLayout>
                  <c:x val="1.7332900010833024E-2"/>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9009943386585942E-2"/>
                      <c:h val="4.361615170835377E-2"/>
                    </c:manualLayout>
                  </c15:layout>
                </c:ext>
                <c:ext xmlns:c16="http://schemas.microsoft.com/office/drawing/2014/chart" uri="{C3380CC4-5D6E-409C-BE32-E72D297353CC}">
                  <c16:uniqueId val="{00000003-1CDD-054D-8DA1-CEF35CB243B7}"/>
                </c:ext>
              </c:extLst>
            </c:dLbl>
            <c:dLbl>
              <c:idx val="7"/>
              <c:layout>
                <c:manualLayout>
                  <c:x val="1.516628750947893E-2"/>
                  <c:y val="2.5744697557729266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98430058933566E-2"/>
                      <c:h val="4.361615170835377E-2"/>
                    </c:manualLayout>
                  </c15:layout>
                </c:ext>
                <c:ext xmlns:c16="http://schemas.microsoft.com/office/drawing/2014/chart" uri="{C3380CC4-5D6E-409C-BE32-E72D297353CC}">
                  <c16:uniqueId val="{00000004-1CDD-054D-8DA1-CEF35CB243B7}"/>
                </c:ext>
              </c:extLst>
            </c:dLbl>
            <c:dLbl>
              <c:idx val="8"/>
              <c:layout>
                <c:manualLayout>
                  <c:x val="2.3832737514895459E-2"/>
                  <c:y val="2.5744697569717578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6342843397419004E-2"/>
                      <c:h val="4.361615170835377E-2"/>
                    </c:manualLayout>
                  </c15:layout>
                </c:ext>
                <c:ext xmlns:c16="http://schemas.microsoft.com/office/drawing/2014/chart" uri="{C3380CC4-5D6E-409C-BE32-E72D297353CC}">
                  <c16:uniqueId val="{00000003-B743-4022-A78E-EF6D8AB679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 Process Type Breakdown'!$A$3:$A$12</c:f>
              <c:strCache>
                <c:ptCount val="9"/>
                <c:pt idx="0">
                  <c:v>Administration</c:v>
                </c:pt>
                <c:pt idx="1">
                  <c:v>Consumer advice and information</c:v>
                </c:pt>
                <c:pt idx="2">
                  <c:v>Dispensing</c:v>
                </c:pt>
                <c:pt idx="3">
                  <c:v>Documentation</c:v>
                </c:pt>
                <c:pt idx="4">
                  <c:v>Post monitoring</c:v>
                </c:pt>
                <c:pt idx="5">
                  <c:v>Prescribing</c:v>
                </c:pt>
                <c:pt idx="6">
                  <c:v>Self-administration</c:v>
                </c:pt>
                <c:pt idx="7">
                  <c:v>Storage</c:v>
                </c:pt>
                <c:pt idx="8">
                  <c:v>Supply</c:v>
                </c:pt>
              </c:strCache>
            </c:strRef>
          </c:cat>
          <c:val>
            <c:numRef>
              <c:f>'Fig2- Process Type Breakdown'!$B$3:$B$12</c:f>
              <c:numCache>
                <c:formatCode>General</c:formatCode>
                <c:ptCount val="9"/>
                <c:pt idx="0">
                  <c:v>203</c:v>
                </c:pt>
                <c:pt idx="1">
                  <c:v>2</c:v>
                </c:pt>
                <c:pt idx="2">
                  <c:v>3</c:v>
                </c:pt>
                <c:pt idx="3">
                  <c:v>1</c:v>
                </c:pt>
                <c:pt idx="4">
                  <c:v>14</c:v>
                </c:pt>
                <c:pt idx="5">
                  <c:v>115</c:v>
                </c:pt>
                <c:pt idx="6">
                  <c:v>4</c:v>
                </c:pt>
                <c:pt idx="7">
                  <c:v>1</c:v>
                </c:pt>
                <c:pt idx="8">
                  <c:v>5</c:v>
                </c:pt>
              </c:numCache>
            </c:numRef>
          </c:val>
          <c:extLst>
            <c:ext xmlns:c16="http://schemas.microsoft.com/office/drawing/2014/chart" uri="{C3380CC4-5D6E-409C-BE32-E72D297353CC}">
              <c16:uniqueId val="{00000000-3FE7-4C80-80FF-ADA82B76E7F4}"/>
            </c:ext>
          </c:extLst>
        </c:ser>
        <c:dLbls>
          <c:dLblPos val="ctr"/>
          <c:showLegendKey val="0"/>
          <c:showVal val="1"/>
          <c:showCatName val="0"/>
          <c:showSerName val="0"/>
          <c:showPercent val="0"/>
          <c:showBubbleSize val="0"/>
        </c:dLbls>
        <c:gapWidth val="150"/>
        <c:overlap val="100"/>
        <c:axId val="731162520"/>
        <c:axId val="731158912"/>
      </c:barChart>
      <c:valAx>
        <c:axId val="73115891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731162520"/>
        <c:crosses val="autoZero"/>
        <c:crossBetween val="between"/>
      </c:valAx>
      <c:catAx>
        <c:axId val="731162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731158912"/>
        <c:crosses val="autoZero"/>
        <c:auto val="1"/>
        <c:lblAlgn val="ctr"/>
        <c:lblOffset val="100"/>
        <c:noMultiLvlLbl val="0"/>
      </c:catAx>
      <c:spPr>
        <a:noFill/>
        <a:ln>
          <a:noFill/>
        </a:ln>
        <a:effectLst/>
      </c:spPr>
    </c:plotArea>
    <c:legend>
      <c:legendPos val="r"/>
      <c:layout>
        <c:manualLayout>
          <c:xMode val="edge"/>
          <c:yMode val="edge"/>
          <c:x val="0.44739439256800734"/>
          <c:y val="0.94358821871150367"/>
          <c:w val="0.18644809470314425"/>
          <c:h val="5.4185587086988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AU">
                <a:solidFill>
                  <a:schemeClr val="tx1">
                    <a:lumMod val="75000"/>
                    <a:lumOff val="25000"/>
                  </a:schemeClr>
                </a:solidFill>
              </a:rPr>
              <a:t>Top 10 incidents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US"/>
        </a:p>
      </c:txPr>
    </c:title>
    <c:autoTitleDeleted val="0"/>
    <c:pivotFmts>
      <c:pivotFmt>
        <c:idx val="0"/>
        <c:marker>
          <c:symbol val="none"/>
        </c:marker>
      </c:pivotFmt>
    </c:pivotFmts>
    <c:plotArea>
      <c:layout/>
      <c:barChart>
        <c:barDir val="bar"/>
        <c:grouping val="clustered"/>
        <c:varyColors val="0"/>
        <c:ser>
          <c:idx val="1"/>
          <c:order val="0"/>
          <c:tx>
            <c:strRef>
              <c:f>'Fig- Top 10 Incident type'!$B$3</c:f>
              <c:strCache>
                <c:ptCount val="1"/>
                <c:pt idx="0">
                  <c:v>Incident Count</c:v>
                </c:pt>
              </c:strCache>
            </c:strRef>
          </c:tx>
          <c:spPr>
            <a:solidFill>
              <a:schemeClr val="accent2"/>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Top 10 Incident type'!$A$4:$A$13</c:f>
              <c:strCache>
                <c:ptCount val="10"/>
                <c:pt idx="0">
                  <c:v>Omitted dose</c:v>
                </c:pt>
                <c:pt idx="1">
                  <c:v>Incorrect dose</c:v>
                </c:pt>
                <c:pt idx="2">
                  <c:v>Duplicate therapy</c:v>
                </c:pt>
                <c:pt idx="3">
                  <c:v>Duplicate dose</c:v>
                </c:pt>
                <c:pt idx="4">
                  <c:v>Medication not prescribed</c:v>
                </c:pt>
                <c:pt idx="5">
                  <c:v>Incomplete prescription</c:v>
                </c:pt>
                <c:pt idx="6">
                  <c:v>Incorrect rate of administration</c:v>
                </c:pt>
                <c:pt idx="7">
                  <c:v>Incorrect medication</c:v>
                </c:pt>
                <c:pt idx="8">
                  <c:v>Unclear</c:v>
                </c:pt>
                <c:pt idx="9">
                  <c:v>Failure to administer</c:v>
                </c:pt>
              </c:strCache>
            </c:strRef>
          </c:cat>
          <c:val>
            <c:numRef>
              <c:f>'Fig- Top 10 Incident type'!$B$4:$B$13</c:f>
              <c:numCache>
                <c:formatCode>General</c:formatCode>
                <c:ptCount val="10"/>
                <c:pt idx="0">
                  <c:v>72</c:v>
                </c:pt>
                <c:pt idx="1">
                  <c:v>24</c:v>
                </c:pt>
                <c:pt idx="2">
                  <c:v>23</c:v>
                </c:pt>
                <c:pt idx="3">
                  <c:v>18</c:v>
                </c:pt>
                <c:pt idx="4">
                  <c:v>18</c:v>
                </c:pt>
                <c:pt idx="5">
                  <c:v>16</c:v>
                </c:pt>
                <c:pt idx="6">
                  <c:v>16</c:v>
                </c:pt>
                <c:pt idx="7">
                  <c:v>13</c:v>
                </c:pt>
                <c:pt idx="8">
                  <c:v>11</c:v>
                </c:pt>
                <c:pt idx="9">
                  <c:v>9</c:v>
                </c:pt>
              </c:numCache>
            </c:numRef>
          </c:val>
          <c:extLst>
            <c:ext xmlns:c16="http://schemas.microsoft.com/office/drawing/2014/chart" uri="{C3380CC4-5D6E-409C-BE32-E72D297353CC}">
              <c16:uniqueId val="{00000000-35BC-40B0-9C64-95234E72521E}"/>
            </c:ext>
          </c:extLst>
        </c:ser>
        <c:dLbls>
          <c:showLegendKey val="0"/>
          <c:showVal val="0"/>
          <c:showCatName val="0"/>
          <c:showSerName val="0"/>
          <c:showPercent val="0"/>
          <c:showBubbleSize val="0"/>
        </c:dLbls>
        <c:gapWidth val="182"/>
        <c:axId val="249344000"/>
        <c:axId val="249345536"/>
      </c:barChart>
      <c:catAx>
        <c:axId val="24934400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49345536"/>
        <c:crosses val="autoZero"/>
        <c:auto val="0"/>
        <c:lblAlgn val="ctr"/>
        <c:lblOffset val="100"/>
        <c:noMultiLvlLbl val="0"/>
      </c:catAx>
      <c:valAx>
        <c:axId val="2493455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4934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r>
              <a:rPr lang="en-US">
                <a:solidFill>
                  <a:schemeClr val="tx1">
                    <a:lumMod val="75000"/>
                    <a:lumOff val="25000"/>
                  </a:schemeClr>
                </a:solidFill>
              </a:rPr>
              <a:t>Top 10 administration incident types</a:t>
            </a:r>
          </a:p>
        </c:rich>
      </c:tx>
      <c:layout>
        <c:manualLayout>
          <c:xMode val="edge"/>
          <c:yMode val="edge"/>
          <c:x val="0.24387429077720982"/>
          <c:y val="2.9751003040919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1"/>
          <c:order val="0"/>
          <c:tx>
            <c:strRef>
              <c:f>'Top 10 Administratin Incidents'!$G$3</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'Top 10 Administratin Incidents'!$F$4:$F$13</c:f>
              <c:strCache>
                <c:ptCount val="10"/>
                <c:pt idx="0">
                  <c:v>Omitted dose</c:v>
                </c:pt>
                <c:pt idx="1">
                  <c:v>Incorrect rate of administration</c:v>
                </c:pt>
                <c:pt idx="2">
                  <c:v>Duplicate dose</c:v>
                </c:pt>
                <c:pt idx="3">
                  <c:v>Incorrect dose</c:v>
                </c:pt>
                <c:pt idx="4">
                  <c:v>Failure to administer</c:v>
                </c:pt>
                <c:pt idx="5">
                  <c:v>Administered when should have been withheld</c:v>
                </c:pt>
                <c:pt idx="6">
                  <c:v>Incorrect medication</c:v>
                </c:pt>
                <c:pt idx="7">
                  <c:v>Premature dosing</c:v>
                </c:pt>
                <c:pt idx="8">
                  <c:v>Incorrect dilution</c:v>
                </c:pt>
                <c:pt idx="9">
                  <c:v>Administered but not signed</c:v>
                </c:pt>
              </c:strCache>
            </c:strRef>
          </c:cat>
          <c:val>
            <c:numRef>
              <c:f>'Top 10 Administratin Incidents'!$G$4:$G$13</c:f>
              <c:numCache>
                <c:formatCode>General</c:formatCode>
                <c:ptCount val="10"/>
                <c:pt idx="0">
                  <c:v>64</c:v>
                </c:pt>
                <c:pt idx="1">
                  <c:v>14</c:v>
                </c:pt>
                <c:pt idx="2">
                  <c:v>12</c:v>
                </c:pt>
                <c:pt idx="3">
                  <c:v>12</c:v>
                </c:pt>
                <c:pt idx="4">
                  <c:v>9</c:v>
                </c:pt>
                <c:pt idx="5">
                  <c:v>8</c:v>
                </c:pt>
                <c:pt idx="6">
                  <c:v>8</c:v>
                </c:pt>
                <c:pt idx="7">
                  <c:v>8</c:v>
                </c:pt>
                <c:pt idx="8">
                  <c:v>7</c:v>
                </c:pt>
                <c:pt idx="9">
                  <c:v>6</c:v>
                </c:pt>
              </c:numCache>
            </c:numRef>
          </c:val>
          <c:extLst>
            <c:ext xmlns:c16="http://schemas.microsoft.com/office/drawing/2014/chart" uri="{C3380CC4-5D6E-409C-BE32-E72D297353CC}">
              <c16:uniqueId val="{00000000-4D4A-41E8-B10F-5401B971D75E}"/>
            </c:ext>
          </c:extLst>
        </c:ser>
        <c:dLbls>
          <c:showLegendKey val="0"/>
          <c:showVal val="0"/>
          <c:showCatName val="0"/>
          <c:showSerName val="0"/>
          <c:showPercent val="0"/>
          <c:showBubbleSize val="0"/>
        </c:dLbls>
        <c:gapWidth val="182"/>
        <c:axId val="249920128"/>
        <c:axId val="249921920"/>
      </c:barChart>
      <c:catAx>
        <c:axId val="24992012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49921920"/>
        <c:crosses val="autoZero"/>
        <c:auto val="1"/>
        <c:lblAlgn val="ctr"/>
        <c:lblOffset val="100"/>
        <c:noMultiLvlLbl val="0"/>
      </c:catAx>
      <c:valAx>
        <c:axId val="24992192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499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lumMod val="75000"/>
                    <a:lumOff val="25000"/>
                  </a:schemeClr>
                </a:solidFill>
              </a:rPr>
              <a:t>Top 10 prescribing incident types with all anticoagulants</a:t>
            </a:r>
          </a:p>
        </c:rich>
      </c:tx>
      <c:layout>
        <c:manualLayout>
          <c:xMode val="edge"/>
          <c:yMode val="edge"/>
          <c:x val="0.12760912918236206"/>
          <c:y val="3.94650231993263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'Top 10 Prescribing Incidents'!$F$1</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'Top 10 Prescribing Incidents'!$E$2:$E$11</c:f>
              <c:strCache>
                <c:ptCount val="10"/>
                <c:pt idx="0">
                  <c:v>Duplicate therapy</c:v>
                </c:pt>
                <c:pt idx="1">
                  <c:v>Medication not prescribed</c:v>
                </c:pt>
                <c:pt idx="2">
                  <c:v>Incomplete prescription</c:v>
                </c:pt>
                <c:pt idx="3">
                  <c:v>Incorrect dose</c:v>
                </c:pt>
                <c:pt idx="4">
                  <c:v>Documentation error-no dose</c:v>
                </c:pt>
                <c:pt idx="5">
                  <c:v>Incorrect medication</c:v>
                </c:pt>
                <c:pt idx="6">
                  <c:v>Incorrect route of administration</c:v>
                </c:pt>
                <c:pt idx="7">
                  <c:v>Omitted dose</c:v>
                </c:pt>
                <c:pt idx="8">
                  <c:v>Duplicate dose</c:v>
                </c:pt>
                <c:pt idx="9">
                  <c:v>Unclear</c:v>
                </c:pt>
              </c:strCache>
            </c:strRef>
          </c:cat>
          <c:val>
            <c:numRef>
              <c:f>'Top 10 Prescribing Incidents'!$F$2:$F$11</c:f>
              <c:numCache>
                <c:formatCode>General</c:formatCode>
                <c:ptCount val="10"/>
                <c:pt idx="0">
                  <c:v>22</c:v>
                </c:pt>
                <c:pt idx="1">
                  <c:v>17</c:v>
                </c:pt>
                <c:pt idx="2">
                  <c:v>16</c:v>
                </c:pt>
                <c:pt idx="3">
                  <c:v>8</c:v>
                </c:pt>
                <c:pt idx="4">
                  <c:v>8</c:v>
                </c:pt>
                <c:pt idx="5">
                  <c:v>5</c:v>
                </c:pt>
                <c:pt idx="6">
                  <c:v>5</c:v>
                </c:pt>
                <c:pt idx="7">
                  <c:v>5</c:v>
                </c:pt>
                <c:pt idx="8">
                  <c:v>4</c:v>
                </c:pt>
                <c:pt idx="9">
                  <c:v>4</c:v>
                </c:pt>
              </c:numCache>
            </c:numRef>
          </c:val>
          <c:extLst>
            <c:ext xmlns:c16="http://schemas.microsoft.com/office/drawing/2014/chart" uri="{C3380CC4-5D6E-409C-BE32-E72D297353CC}">
              <c16:uniqueId val="{00000000-EE9B-4203-88FD-AD7085937288}"/>
            </c:ext>
          </c:extLst>
        </c:ser>
        <c:dLbls>
          <c:showLegendKey val="0"/>
          <c:showVal val="0"/>
          <c:showCatName val="0"/>
          <c:showSerName val="0"/>
          <c:showPercent val="0"/>
          <c:showBubbleSize val="0"/>
        </c:dLbls>
        <c:gapWidth val="182"/>
        <c:axId val="249755520"/>
        <c:axId val="249757056"/>
      </c:barChart>
      <c:catAx>
        <c:axId val="24975552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49757056"/>
        <c:crosses val="autoZero"/>
        <c:auto val="1"/>
        <c:lblAlgn val="ctr"/>
        <c:lblOffset val="100"/>
        <c:noMultiLvlLbl val="0"/>
      </c:catAx>
      <c:valAx>
        <c:axId val="24975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249755520"/>
        <c:crosses val="autoZero"/>
        <c:crossBetween val="between"/>
      </c:valAx>
      <c:spPr>
        <a:noFill/>
        <a:ln>
          <a:noFill/>
        </a:ln>
        <a:effectLst/>
      </c:spPr>
    </c:plotArea>
    <c:legend>
      <c:legendPos val="b"/>
      <c:layout>
        <c:manualLayout>
          <c:xMode val="edge"/>
          <c:yMode val="edge"/>
          <c:x val="0.46137143614858911"/>
          <c:y val="0.90647836574752827"/>
          <c:w val="9.0552053472819569E-2"/>
          <c:h val="7.2217842177482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8CDF7-CFDA-481D-8F6E-4B60D6F7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1</TotalTime>
  <Pages>44</Pages>
  <Words>11827</Words>
  <Characters>67417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National Anticoagulant Incident Analysis</vt:lpstr>
    </vt:vector>
  </TitlesOfParts>
  <Manager/>
  <Company>Australian Commission on Safety and Quality in Health Care</Company>
  <LinksUpToDate>false</LinksUpToDate>
  <CharactersWithSpaces>79086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Anticoagulant Incident Analysis</dc:title>
  <dc:subject/>
  <dc:creator>Australian Commission on Safety and Quality in Health Care</dc:creator>
  <cp:keywords/>
  <dc:description/>
  <cp:lastModifiedBy>Microsoft Office User</cp:lastModifiedBy>
  <cp:revision>5</cp:revision>
  <cp:lastPrinted>2021-05-05T05:20:00Z</cp:lastPrinted>
  <dcterms:created xsi:type="dcterms:W3CDTF">2021-10-22T01:32:00Z</dcterms:created>
  <dcterms:modified xsi:type="dcterms:W3CDTF">2021-10-28T04:56:00Z</dcterms:modified>
  <cp:category/>
</cp:coreProperties>
</file>