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4F248" w14:textId="17E675F8" w:rsidR="00B160EF" w:rsidRPr="00A72B35" w:rsidRDefault="00824B99" w:rsidP="00987AC9">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17628C4A" w:rsidR="009932E9" w:rsidRPr="00A72B35" w:rsidRDefault="009932E9" w:rsidP="00F738B5">
      <w:pPr>
        <w:rPr>
          <w:rFonts w:ascii="Garamond" w:hAnsi="Garamond"/>
          <w:lang w:val="en-AU"/>
        </w:rPr>
      </w:pPr>
      <w:r w:rsidRPr="00A72B35">
        <w:rPr>
          <w:rFonts w:ascii="Garamond" w:hAnsi="Garamond"/>
          <w:lang w:val="en-AU"/>
        </w:rPr>
        <w:t>Issue 6</w:t>
      </w:r>
      <w:r w:rsidR="007849EB" w:rsidRPr="00A72B35">
        <w:rPr>
          <w:rFonts w:ascii="Garamond" w:hAnsi="Garamond"/>
          <w:lang w:val="en-AU"/>
        </w:rPr>
        <w:t>7</w:t>
      </w:r>
      <w:r w:rsidR="00353140">
        <w:rPr>
          <w:rFonts w:ascii="Garamond" w:hAnsi="Garamond"/>
          <w:lang w:val="en-AU"/>
        </w:rPr>
        <w:t>8</w:t>
      </w:r>
    </w:p>
    <w:p w14:paraId="53429E1A" w14:textId="22E3754B" w:rsidR="005C6930" w:rsidRPr="00A72B35" w:rsidRDefault="00353140" w:rsidP="00F738B5">
      <w:pPr>
        <w:rPr>
          <w:rFonts w:ascii="Garamond" w:hAnsi="Garamond"/>
          <w:lang w:val="en-AU"/>
        </w:rPr>
      </w:pPr>
      <w:r>
        <w:rPr>
          <w:rFonts w:ascii="Garamond" w:hAnsi="Garamond"/>
          <w:lang w:val="en-AU"/>
        </w:rPr>
        <w:t>9</w:t>
      </w:r>
      <w:r w:rsidR="00771ECC" w:rsidRPr="00A72B35">
        <w:rPr>
          <w:rFonts w:ascii="Garamond" w:hAnsi="Garamond"/>
          <w:lang w:val="en-AU"/>
        </w:rPr>
        <w:t xml:space="preserve"> </w:t>
      </w:r>
      <w:r w:rsidR="00600DB4">
        <w:rPr>
          <w:rFonts w:ascii="Garamond" w:hAnsi="Garamond"/>
          <w:lang w:val="en-AU"/>
        </w:rPr>
        <w:t>Dec</w:t>
      </w:r>
      <w:r w:rsidR="00771ECC" w:rsidRPr="00A72B35">
        <w:rPr>
          <w:rFonts w:ascii="Garamond" w:hAnsi="Garamond"/>
          <w:lang w:val="en-AU"/>
        </w:rPr>
        <w:t>ember</w:t>
      </w:r>
      <w:r w:rsidR="00EB07A2" w:rsidRPr="00A72B35">
        <w:rPr>
          <w:rFonts w:ascii="Garamond" w:hAnsi="Garamond"/>
          <w:lang w:val="en-AU"/>
        </w:rPr>
        <w:t xml:space="preserve"> </w:t>
      </w:r>
      <w:r w:rsidR="005C6930" w:rsidRPr="00A72B35">
        <w:rPr>
          <w:rFonts w:ascii="Garamond" w:hAnsi="Garamond"/>
          <w:lang w:val="en-AU"/>
        </w:rPr>
        <w:t>2024</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4BF39AD9" w:rsidR="00357B50" w:rsidRPr="00A72B35"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p>
    <w:p w14:paraId="0D17A847" w14:textId="7526F734" w:rsidR="00764AC3" w:rsidRDefault="00764AC3" w:rsidP="00764AC3">
      <w:pPr>
        <w:rPr>
          <w:rFonts w:ascii="Garamond" w:hAnsi="Garamond"/>
          <w:lang w:val="en-AU"/>
        </w:rPr>
      </w:pPr>
    </w:p>
    <w:p w14:paraId="6CBA65D8" w14:textId="77777777" w:rsidR="00421AFD" w:rsidRDefault="00421AFD" w:rsidP="00764AC3">
      <w:pPr>
        <w:rPr>
          <w:rFonts w:ascii="Garamond" w:hAnsi="Garamond"/>
          <w:lang w:val="en-AU"/>
        </w:rPr>
      </w:pPr>
    </w:p>
    <w:p w14:paraId="0A04C7E4" w14:textId="77777777" w:rsidR="00421AFD" w:rsidRPr="00A72B35" w:rsidRDefault="00421AFD" w:rsidP="00764AC3">
      <w:pPr>
        <w:rPr>
          <w:rFonts w:ascii="Garamond" w:hAnsi="Garamond"/>
          <w:lang w:val="en-AU"/>
        </w:rPr>
      </w:pPr>
    </w:p>
    <w:p w14:paraId="25D502EB" w14:textId="050B4564"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4A690FA4" w14:textId="77777777" w:rsidR="0097225A" w:rsidRDefault="0097225A" w:rsidP="00F9255C">
      <w:pPr>
        <w:keepLines/>
        <w:autoSpaceDE w:val="0"/>
        <w:autoSpaceDN w:val="0"/>
        <w:adjustRightInd w:val="0"/>
        <w:rPr>
          <w:rFonts w:ascii="Garamond" w:hAnsi="Garamond"/>
          <w:lang w:val="en-AU"/>
        </w:rPr>
      </w:pPr>
    </w:p>
    <w:p w14:paraId="44C75EAA" w14:textId="77777777" w:rsidR="00B30E0C" w:rsidRDefault="00B30E0C" w:rsidP="00B30E0C">
      <w:pPr>
        <w:keepNext/>
        <w:rPr>
          <w:rFonts w:ascii="Garamond" w:hAnsi="Garamond"/>
          <w:i/>
          <w:iCs/>
          <w:lang w:val="en-AU"/>
        </w:rPr>
      </w:pPr>
      <w:r w:rsidRPr="00B30E0C">
        <w:rPr>
          <w:rFonts w:ascii="Garamond" w:hAnsi="Garamond"/>
          <w:i/>
          <w:iCs/>
          <w:lang w:val="en-AU"/>
        </w:rPr>
        <w:t>National guide to preventive healthcare for Aboriginal and Torres Strait Islander people: Recommendations</w:t>
      </w:r>
    </w:p>
    <w:p w14:paraId="28637147" w14:textId="4F3793B8" w:rsidR="00B30E0C" w:rsidRPr="00B30E0C" w:rsidRDefault="00B30E0C" w:rsidP="00B30E0C">
      <w:pPr>
        <w:keepNext/>
        <w:rPr>
          <w:rFonts w:ascii="Garamond" w:hAnsi="Garamond"/>
          <w:lang w:val="en-AU"/>
        </w:rPr>
      </w:pPr>
      <w:r w:rsidRPr="00B30E0C">
        <w:rPr>
          <w:rFonts w:ascii="Garamond" w:hAnsi="Garamond"/>
          <w:lang w:val="en-AU"/>
        </w:rPr>
        <w:t>Fourth ed.</w:t>
      </w:r>
    </w:p>
    <w:p w14:paraId="5A203D7F" w14:textId="2F8768AA" w:rsidR="00972C1F" w:rsidRPr="00B30E0C" w:rsidRDefault="00B30E0C" w:rsidP="00B30E0C">
      <w:pPr>
        <w:keepNext/>
        <w:rPr>
          <w:rFonts w:ascii="Garamond" w:hAnsi="Garamond"/>
          <w:lang w:val="en-AU"/>
        </w:rPr>
      </w:pPr>
      <w:r w:rsidRPr="00B30E0C">
        <w:rPr>
          <w:rFonts w:ascii="Garamond" w:hAnsi="Garamond"/>
          <w:lang w:val="en-AU"/>
        </w:rPr>
        <w:t>National Aboriginal Community Controlled Health Organisation, The Royal Australian College of General Practitioners. East Melbourne: RACGP; 2024. p. 324.</w:t>
      </w:r>
    </w:p>
    <w:tbl>
      <w:tblPr>
        <w:tblStyle w:val="TableGrid"/>
        <w:tblW w:w="9360" w:type="dxa"/>
        <w:tblInd w:w="288" w:type="dxa"/>
        <w:tblLayout w:type="fixed"/>
        <w:tblLook w:val="01E0" w:firstRow="1" w:lastRow="1" w:firstColumn="1" w:lastColumn="1" w:noHBand="0" w:noVBand="0"/>
      </w:tblPr>
      <w:tblGrid>
        <w:gridCol w:w="1080"/>
        <w:gridCol w:w="8280"/>
      </w:tblGrid>
      <w:tr w:rsidR="00972C1F" w:rsidRPr="00A72B35" w14:paraId="32D16DFC"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21E41ADD" w14:textId="77777777" w:rsidR="00972C1F" w:rsidRPr="00A72B35" w:rsidRDefault="00972C1F" w:rsidP="001C1A1B">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6E74F13" w14:textId="77777777" w:rsidR="00972C1F" w:rsidRPr="00A72B35" w:rsidRDefault="00972C1F" w:rsidP="001C1A1B">
            <w:pPr>
              <w:keepNext/>
              <w:jc w:val="both"/>
              <w:rPr>
                <w:rStyle w:val="Hyperlink"/>
                <w:rFonts w:ascii="Garamond" w:hAnsi="Garamond"/>
                <w:color w:val="auto"/>
                <w:u w:val="none"/>
                <w:lang w:val="en-AU"/>
              </w:rPr>
            </w:pPr>
            <w:hyperlink r:id="rId14" w:history="1">
              <w:r w:rsidRPr="00D23A8B">
                <w:rPr>
                  <w:rStyle w:val="Hyperlink"/>
                </w:rPr>
                <w:t>https://www.racgp.org.au/clinical-resources/clinical-guidelines/key-racgp-guidelines/national-guide</w:t>
              </w:r>
            </w:hyperlink>
          </w:p>
        </w:tc>
      </w:tr>
      <w:tr w:rsidR="00972C1F" w:rsidRPr="00A72B35" w14:paraId="31036D9D"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27752D79" w14:textId="77777777" w:rsidR="00972C1F" w:rsidRPr="00A72B35" w:rsidRDefault="00972C1F" w:rsidP="001C1A1B">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D145B68" w14:textId="516960E0" w:rsidR="00972C1F" w:rsidRPr="00A72B35" w:rsidRDefault="00B30E0C" w:rsidP="00B30E0C">
            <w:pPr>
              <w:rPr>
                <w:rFonts w:ascii="Garamond" w:hAnsi="Garamond"/>
                <w:lang w:val="en-AU"/>
              </w:rPr>
            </w:pPr>
            <w:r>
              <w:rPr>
                <w:rFonts w:ascii="Garamond" w:hAnsi="Garamond"/>
                <w:lang w:val="en-AU"/>
              </w:rPr>
              <w:t xml:space="preserve">The </w:t>
            </w:r>
            <w:r w:rsidRPr="00B30E0C">
              <w:rPr>
                <w:rFonts w:ascii="Garamond" w:hAnsi="Garamond"/>
                <w:lang w:val="en-AU"/>
              </w:rPr>
              <w:t>National Aboriginal Community Controlled Health Organisation</w:t>
            </w:r>
            <w:r>
              <w:rPr>
                <w:rFonts w:ascii="Garamond" w:hAnsi="Garamond"/>
                <w:lang w:val="en-AU"/>
              </w:rPr>
              <w:t xml:space="preserve"> (NACCHO) and </w:t>
            </w:r>
            <w:r w:rsidRPr="00B30E0C">
              <w:rPr>
                <w:rFonts w:ascii="Garamond" w:hAnsi="Garamond"/>
                <w:lang w:val="en-AU"/>
              </w:rPr>
              <w:t>The Royal Australian College of General Practitioners</w:t>
            </w:r>
            <w:r>
              <w:rPr>
                <w:rFonts w:ascii="Garamond" w:hAnsi="Garamond"/>
                <w:lang w:val="en-AU"/>
              </w:rPr>
              <w:t xml:space="preserve"> (RACGP) recently released the fourth edition of the </w:t>
            </w:r>
            <w:r w:rsidRPr="00B30E0C">
              <w:rPr>
                <w:rFonts w:ascii="Garamond" w:hAnsi="Garamond"/>
                <w:i/>
                <w:iCs/>
                <w:lang w:val="en-AU"/>
              </w:rPr>
              <w:t>National guide to preventive healthcare for Aboriginal and Torres Strait Islander people: Recommendations</w:t>
            </w:r>
            <w:r>
              <w:rPr>
                <w:rFonts w:ascii="Garamond" w:hAnsi="Garamond"/>
                <w:i/>
                <w:iCs/>
                <w:lang w:val="en-AU"/>
              </w:rPr>
              <w:t xml:space="preserve">. </w:t>
            </w:r>
            <w:r w:rsidRPr="00B30E0C">
              <w:rPr>
                <w:rFonts w:ascii="Garamond" w:hAnsi="Garamond"/>
                <w:lang w:val="en-AU"/>
              </w:rPr>
              <w:t xml:space="preserve">The </w:t>
            </w:r>
            <w:r>
              <w:rPr>
                <w:rFonts w:ascii="Garamond" w:hAnsi="Garamond"/>
                <w:lang w:val="en-AU"/>
              </w:rPr>
              <w:t xml:space="preserve">guide is </w:t>
            </w:r>
            <w:r w:rsidRPr="00B30E0C">
              <w:rPr>
                <w:rFonts w:ascii="Garamond" w:hAnsi="Garamond"/>
                <w:lang w:val="en-AU"/>
              </w:rPr>
              <w:t>a practical resource intended for all health professionals delivering primary healthcare to Aboriginal and/or Torres Strait Islander people.</w:t>
            </w:r>
            <w:r>
              <w:rPr>
                <w:rFonts w:ascii="Garamond" w:hAnsi="Garamond"/>
                <w:lang w:val="en-AU"/>
              </w:rPr>
              <w:t xml:space="preserve"> </w:t>
            </w:r>
            <w:r w:rsidRPr="00B30E0C">
              <w:rPr>
                <w:rFonts w:ascii="Garamond" w:hAnsi="Garamond"/>
                <w:lang w:val="en-AU"/>
              </w:rPr>
              <w:t>Its purpose is to provide GPs and other health professionals with an accessible, user-friendly guide to best practice preventive healthcare for Aboriginal and Torres Strait Islander patients.</w:t>
            </w:r>
          </w:p>
        </w:tc>
      </w:tr>
    </w:tbl>
    <w:p w14:paraId="6B90E8CA" w14:textId="77777777" w:rsidR="00972C1F" w:rsidRDefault="00972C1F" w:rsidP="00972C1F">
      <w:pPr>
        <w:keepLines/>
        <w:autoSpaceDE w:val="0"/>
        <w:autoSpaceDN w:val="0"/>
        <w:adjustRightInd w:val="0"/>
        <w:rPr>
          <w:rFonts w:ascii="Garamond" w:hAnsi="Garamond"/>
          <w:lang w:val="en-AU"/>
        </w:rPr>
      </w:pPr>
    </w:p>
    <w:p w14:paraId="79655B9B" w14:textId="77777777" w:rsidR="00972C1F" w:rsidRPr="00FE4DFE" w:rsidRDefault="00972C1F" w:rsidP="00972C1F">
      <w:pPr>
        <w:keepNext/>
        <w:keepLines/>
        <w:autoSpaceDE w:val="0"/>
        <w:autoSpaceDN w:val="0"/>
        <w:adjustRightInd w:val="0"/>
        <w:rPr>
          <w:rFonts w:ascii="Garamond" w:hAnsi="Garamond"/>
          <w:i/>
          <w:iCs/>
          <w:lang w:val="en-AU"/>
        </w:rPr>
      </w:pPr>
      <w:r w:rsidRPr="00FE4DFE">
        <w:rPr>
          <w:rFonts w:ascii="Garamond" w:hAnsi="Garamond"/>
          <w:i/>
          <w:iCs/>
          <w:lang w:val="en-AU"/>
        </w:rPr>
        <w:lastRenderedPageBreak/>
        <w:t>Quality Improvement Toolkit</w:t>
      </w:r>
    </w:p>
    <w:p w14:paraId="40784DB5" w14:textId="77777777" w:rsidR="00972C1F" w:rsidRPr="00972C1F" w:rsidRDefault="00972C1F" w:rsidP="00972C1F">
      <w:pPr>
        <w:keepLines/>
        <w:autoSpaceDE w:val="0"/>
        <w:autoSpaceDN w:val="0"/>
        <w:adjustRightInd w:val="0"/>
        <w:rPr>
          <w:rFonts w:ascii="Garamond" w:hAnsi="Garamond"/>
          <w:lang w:val="en-AU"/>
        </w:rPr>
      </w:pPr>
      <w:r w:rsidRPr="00972C1F">
        <w:rPr>
          <w:rFonts w:ascii="Garamond" w:hAnsi="Garamond"/>
          <w:lang w:val="en-AU"/>
        </w:rPr>
        <w:t>Safer Care Victoria</w:t>
      </w:r>
    </w:p>
    <w:p w14:paraId="6249F118" w14:textId="77777777" w:rsidR="00972C1F" w:rsidRPr="00972C1F" w:rsidRDefault="00972C1F" w:rsidP="00972C1F">
      <w:pPr>
        <w:keepLines/>
        <w:autoSpaceDE w:val="0"/>
        <w:autoSpaceDN w:val="0"/>
        <w:adjustRightInd w:val="0"/>
        <w:rPr>
          <w:rFonts w:ascii="Garamond" w:hAnsi="Garamond"/>
          <w:lang w:val="en-AU"/>
        </w:rPr>
      </w:pPr>
      <w:r w:rsidRPr="00972C1F">
        <w:rPr>
          <w:rFonts w:ascii="Garamond" w:hAnsi="Garamond"/>
          <w:lang w:val="en-AU"/>
        </w:rPr>
        <w:t>Melbourne: SCV; 2024.</w:t>
      </w:r>
    </w:p>
    <w:tbl>
      <w:tblPr>
        <w:tblStyle w:val="TableGrid"/>
        <w:tblW w:w="9360" w:type="dxa"/>
        <w:tblInd w:w="288" w:type="dxa"/>
        <w:tblLayout w:type="fixed"/>
        <w:tblLook w:val="01E0" w:firstRow="1" w:lastRow="1" w:firstColumn="1" w:lastColumn="1" w:noHBand="0" w:noVBand="0"/>
      </w:tblPr>
      <w:tblGrid>
        <w:gridCol w:w="1080"/>
        <w:gridCol w:w="8280"/>
      </w:tblGrid>
      <w:tr w:rsidR="00972C1F" w:rsidRPr="00A72B35" w14:paraId="58777483"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49B3057A" w14:textId="77777777" w:rsidR="00972C1F" w:rsidRPr="00A72B35" w:rsidRDefault="00972C1F" w:rsidP="001C1A1B">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tcPr>
          <w:p w14:paraId="73E5F867" w14:textId="77777777" w:rsidR="00972C1F" w:rsidRPr="00A72B35" w:rsidRDefault="00972C1F" w:rsidP="001C1A1B">
            <w:pPr>
              <w:keepNext/>
              <w:jc w:val="both"/>
              <w:rPr>
                <w:rStyle w:val="Hyperlink"/>
                <w:rFonts w:ascii="Garamond" w:hAnsi="Garamond"/>
                <w:color w:val="auto"/>
                <w:u w:val="none"/>
                <w:lang w:val="en-AU"/>
              </w:rPr>
            </w:pPr>
            <w:hyperlink r:id="rId15" w:history="1">
              <w:r w:rsidRPr="00D23A8B">
                <w:rPr>
                  <w:rStyle w:val="Hyperlink"/>
                </w:rPr>
                <w:t>https://www.safercare.vic.gov.au/best-practice-improvement/quality-improvement/toolkit</w:t>
              </w:r>
            </w:hyperlink>
          </w:p>
        </w:tc>
      </w:tr>
      <w:tr w:rsidR="00972C1F" w:rsidRPr="00A72B35" w14:paraId="576255B6"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79BDB169" w14:textId="77777777" w:rsidR="00972C1F" w:rsidRPr="00A72B35" w:rsidRDefault="00972C1F" w:rsidP="001C1A1B">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tcPr>
          <w:p w14:paraId="02AA393C" w14:textId="2CF28942" w:rsidR="00972C1F" w:rsidRPr="00A72B35" w:rsidRDefault="00972C1F" w:rsidP="00B30E0C">
            <w:pPr>
              <w:rPr>
                <w:rFonts w:ascii="Garamond" w:hAnsi="Garamond"/>
                <w:lang w:val="en-AU"/>
              </w:rPr>
            </w:pPr>
            <w:r w:rsidRPr="00972C1F">
              <w:rPr>
                <w:rFonts w:ascii="Garamond" w:hAnsi="Garamond"/>
                <w:lang w:val="en-AU"/>
              </w:rPr>
              <w:t xml:space="preserve">Safer Care Victoria has also released this toolkit to </w:t>
            </w:r>
            <w:r w:rsidR="00B30E0C" w:rsidRPr="00B30E0C">
              <w:rPr>
                <w:rFonts w:ascii="Garamond" w:hAnsi="Garamond"/>
                <w:lang w:val="en-AU"/>
              </w:rPr>
              <w:t>help Victorian health services improve the quality of care.</w:t>
            </w:r>
            <w:r w:rsidR="00B30E0C">
              <w:rPr>
                <w:rFonts w:ascii="Garamond" w:hAnsi="Garamond"/>
                <w:lang w:val="en-AU"/>
              </w:rPr>
              <w:t xml:space="preserve"> The toolkit </w:t>
            </w:r>
            <w:r w:rsidR="00B30E0C" w:rsidRPr="00B30E0C">
              <w:rPr>
                <w:rFonts w:ascii="Garamond" w:hAnsi="Garamond"/>
                <w:lang w:val="en-AU"/>
              </w:rPr>
              <w:t>includes fact sheets, practical tools, templates and resources</w:t>
            </w:r>
            <w:r w:rsidR="00B30E0C">
              <w:rPr>
                <w:rFonts w:ascii="Garamond" w:hAnsi="Garamond"/>
                <w:lang w:val="en-AU"/>
              </w:rPr>
              <w:t xml:space="preserve"> to aid services to identify and issues, solution and </w:t>
            </w:r>
            <w:r w:rsidR="00B30E0C" w:rsidRPr="00B30E0C">
              <w:rPr>
                <w:rFonts w:ascii="Garamond" w:hAnsi="Garamond"/>
                <w:lang w:val="en-AU"/>
              </w:rPr>
              <w:t>develop and measure effective improvement strategies and activities</w:t>
            </w:r>
            <w:r w:rsidR="00B30E0C">
              <w:rPr>
                <w:rFonts w:ascii="Garamond" w:hAnsi="Garamond"/>
                <w:lang w:val="en-AU"/>
              </w:rPr>
              <w:t>.</w:t>
            </w:r>
          </w:p>
        </w:tc>
      </w:tr>
    </w:tbl>
    <w:p w14:paraId="727F19AF" w14:textId="77777777" w:rsidR="00972C1F" w:rsidRPr="00A72B35" w:rsidRDefault="00972C1F" w:rsidP="00972C1F">
      <w:pPr>
        <w:keepLines/>
        <w:autoSpaceDE w:val="0"/>
        <w:autoSpaceDN w:val="0"/>
        <w:adjustRightInd w:val="0"/>
        <w:rPr>
          <w:rFonts w:ascii="Garamond" w:hAnsi="Garamond"/>
          <w:lang w:val="en-AU"/>
        </w:rPr>
      </w:pPr>
    </w:p>
    <w:p w14:paraId="29842FE1" w14:textId="77777777" w:rsidR="00421AFD" w:rsidRPr="00CF0686" w:rsidRDefault="00421AFD" w:rsidP="00421AFD">
      <w:pPr>
        <w:keepLines/>
        <w:autoSpaceDE w:val="0"/>
        <w:autoSpaceDN w:val="0"/>
        <w:adjustRightInd w:val="0"/>
        <w:rPr>
          <w:rFonts w:ascii="Garamond" w:hAnsi="Garamond"/>
          <w:i/>
          <w:iCs/>
          <w:lang w:val="en-AU"/>
        </w:rPr>
      </w:pPr>
      <w:r w:rsidRPr="00CF0686">
        <w:rPr>
          <w:rFonts w:ascii="Garamond" w:hAnsi="Garamond"/>
          <w:i/>
          <w:iCs/>
          <w:lang w:val="en-AU"/>
        </w:rPr>
        <w:t xml:space="preserve">Health </w:t>
      </w:r>
      <w:proofErr w:type="gramStart"/>
      <w:r w:rsidRPr="00CF0686">
        <w:rPr>
          <w:rFonts w:ascii="Garamond" w:hAnsi="Garamond"/>
          <w:i/>
          <w:iCs/>
          <w:lang w:val="en-AU"/>
        </w:rPr>
        <w:t>at a Glance</w:t>
      </w:r>
      <w:proofErr w:type="gramEnd"/>
      <w:r w:rsidRPr="00CF0686">
        <w:rPr>
          <w:rFonts w:ascii="Garamond" w:hAnsi="Garamond"/>
          <w:i/>
          <w:iCs/>
          <w:lang w:val="en-AU"/>
        </w:rPr>
        <w:t>: Asia/Pacific 2024</w:t>
      </w:r>
    </w:p>
    <w:p w14:paraId="4F2DA002" w14:textId="77777777" w:rsidR="00421AFD" w:rsidRDefault="00421AFD" w:rsidP="00421AFD">
      <w:pPr>
        <w:keepLines/>
        <w:autoSpaceDE w:val="0"/>
        <w:autoSpaceDN w:val="0"/>
        <w:adjustRightInd w:val="0"/>
        <w:rPr>
          <w:rFonts w:ascii="Garamond" w:hAnsi="Garamond"/>
          <w:lang w:val="en-AU"/>
        </w:rPr>
      </w:pPr>
      <w:r w:rsidRPr="00CF0686">
        <w:rPr>
          <w:rFonts w:ascii="Garamond" w:hAnsi="Garamond"/>
          <w:lang w:val="en-AU"/>
        </w:rPr>
        <w:t>OECD, World Health Organization</w:t>
      </w:r>
    </w:p>
    <w:p w14:paraId="24603B54" w14:textId="77777777" w:rsidR="00421AFD" w:rsidRPr="00A72B35" w:rsidRDefault="00421AFD" w:rsidP="00421AFD">
      <w:pPr>
        <w:keepLines/>
        <w:autoSpaceDE w:val="0"/>
        <w:autoSpaceDN w:val="0"/>
        <w:adjustRightInd w:val="0"/>
        <w:rPr>
          <w:rFonts w:ascii="Garamond" w:hAnsi="Garamond"/>
          <w:lang w:val="en-AU"/>
        </w:rPr>
      </w:pPr>
      <w:r w:rsidRPr="00CF0686">
        <w:rPr>
          <w:rFonts w:ascii="Garamond" w:hAnsi="Garamond"/>
          <w:lang w:val="en-AU"/>
        </w:rPr>
        <w:t>Paris: OECD Publishing; 2024.</w:t>
      </w:r>
    </w:p>
    <w:tbl>
      <w:tblPr>
        <w:tblStyle w:val="TableGrid"/>
        <w:tblW w:w="9360" w:type="dxa"/>
        <w:tblInd w:w="288" w:type="dxa"/>
        <w:tblLayout w:type="fixed"/>
        <w:tblLook w:val="01E0" w:firstRow="1" w:lastRow="1" w:firstColumn="1" w:lastColumn="1" w:noHBand="0" w:noVBand="0"/>
      </w:tblPr>
      <w:tblGrid>
        <w:gridCol w:w="1080"/>
        <w:gridCol w:w="8280"/>
      </w:tblGrid>
      <w:tr w:rsidR="00421AFD" w:rsidRPr="00A72B35" w14:paraId="49FBE604" w14:textId="77777777" w:rsidTr="006F730A">
        <w:tc>
          <w:tcPr>
            <w:tcW w:w="1080" w:type="dxa"/>
            <w:tcBorders>
              <w:top w:val="single" w:sz="4" w:space="0" w:color="auto"/>
              <w:left w:val="single" w:sz="4" w:space="0" w:color="auto"/>
              <w:bottom w:val="single" w:sz="4" w:space="0" w:color="auto"/>
              <w:right w:val="single" w:sz="4" w:space="0" w:color="auto"/>
            </w:tcBorders>
            <w:vAlign w:val="center"/>
          </w:tcPr>
          <w:p w14:paraId="1AD0CDC0" w14:textId="77777777" w:rsidR="00421AFD" w:rsidRPr="00A72B35" w:rsidRDefault="00421AFD" w:rsidP="006F730A">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771F61F" w14:textId="77777777" w:rsidR="00421AFD" w:rsidRPr="00A72B35" w:rsidRDefault="00421AFD" w:rsidP="006F730A">
            <w:pPr>
              <w:keepNext/>
              <w:jc w:val="both"/>
              <w:rPr>
                <w:rStyle w:val="Hyperlink"/>
                <w:rFonts w:ascii="Garamond" w:hAnsi="Garamond"/>
                <w:color w:val="auto"/>
                <w:u w:val="none"/>
                <w:lang w:val="en-AU"/>
              </w:rPr>
            </w:pPr>
            <w:hyperlink r:id="rId16" w:history="1">
              <w:r w:rsidRPr="00E372E4">
                <w:rPr>
                  <w:rStyle w:val="Hyperlink"/>
                  <w:rFonts w:ascii="Garamond" w:hAnsi="Garamond"/>
                  <w:lang w:val="en-AU"/>
                </w:rPr>
                <w:t>https://www.oecd.org/en/publications/health-at-a-glance-asia-pacific-2024_51fed7e9-en/full-report.html</w:t>
              </w:r>
            </w:hyperlink>
          </w:p>
        </w:tc>
      </w:tr>
      <w:tr w:rsidR="00421AFD" w:rsidRPr="00A72B35" w14:paraId="09BC253E" w14:textId="77777777" w:rsidTr="006F730A">
        <w:tc>
          <w:tcPr>
            <w:tcW w:w="1080" w:type="dxa"/>
            <w:tcBorders>
              <w:top w:val="single" w:sz="4" w:space="0" w:color="auto"/>
              <w:left w:val="single" w:sz="4" w:space="0" w:color="auto"/>
              <w:bottom w:val="single" w:sz="4" w:space="0" w:color="auto"/>
              <w:right w:val="single" w:sz="4" w:space="0" w:color="auto"/>
            </w:tcBorders>
            <w:vAlign w:val="center"/>
          </w:tcPr>
          <w:p w14:paraId="5FB410BA" w14:textId="77777777" w:rsidR="00421AFD" w:rsidRPr="00A72B35" w:rsidRDefault="00421AFD" w:rsidP="006F730A">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9F29148" w14:textId="77777777" w:rsidR="00421AFD" w:rsidRPr="00A72B35" w:rsidRDefault="00421AFD" w:rsidP="006F730A">
            <w:pPr>
              <w:rPr>
                <w:rFonts w:ascii="Garamond" w:hAnsi="Garamond"/>
                <w:lang w:val="en-AU"/>
              </w:rPr>
            </w:pPr>
            <w:r>
              <w:rPr>
                <w:rFonts w:ascii="Garamond" w:hAnsi="Garamond"/>
                <w:lang w:val="en-AU"/>
              </w:rPr>
              <w:t xml:space="preserve">This report from the OECD and the WHO </w:t>
            </w:r>
            <w:r w:rsidRPr="00CF0686">
              <w:rPr>
                <w:rFonts w:ascii="Garamond" w:hAnsi="Garamond"/>
                <w:lang w:val="en-AU"/>
              </w:rPr>
              <w:t>presents indicators on health status, determinants of health, healthcare resources and utilisation, health expenditure and financing, and quality of care for 27 Asia-Pacific countries and territories</w:t>
            </w:r>
            <w:r>
              <w:rPr>
                <w:rFonts w:ascii="Garamond" w:hAnsi="Garamond"/>
                <w:lang w:val="en-AU"/>
              </w:rPr>
              <w:t>, including Australia</w:t>
            </w:r>
            <w:r w:rsidRPr="00CF0686">
              <w:rPr>
                <w:rFonts w:ascii="Garamond" w:hAnsi="Garamond"/>
                <w:lang w:val="en-AU"/>
              </w:rPr>
              <w:t>.</w:t>
            </w:r>
            <w:r>
              <w:rPr>
                <w:rFonts w:ascii="Garamond" w:hAnsi="Garamond"/>
                <w:lang w:val="en-AU"/>
              </w:rPr>
              <w:t>’</w:t>
            </w:r>
          </w:p>
        </w:tc>
      </w:tr>
    </w:tbl>
    <w:p w14:paraId="11ED63D7" w14:textId="77777777" w:rsidR="00421AFD" w:rsidRPr="00A72B35" w:rsidRDefault="00421AFD" w:rsidP="00421AFD">
      <w:pPr>
        <w:keepLines/>
        <w:autoSpaceDE w:val="0"/>
        <w:autoSpaceDN w:val="0"/>
        <w:adjustRightInd w:val="0"/>
        <w:rPr>
          <w:rFonts w:ascii="Garamond" w:hAnsi="Garamond"/>
          <w:lang w:val="en-AU"/>
        </w:rPr>
      </w:pPr>
    </w:p>
    <w:p w14:paraId="148967AB" w14:textId="0BFB0022" w:rsidR="00EE6DED" w:rsidRPr="00EE6DED" w:rsidRDefault="00EE6DED" w:rsidP="00972C1F">
      <w:pPr>
        <w:keepNext/>
        <w:keepLines/>
        <w:autoSpaceDE w:val="0"/>
        <w:autoSpaceDN w:val="0"/>
        <w:adjustRightInd w:val="0"/>
        <w:rPr>
          <w:rFonts w:ascii="Garamond" w:hAnsi="Garamond"/>
          <w:i/>
          <w:iCs/>
          <w:lang w:val="en-AU"/>
        </w:rPr>
      </w:pPr>
      <w:r w:rsidRPr="00EE6DED">
        <w:rPr>
          <w:rFonts w:ascii="Garamond" w:hAnsi="Garamond"/>
          <w:i/>
          <w:iCs/>
          <w:lang w:val="en-AU"/>
        </w:rPr>
        <w:t>Global report on infection prevention and control 2024</w:t>
      </w:r>
    </w:p>
    <w:p w14:paraId="3944CD83" w14:textId="77777777" w:rsidR="00EE6DED" w:rsidRDefault="00EE6DED" w:rsidP="00EE6DED">
      <w:pPr>
        <w:keepLines/>
        <w:autoSpaceDE w:val="0"/>
        <w:autoSpaceDN w:val="0"/>
        <w:adjustRightInd w:val="0"/>
        <w:rPr>
          <w:rFonts w:ascii="Garamond" w:hAnsi="Garamond"/>
          <w:lang w:val="en-AU"/>
        </w:rPr>
      </w:pPr>
      <w:r w:rsidRPr="009D56F1">
        <w:rPr>
          <w:rFonts w:ascii="Garamond" w:hAnsi="Garamond"/>
          <w:lang w:val="en-AU"/>
        </w:rPr>
        <w:t>World Health Organization</w:t>
      </w:r>
    </w:p>
    <w:p w14:paraId="4CDDE9EB" w14:textId="4166D3AB" w:rsidR="00EE6DED" w:rsidRPr="00A72B35" w:rsidRDefault="00EE6DED" w:rsidP="00EE6DED">
      <w:pPr>
        <w:keepLines/>
        <w:autoSpaceDE w:val="0"/>
        <w:autoSpaceDN w:val="0"/>
        <w:adjustRightInd w:val="0"/>
        <w:rPr>
          <w:rFonts w:ascii="Garamond" w:hAnsi="Garamond"/>
          <w:lang w:val="en-AU"/>
        </w:rPr>
      </w:pPr>
      <w:r w:rsidRPr="009D56F1">
        <w:rPr>
          <w:rFonts w:ascii="Garamond" w:hAnsi="Garamond"/>
          <w:lang w:val="en-AU"/>
        </w:rPr>
        <w:t>Geneva: WHO; 2024.</w:t>
      </w:r>
      <w:r>
        <w:rPr>
          <w:rFonts w:ascii="Garamond" w:hAnsi="Garamond"/>
          <w:lang w:val="en-AU"/>
        </w:rPr>
        <w:t xml:space="preserve"> p.210.</w:t>
      </w:r>
    </w:p>
    <w:tbl>
      <w:tblPr>
        <w:tblStyle w:val="TableGrid"/>
        <w:tblW w:w="9360" w:type="dxa"/>
        <w:tblInd w:w="288" w:type="dxa"/>
        <w:tblLayout w:type="fixed"/>
        <w:tblLook w:val="01E0" w:firstRow="1" w:lastRow="1" w:firstColumn="1" w:lastColumn="1" w:noHBand="0" w:noVBand="0"/>
      </w:tblPr>
      <w:tblGrid>
        <w:gridCol w:w="1080"/>
        <w:gridCol w:w="8280"/>
      </w:tblGrid>
      <w:tr w:rsidR="00EE6DED" w:rsidRPr="00A72B35" w14:paraId="56DC51F9" w14:textId="77777777" w:rsidTr="00C009AD">
        <w:tc>
          <w:tcPr>
            <w:tcW w:w="1080" w:type="dxa"/>
            <w:tcBorders>
              <w:top w:val="single" w:sz="4" w:space="0" w:color="auto"/>
              <w:left w:val="single" w:sz="4" w:space="0" w:color="auto"/>
              <w:bottom w:val="single" w:sz="4" w:space="0" w:color="auto"/>
              <w:right w:val="single" w:sz="4" w:space="0" w:color="auto"/>
            </w:tcBorders>
            <w:vAlign w:val="center"/>
          </w:tcPr>
          <w:p w14:paraId="765AD346" w14:textId="77777777" w:rsidR="00EE6DED" w:rsidRPr="00A72B35" w:rsidRDefault="00EE6DED" w:rsidP="00C009AD">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5682190" w14:textId="186EBCC6" w:rsidR="00EE6DED" w:rsidRPr="00A72B35" w:rsidRDefault="00EE6DED" w:rsidP="00C009AD">
            <w:pPr>
              <w:keepNext/>
              <w:jc w:val="both"/>
              <w:rPr>
                <w:rStyle w:val="Hyperlink"/>
                <w:rFonts w:ascii="Garamond" w:hAnsi="Garamond"/>
                <w:color w:val="auto"/>
                <w:u w:val="none"/>
                <w:lang w:val="en-AU"/>
              </w:rPr>
            </w:pPr>
            <w:hyperlink r:id="rId17" w:history="1">
              <w:r w:rsidRPr="00DF70B3">
                <w:rPr>
                  <w:rStyle w:val="Hyperlink"/>
                  <w:rFonts w:ascii="Garamond" w:hAnsi="Garamond"/>
                  <w:lang w:val="en-AU"/>
                </w:rPr>
                <w:t>https://www.who.int/publications/i/item/9789240103986</w:t>
              </w:r>
            </w:hyperlink>
          </w:p>
        </w:tc>
      </w:tr>
      <w:tr w:rsidR="00EE6DED" w:rsidRPr="00A72B35" w14:paraId="0D2D873C" w14:textId="77777777" w:rsidTr="00C009AD">
        <w:tc>
          <w:tcPr>
            <w:tcW w:w="1080" w:type="dxa"/>
            <w:tcBorders>
              <w:top w:val="single" w:sz="4" w:space="0" w:color="auto"/>
              <w:left w:val="single" w:sz="4" w:space="0" w:color="auto"/>
              <w:bottom w:val="single" w:sz="4" w:space="0" w:color="auto"/>
              <w:right w:val="single" w:sz="4" w:space="0" w:color="auto"/>
            </w:tcBorders>
            <w:vAlign w:val="center"/>
          </w:tcPr>
          <w:p w14:paraId="5D41B44B" w14:textId="77777777" w:rsidR="00EE6DED" w:rsidRPr="00A72B35" w:rsidRDefault="00EE6DED" w:rsidP="00C009A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CAE7E3C" w14:textId="3AAEB2D9" w:rsidR="009C502F" w:rsidRPr="00A72B35" w:rsidRDefault="00E3074B" w:rsidP="009C502F">
            <w:pPr>
              <w:rPr>
                <w:rFonts w:ascii="Garamond" w:hAnsi="Garamond"/>
                <w:lang w:val="en-AU"/>
              </w:rPr>
            </w:pPr>
            <w:r>
              <w:rPr>
                <w:rFonts w:ascii="Garamond" w:hAnsi="Garamond"/>
                <w:lang w:val="en-AU"/>
              </w:rPr>
              <w:t xml:space="preserve">The </w:t>
            </w:r>
            <w:r w:rsidRPr="00E3074B">
              <w:rPr>
                <w:rFonts w:ascii="Garamond" w:hAnsi="Garamond"/>
                <w:lang w:val="en-AU"/>
              </w:rPr>
              <w:t>World Health Organization</w:t>
            </w:r>
            <w:r>
              <w:rPr>
                <w:rFonts w:ascii="Garamond" w:hAnsi="Garamond"/>
                <w:lang w:val="en-AU"/>
              </w:rPr>
              <w:t xml:space="preserve"> (WHO) has </w:t>
            </w:r>
            <w:r w:rsidR="00086D4B">
              <w:rPr>
                <w:rFonts w:ascii="Garamond" w:hAnsi="Garamond"/>
                <w:lang w:val="en-AU"/>
              </w:rPr>
              <w:t xml:space="preserve">released their </w:t>
            </w:r>
            <w:r w:rsidR="00086D4B" w:rsidRPr="00086D4B">
              <w:rPr>
                <w:rFonts w:ascii="Garamond" w:hAnsi="Garamond"/>
                <w:lang w:val="en-AU"/>
              </w:rPr>
              <w:t xml:space="preserve">second global report on </w:t>
            </w:r>
            <w:r w:rsidR="00086D4B">
              <w:rPr>
                <w:rFonts w:ascii="Garamond" w:hAnsi="Garamond"/>
                <w:lang w:val="en-AU"/>
              </w:rPr>
              <w:t>infection prevention and control (</w:t>
            </w:r>
            <w:r w:rsidR="00086D4B" w:rsidRPr="00086D4B">
              <w:rPr>
                <w:rFonts w:ascii="Garamond" w:hAnsi="Garamond"/>
                <w:lang w:val="en-AU"/>
              </w:rPr>
              <w:t>IPC</w:t>
            </w:r>
            <w:r w:rsidR="00086D4B">
              <w:rPr>
                <w:rFonts w:ascii="Garamond" w:hAnsi="Garamond"/>
                <w:lang w:val="en-AU"/>
              </w:rPr>
              <w:t>)</w:t>
            </w:r>
            <w:r w:rsidR="00086D4B" w:rsidRPr="00086D4B">
              <w:rPr>
                <w:rFonts w:ascii="Garamond" w:hAnsi="Garamond"/>
                <w:lang w:val="en-AU"/>
              </w:rPr>
              <w:t xml:space="preserve"> provid</w:t>
            </w:r>
            <w:r w:rsidR="00086D4B">
              <w:rPr>
                <w:rFonts w:ascii="Garamond" w:hAnsi="Garamond"/>
                <w:lang w:val="en-AU"/>
              </w:rPr>
              <w:t>ing</w:t>
            </w:r>
            <w:r w:rsidR="00086D4B" w:rsidRPr="00086D4B">
              <w:rPr>
                <w:rFonts w:ascii="Garamond" w:hAnsi="Garamond"/>
                <w:lang w:val="en-AU"/>
              </w:rPr>
              <w:t xml:space="preserve"> updated evidence on the harm caused to patients and health workers by </w:t>
            </w:r>
            <w:r w:rsidR="00086D4B">
              <w:rPr>
                <w:rFonts w:ascii="Garamond" w:hAnsi="Garamond"/>
                <w:lang w:val="en-AU"/>
              </w:rPr>
              <w:t>h</w:t>
            </w:r>
            <w:r w:rsidR="00086D4B" w:rsidRPr="00086D4B">
              <w:rPr>
                <w:rFonts w:ascii="Garamond" w:hAnsi="Garamond"/>
                <w:lang w:val="en-AU"/>
              </w:rPr>
              <w:t xml:space="preserve">ealth care-associated infections (HAIs) </w:t>
            </w:r>
            <w:r w:rsidR="00086D4B">
              <w:rPr>
                <w:rFonts w:ascii="Garamond" w:hAnsi="Garamond"/>
                <w:lang w:val="en-AU"/>
              </w:rPr>
              <w:t xml:space="preserve">and </w:t>
            </w:r>
            <w:r w:rsidR="00086D4B" w:rsidRPr="00086D4B">
              <w:rPr>
                <w:rFonts w:ascii="Garamond" w:hAnsi="Garamond"/>
                <w:lang w:val="en-AU"/>
              </w:rPr>
              <w:t>antimicrobial resistance (AMR)</w:t>
            </w:r>
            <w:r w:rsidR="00F0336E">
              <w:rPr>
                <w:rFonts w:ascii="Garamond" w:hAnsi="Garamond"/>
                <w:lang w:val="en-AU"/>
              </w:rPr>
              <w:t xml:space="preserve">. The report also </w:t>
            </w:r>
            <w:r w:rsidR="00086D4B" w:rsidRPr="00086D4B">
              <w:rPr>
                <w:rFonts w:ascii="Garamond" w:hAnsi="Garamond"/>
                <w:lang w:val="en-AU"/>
              </w:rPr>
              <w:t>presents an updated global analysis of the implementation of IPC programmes at the national and health care facility levels across all WHO regions.</w:t>
            </w:r>
            <w:r w:rsidR="009C502F">
              <w:rPr>
                <w:rFonts w:ascii="Garamond" w:hAnsi="Garamond"/>
                <w:lang w:val="en-AU"/>
              </w:rPr>
              <w:t xml:space="preserve"> The report notes that ‘</w:t>
            </w:r>
            <w:r w:rsidR="009C502F" w:rsidRPr="009C502F">
              <w:rPr>
                <w:rFonts w:ascii="Garamond" w:hAnsi="Garamond"/>
                <w:lang w:val="en-AU"/>
              </w:rPr>
              <w:t>HAIs are among the most frequent adverse events occurring in the context of health</w:t>
            </w:r>
            <w:r w:rsidR="009C502F">
              <w:rPr>
                <w:rFonts w:ascii="Garamond" w:hAnsi="Garamond"/>
                <w:lang w:val="en-AU"/>
              </w:rPr>
              <w:t xml:space="preserve"> </w:t>
            </w:r>
            <w:r w:rsidR="009C502F" w:rsidRPr="009C502F">
              <w:rPr>
                <w:rFonts w:ascii="Garamond" w:hAnsi="Garamond"/>
                <w:lang w:val="en-AU"/>
              </w:rPr>
              <w:t>service delivery. These infections, many of which are caused by multidrug-resistant</w:t>
            </w:r>
            <w:r w:rsidR="009C502F">
              <w:rPr>
                <w:rFonts w:ascii="Garamond" w:hAnsi="Garamond"/>
                <w:lang w:val="en-AU"/>
              </w:rPr>
              <w:t xml:space="preserve"> </w:t>
            </w:r>
            <w:r w:rsidR="009C502F" w:rsidRPr="009C502F">
              <w:rPr>
                <w:rFonts w:ascii="Garamond" w:hAnsi="Garamond"/>
                <w:lang w:val="en-AU"/>
              </w:rPr>
              <w:t>organisms, harm patients, visitors and health workers and place a significant burden on</w:t>
            </w:r>
            <w:r w:rsidR="009C502F">
              <w:rPr>
                <w:rFonts w:ascii="Garamond" w:hAnsi="Garamond"/>
                <w:lang w:val="en-AU"/>
              </w:rPr>
              <w:t xml:space="preserve"> </w:t>
            </w:r>
            <w:r w:rsidR="009C502F" w:rsidRPr="009C502F">
              <w:rPr>
                <w:rFonts w:ascii="Garamond" w:hAnsi="Garamond"/>
                <w:lang w:val="en-AU"/>
              </w:rPr>
              <w:t>health systems, including the associated increased costs.</w:t>
            </w:r>
            <w:r w:rsidR="009C502F">
              <w:rPr>
                <w:rFonts w:ascii="Garamond" w:hAnsi="Garamond"/>
                <w:lang w:val="en-AU"/>
              </w:rPr>
              <w:t>’</w:t>
            </w:r>
            <w:r w:rsidR="009C502F">
              <w:rPr>
                <w:rFonts w:ascii="Garamond" w:hAnsi="Garamond"/>
                <w:lang w:val="en-AU"/>
              </w:rPr>
              <w:br/>
            </w:r>
            <w:r w:rsidR="009C502F">
              <w:rPr>
                <w:rFonts w:ascii="Garamond" w:hAnsi="Garamond"/>
                <w:lang w:val="en-AU"/>
              </w:rPr>
              <w:br/>
            </w:r>
            <w:r w:rsidR="009C502F">
              <w:rPr>
                <w:rFonts w:ascii="Garamond" w:hAnsi="Garamond"/>
                <w:noProof/>
                <w:lang w:val="en-AU"/>
              </w:rPr>
              <w:drawing>
                <wp:inline distT="0" distB="0" distL="0" distR="0" wp14:anchorId="0D4A2C51" wp14:editId="19E1F23F">
                  <wp:extent cx="5123408" cy="2623931"/>
                  <wp:effectExtent l="0" t="0" r="1270" b="5080"/>
                  <wp:docPr id="111881263" name="Picture 2" descr="Figure 1 from Global report on infection prevention and control 2024 report.&#10;On average, out of every 100 patients in acute-care hospitals, seven patients in high-income countries and 15 patients in low- and middle-income countries will acquire at least one HAI during their hospital s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263" name="Picture 2" descr="Figure 1 from Global report on infection prevention and control 2024 report.&#10;On average, out of every 100 patients in acute-care hospitals, seven patients in high-income countries and 15 patients in low- and middle-income countries will acquire at least one HAI during their hospital stay."/>
                          <pic:cNvPicPr/>
                        </pic:nvPicPr>
                        <pic:blipFill>
                          <a:blip r:embed="rId18">
                            <a:extLst>
                              <a:ext uri="{28A0092B-C50C-407E-A947-70E740481C1C}">
                                <a14:useLocalDpi xmlns:a14="http://schemas.microsoft.com/office/drawing/2010/main" val="0"/>
                              </a:ext>
                            </a:extLst>
                          </a:blip>
                          <a:stretch>
                            <a:fillRect/>
                          </a:stretch>
                        </pic:blipFill>
                        <pic:spPr>
                          <a:xfrm>
                            <a:off x="0" y="0"/>
                            <a:ext cx="5126932" cy="2625736"/>
                          </a:xfrm>
                          <a:prstGeom prst="rect">
                            <a:avLst/>
                          </a:prstGeom>
                        </pic:spPr>
                      </pic:pic>
                    </a:graphicData>
                  </a:graphic>
                </wp:inline>
              </w:drawing>
            </w:r>
          </w:p>
        </w:tc>
      </w:tr>
    </w:tbl>
    <w:p w14:paraId="372A6303" w14:textId="77777777" w:rsidR="00421AFD" w:rsidRDefault="00421AFD" w:rsidP="00F9255C">
      <w:pPr>
        <w:keepLines/>
        <w:autoSpaceDE w:val="0"/>
        <w:autoSpaceDN w:val="0"/>
        <w:adjustRightInd w:val="0"/>
        <w:rPr>
          <w:rFonts w:ascii="Garamond" w:hAnsi="Garamond"/>
          <w:lang w:val="en-AU"/>
        </w:rPr>
      </w:pPr>
    </w:p>
    <w:p w14:paraId="79CC6F5C" w14:textId="070364C6" w:rsidR="00421AFD" w:rsidRDefault="00421AFD" w:rsidP="00F9255C">
      <w:pPr>
        <w:keepLines/>
        <w:autoSpaceDE w:val="0"/>
        <w:autoSpaceDN w:val="0"/>
        <w:adjustRightInd w:val="0"/>
        <w:rPr>
          <w:rFonts w:ascii="Garamond" w:hAnsi="Garamond"/>
          <w:highlight w:val="yellow"/>
          <w:lang w:val="en-AU"/>
        </w:rPr>
      </w:pPr>
      <w:r w:rsidRPr="00A72B35">
        <w:rPr>
          <w:rFonts w:ascii="Garamond" w:hAnsi="Garamond"/>
          <w:lang w:val="en-AU"/>
        </w:rPr>
        <w:lastRenderedPageBreak/>
        <w:t xml:space="preserve">For information on the Commission’s work on </w:t>
      </w:r>
      <w:r>
        <w:rPr>
          <w:rFonts w:ascii="Garamond" w:hAnsi="Garamond"/>
          <w:lang w:val="en-AU"/>
        </w:rPr>
        <w:t xml:space="preserve">infection prevention and control </w:t>
      </w:r>
      <w:r w:rsidRPr="00A72B35">
        <w:rPr>
          <w:rFonts w:ascii="Garamond" w:hAnsi="Garamond"/>
          <w:lang w:val="en-AU"/>
        </w:rPr>
        <w:t>see</w:t>
      </w:r>
      <w:r>
        <w:rPr>
          <w:rFonts w:ascii="Garamond" w:hAnsi="Garamond"/>
          <w:lang w:val="en-AU"/>
        </w:rPr>
        <w:t xml:space="preserve"> </w:t>
      </w:r>
      <w:hyperlink r:id="rId19" w:history="1">
        <w:r w:rsidRPr="00406A82">
          <w:rPr>
            <w:rStyle w:val="Hyperlink"/>
            <w:rFonts w:ascii="Garamond" w:hAnsi="Garamond"/>
            <w:lang w:val="en-AU"/>
          </w:rPr>
          <w:t>https://www.safetyandquality.gov.au/our-work/infection-prevention-and-control</w:t>
        </w:r>
      </w:hyperlink>
    </w:p>
    <w:p w14:paraId="4E4580EE" w14:textId="7025328B" w:rsidR="00421AFD" w:rsidRDefault="00421AFD">
      <w:pPr>
        <w:rPr>
          <w:rFonts w:ascii="Garamond" w:hAnsi="Garamond"/>
          <w:i/>
          <w:iCs/>
          <w:lang w:val="en-AU"/>
        </w:rPr>
      </w:pPr>
    </w:p>
    <w:p w14:paraId="3CF47CCC" w14:textId="5E10F123" w:rsidR="009D56F1" w:rsidRPr="009D56F1" w:rsidRDefault="009D56F1" w:rsidP="00FE4DFE">
      <w:pPr>
        <w:keepNext/>
        <w:keepLines/>
        <w:autoSpaceDE w:val="0"/>
        <w:autoSpaceDN w:val="0"/>
        <w:adjustRightInd w:val="0"/>
        <w:rPr>
          <w:rFonts w:ascii="Garamond" w:hAnsi="Garamond"/>
          <w:i/>
          <w:iCs/>
          <w:lang w:val="en-AU"/>
        </w:rPr>
      </w:pPr>
      <w:r w:rsidRPr="009D56F1">
        <w:rPr>
          <w:rFonts w:ascii="Garamond" w:hAnsi="Garamond"/>
          <w:i/>
          <w:iCs/>
          <w:lang w:val="en-AU"/>
        </w:rPr>
        <w:t>Digital transformation handbook for primary health care: optimizing person-centred point of service systems</w:t>
      </w:r>
    </w:p>
    <w:p w14:paraId="314DCDD0" w14:textId="77777777" w:rsidR="009D56F1" w:rsidRDefault="009D56F1" w:rsidP="00FE4DFE">
      <w:pPr>
        <w:keepNext/>
        <w:keepLines/>
        <w:autoSpaceDE w:val="0"/>
        <w:autoSpaceDN w:val="0"/>
        <w:adjustRightInd w:val="0"/>
        <w:rPr>
          <w:rFonts w:ascii="Garamond" w:hAnsi="Garamond"/>
          <w:lang w:val="en-AU"/>
        </w:rPr>
      </w:pPr>
      <w:r w:rsidRPr="009D56F1">
        <w:rPr>
          <w:rFonts w:ascii="Garamond" w:hAnsi="Garamond"/>
          <w:lang w:val="en-AU"/>
        </w:rPr>
        <w:t>World Health Organization</w:t>
      </w:r>
    </w:p>
    <w:p w14:paraId="2C8206B5" w14:textId="0CF24F99" w:rsidR="000154E9" w:rsidRPr="00A72B35" w:rsidRDefault="009D56F1" w:rsidP="00FE4DFE">
      <w:pPr>
        <w:keepNext/>
        <w:keepLines/>
        <w:autoSpaceDE w:val="0"/>
        <w:autoSpaceDN w:val="0"/>
        <w:adjustRightInd w:val="0"/>
        <w:rPr>
          <w:rFonts w:ascii="Garamond" w:hAnsi="Garamond"/>
          <w:lang w:val="en-AU"/>
        </w:rPr>
      </w:pPr>
      <w:r w:rsidRPr="009D56F1">
        <w:rPr>
          <w:rFonts w:ascii="Garamond" w:hAnsi="Garamond"/>
          <w:lang w:val="en-AU"/>
        </w:rPr>
        <w:t>Geneva: WHO; 2024.</w:t>
      </w:r>
      <w:r w:rsidR="00293BF5">
        <w:rPr>
          <w:rFonts w:ascii="Garamond" w:hAnsi="Garamond"/>
          <w:lang w:val="en-AU"/>
        </w:rPr>
        <w:t xml:space="preserve"> p.95.</w:t>
      </w:r>
    </w:p>
    <w:tbl>
      <w:tblPr>
        <w:tblStyle w:val="TableGrid"/>
        <w:tblW w:w="9360" w:type="dxa"/>
        <w:tblInd w:w="288" w:type="dxa"/>
        <w:tblLayout w:type="fixed"/>
        <w:tblLook w:val="01E0" w:firstRow="1" w:lastRow="1" w:firstColumn="1" w:lastColumn="1" w:noHBand="0" w:noVBand="0"/>
      </w:tblPr>
      <w:tblGrid>
        <w:gridCol w:w="1080"/>
        <w:gridCol w:w="8280"/>
      </w:tblGrid>
      <w:tr w:rsidR="000154E9" w:rsidRPr="00A72B35" w14:paraId="3F37F727" w14:textId="77777777" w:rsidTr="003D2D5C">
        <w:tc>
          <w:tcPr>
            <w:tcW w:w="1080" w:type="dxa"/>
            <w:tcBorders>
              <w:top w:val="single" w:sz="4" w:space="0" w:color="auto"/>
              <w:left w:val="single" w:sz="4" w:space="0" w:color="auto"/>
              <w:bottom w:val="single" w:sz="4" w:space="0" w:color="auto"/>
              <w:right w:val="single" w:sz="4" w:space="0" w:color="auto"/>
            </w:tcBorders>
            <w:vAlign w:val="center"/>
          </w:tcPr>
          <w:p w14:paraId="134824E6" w14:textId="77777777" w:rsidR="000154E9" w:rsidRPr="00A72B35" w:rsidRDefault="000154E9" w:rsidP="003D2D5C">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1BC488C" w14:textId="5A74D040" w:rsidR="000154E9" w:rsidRPr="00A72B35" w:rsidRDefault="00293BF5" w:rsidP="00293BF5">
            <w:pPr>
              <w:keepNext/>
              <w:jc w:val="both"/>
              <w:rPr>
                <w:rStyle w:val="Hyperlink"/>
                <w:rFonts w:ascii="Garamond" w:hAnsi="Garamond"/>
                <w:color w:val="auto"/>
                <w:u w:val="none"/>
                <w:lang w:val="en-AU"/>
              </w:rPr>
            </w:pPr>
            <w:hyperlink r:id="rId20" w:history="1">
              <w:r w:rsidRPr="005B3CF7">
                <w:rPr>
                  <w:rStyle w:val="Hyperlink"/>
                  <w:rFonts w:ascii="Garamond" w:hAnsi="Garamond"/>
                  <w:lang w:val="en-AU"/>
                </w:rPr>
                <w:t>https://www.who.int/publications/i/item/9789240093362</w:t>
              </w:r>
            </w:hyperlink>
          </w:p>
        </w:tc>
      </w:tr>
      <w:tr w:rsidR="000154E9" w:rsidRPr="00A72B35" w14:paraId="072AD418" w14:textId="77777777" w:rsidTr="003D2D5C">
        <w:tc>
          <w:tcPr>
            <w:tcW w:w="1080" w:type="dxa"/>
            <w:tcBorders>
              <w:top w:val="single" w:sz="4" w:space="0" w:color="auto"/>
              <w:left w:val="single" w:sz="4" w:space="0" w:color="auto"/>
              <w:bottom w:val="single" w:sz="4" w:space="0" w:color="auto"/>
              <w:right w:val="single" w:sz="4" w:space="0" w:color="auto"/>
            </w:tcBorders>
            <w:vAlign w:val="center"/>
          </w:tcPr>
          <w:p w14:paraId="61117A45" w14:textId="77777777" w:rsidR="000154E9" w:rsidRPr="00A72B35" w:rsidRDefault="000154E9" w:rsidP="003D2D5C">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7B1BA46" w14:textId="7E0B354D" w:rsidR="00E3074B" w:rsidRDefault="00E3074B" w:rsidP="009D56F1">
            <w:pPr>
              <w:rPr>
                <w:rFonts w:ascii="Garamond" w:hAnsi="Garamond"/>
                <w:lang w:val="en-AU"/>
              </w:rPr>
            </w:pPr>
            <w:r>
              <w:rPr>
                <w:rFonts w:ascii="Garamond" w:hAnsi="Garamond"/>
                <w:lang w:val="en-AU"/>
              </w:rPr>
              <w:t xml:space="preserve">The </w:t>
            </w:r>
            <w:r w:rsidRPr="00E3074B">
              <w:rPr>
                <w:rFonts w:ascii="Garamond" w:hAnsi="Garamond"/>
                <w:lang w:val="en-AU"/>
              </w:rPr>
              <w:t>World Health Organization</w:t>
            </w:r>
            <w:r>
              <w:rPr>
                <w:rFonts w:ascii="Garamond" w:hAnsi="Garamond"/>
                <w:lang w:val="en-AU"/>
              </w:rPr>
              <w:t xml:space="preserve"> (WHO) has also released this handbook on transforming primary care with digital tools. The handbook ‘</w:t>
            </w:r>
            <w:r w:rsidRPr="00E3074B">
              <w:rPr>
                <w:rFonts w:ascii="Garamond" w:hAnsi="Garamond"/>
                <w:lang w:val="en-AU"/>
              </w:rPr>
              <w:t>supports two key scenarios: transitioning from paper-only systems and enhancing existing digital solutions to create comprehensive, person-centred, interoperable systems.</w:t>
            </w:r>
            <w:r>
              <w:rPr>
                <w:rFonts w:ascii="Garamond" w:hAnsi="Garamond"/>
                <w:lang w:val="en-AU"/>
              </w:rPr>
              <w:t>’ According to the WHO’s webpage for the handbook, ‘</w:t>
            </w:r>
            <w:r w:rsidRPr="00E3074B">
              <w:rPr>
                <w:rFonts w:ascii="Garamond" w:hAnsi="Garamond"/>
                <w:lang w:val="en-AU"/>
              </w:rPr>
              <w:t>Aimed at health programme managers and their digital transformation teams, this digital transformation handbook outlines essential steps that include requirements gathering, workflow mapping, creating data dictionaries, and documenting decision-support logic. It emphasizes the importance of involving health workers, as end-users of these digital systems, in the development process.</w:t>
            </w:r>
            <w:r>
              <w:rPr>
                <w:rFonts w:ascii="Garamond" w:hAnsi="Garamond"/>
                <w:lang w:val="en-AU"/>
              </w:rPr>
              <w:br/>
            </w:r>
          </w:p>
          <w:p w14:paraId="1DBDEBBF" w14:textId="77777777" w:rsidR="00E3074B" w:rsidRDefault="00E3074B" w:rsidP="009D56F1">
            <w:pPr>
              <w:rPr>
                <w:rFonts w:ascii="Garamond" w:hAnsi="Garamond"/>
                <w:lang w:val="en-AU"/>
              </w:rPr>
            </w:pPr>
            <w:r>
              <w:rPr>
                <w:rFonts w:ascii="Garamond" w:hAnsi="Garamond"/>
                <w:noProof/>
                <w:lang w:val="en-AU"/>
              </w:rPr>
              <w:drawing>
                <wp:inline distT="0" distB="0" distL="0" distR="0" wp14:anchorId="17ED322C" wp14:editId="08000B4A">
                  <wp:extent cx="5181912" cy="2531165"/>
                  <wp:effectExtent l="0" t="0" r="0" b="2540"/>
                  <wp:docPr id="2076336816" name="Picture 1" descr="Extract from Figure 1 (From paper to digital: a transformational journey) in Digital transformation handbook for primary health care: optimizing person-centred point of service system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36816" name="Picture 1" descr="Extract from Figure 1 (From paper to digital: a transformational journey) in Digital transformation handbook for primary health care: optimizing person-centred point of service systems.">
                            <a:hlinkClick r:id="rId20"/>
                          </pic:cNvPr>
                          <pic:cNvPicPr/>
                        </pic:nvPicPr>
                        <pic:blipFill>
                          <a:blip r:embed="rId21">
                            <a:extLst>
                              <a:ext uri="{28A0092B-C50C-407E-A947-70E740481C1C}">
                                <a14:useLocalDpi xmlns:a14="http://schemas.microsoft.com/office/drawing/2010/main" val="0"/>
                              </a:ext>
                            </a:extLst>
                          </a:blip>
                          <a:stretch>
                            <a:fillRect/>
                          </a:stretch>
                        </pic:blipFill>
                        <pic:spPr>
                          <a:xfrm>
                            <a:off x="0" y="0"/>
                            <a:ext cx="5184518" cy="2532438"/>
                          </a:xfrm>
                          <a:prstGeom prst="rect">
                            <a:avLst/>
                          </a:prstGeom>
                        </pic:spPr>
                      </pic:pic>
                    </a:graphicData>
                  </a:graphic>
                </wp:inline>
              </w:drawing>
            </w:r>
          </w:p>
          <w:p w14:paraId="768C8081" w14:textId="14EB0A0C" w:rsidR="00E3074B" w:rsidRPr="00A72B35" w:rsidRDefault="00E3074B" w:rsidP="009D56F1">
            <w:pPr>
              <w:rPr>
                <w:rFonts w:ascii="Garamond" w:hAnsi="Garamond"/>
                <w:lang w:val="en-AU"/>
              </w:rPr>
            </w:pPr>
          </w:p>
        </w:tc>
      </w:tr>
    </w:tbl>
    <w:p w14:paraId="111760AF" w14:textId="77777777" w:rsidR="000154E9" w:rsidRDefault="000154E9" w:rsidP="000154E9">
      <w:pPr>
        <w:keepLines/>
        <w:autoSpaceDE w:val="0"/>
        <w:autoSpaceDN w:val="0"/>
        <w:adjustRightInd w:val="0"/>
        <w:rPr>
          <w:rFonts w:ascii="Garamond" w:hAnsi="Garamond"/>
          <w:lang w:val="en-AU"/>
        </w:rPr>
      </w:pPr>
    </w:p>
    <w:p w14:paraId="6FA88F8D" w14:textId="420E1934" w:rsidR="00864F13" w:rsidRPr="00864F13" w:rsidRDefault="00864F13" w:rsidP="00864F13">
      <w:pPr>
        <w:keepLines/>
        <w:autoSpaceDE w:val="0"/>
        <w:autoSpaceDN w:val="0"/>
        <w:adjustRightInd w:val="0"/>
        <w:rPr>
          <w:rFonts w:ascii="Garamond" w:hAnsi="Garamond"/>
          <w:i/>
          <w:iCs/>
          <w:lang w:val="en-AU"/>
        </w:rPr>
      </w:pPr>
      <w:r w:rsidRPr="00864F13">
        <w:rPr>
          <w:rFonts w:ascii="Garamond" w:hAnsi="Garamond"/>
          <w:i/>
          <w:iCs/>
          <w:lang w:val="en-AU"/>
        </w:rPr>
        <w:t>Healthcare provision in prisons: continuity of care. Investigation report</w:t>
      </w:r>
    </w:p>
    <w:p w14:paraId="3098189F" w14:textId="77777777" w:rsidR="00864F13" w:rsidRDefault="00864F13" w:rsidP="00864F13">
      <w:pPr>
        <w:keepLines/>
        <w:autoSpaceDE w:val="0"/>
        <w:autoSpaceDN w:val="0"/>
        <w:adjustRightInd w:val="0"/>
        <w:rPr>
          <w:rFonts w:ascii="Garamond" w:hAnsi="Garamond"/>
          <w:lang w:val="en-AU"/>
        </w:rPr>
      </w:pPr>
      <w:r w:rsidRPr="00864F13">
        <w:rPr>
          <w:rFonts w:ascii="Garamond" w:hAnsi="Garamond"/>
          <w:lang w:val="en-AU"/>
        </w:rPr>
        <w:t>Health Services Safety Investigation Body</w:t>
      </w:r>
    </w:p>
    <w:p w14:paraId="02C224E7" w14:textId="19C32D2B" w:rsidR="00864F13" w:rsidRPr="00864F13" w:rsidRDefault="00864F13" w:rsidP="00864F13">
      <w:pPr>
        <w:keepLines/>
        <w:autoSpaceDE w:val="0"/>
        <w:autoSpaceDN w:val="0"/>
        <w:adjustRightInd w:val="0"/>
        <w:rPr>
          <w:rFonts w:ascii="Garamond" w:hAnsi="Garamond"/>
          <w:lang w:val="en-AU"/>
        </w:rPr>
      </w:pPr>
      <w:r w:rsidRPr="00864F13">
        <w:rPr>
          <w:rFonts w:ascii="Garamond" w:hAnsi="Garamond"/>
          <w:lang w:val="en-AU"/>
        </w:rPr>
        <w:t>Poole: HSSIB; 2024.</w:t>
      </w:r>
    </w:p>
    <w:tbl>
      <w:tblPr>
        <w:tblStyle w:val="TableGrid"/>
        <w:tblW w:w="9360" w:type="dxa"/>
        <w:tblInd w:w="288" w:type="dxa"/>
        <w:tblLayout w:type="fixed"/>
        <w:tblLook w:val="01E0" w:firstRow="1" w:lastRow="1" w:firstColumn="1" w:lastColumn="1" w:noHBand="0" w:noVBand="0"/>
      </w:tblPr>
      <w:tblGrid>
        <w:gridCol w:w="1080"/>
        <w:gridCol w:w="8280"/>
      </w:tblGrid>
      <w:tr w:rsidR="009D56F1" w:rsidRPr="00A72B35" w14:paraId="1ECC86A9" w14:textId="77777777" w:rsidTr="00353FB1">
        <w:tc>
          <w:tcPr>
            <w:tcW w:w="1080" w:type="dxa"/>
            <w:tcBorders>
              <w:top w:val="single" w:sz="4" w:space="0" w:color="auto"/>
              <w:left w:val="single" w:sz="4" w:space="0" w:color="auto"/>
              <w:bottom w:val="single" w:sz="4" w:space="0" w:color="auto"/>
              <w:right w:val="single" w:sz="4" w:space="0" w:color="auto"/>
            </w:tcBorders>
            <w:vAlign w:val="center"/>
          </w:tcPr>
          <w:p w14:paraId="0A00E313" w14:textId="77777777" w:rsidR="009D56F1" w:rsidRPr="00A72B35" w:rsidRDefault="009D56F1" w:rsidP="009D56F1">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tcPr>
          <w:p w14:paraId="5F1409E5" w14:textId="78E5EFE6" w:rsidR="009D56F1" w:rsidRPr="00A72B35" w:rsidRDefault="009D56F1" w:rsidP="009D56F1">
            <w:pPr>
              <w:keepNext/>
              <w:jc w:val="both"/>
              <w:rPr>
                <w:rStyle w:val="Hyperlink"/>
                <w:rFonts w:ascii="Garamond" w:hAnsi="Garamond"/>
                <w:color w:val="auto"/>
                <w:u w:val="none"/>
                <w:lang w:val="en-AU"/>
              </w:rPr>
            </w:pPr>
            <w:hyperlink r:id="rId22" w:history="1">
              <w:r w:rsidRPr="005B3CF7">
                <w:rPr>
                  <w:rStyle w:val="Hyperlink"/>
                </w:rPr>
                <w:t>https://www.hssib.org.uk/patient-safety-investigations/healthcare-provision-in-prisons/second-investigation-report/</w:t>
              </w:r>
            </w:hyperlink>
          </w:p>
        </w:tc>
      </w:tr>
      <w:tr w:rsidR="009D56F1" w:rsidRPr="00A72B35" w14:paraId="425048FE" w14:textId="77777777" w:rsidTr="00353FB1">
        <w:tc>
          <w:tcPr>
            <w:tcW w:w="1080" w:type="dxa"/>
            <w:tcBorders>
              <w:top w:val="single" w:sz="4" w:space="0" w:color="auto"/>
              <w:left w:val="single" w:sz="4" w:space="0" w:color="auto"/>
              <w:bottom w:val="single" w:sz="4" w:space="0" w:color="auto"/>
              <w:right w:val="single" w:sz="4" w:space="0" w:color="auto"/>
            </w:tcBorders>
            <w:vAlign w:val="center"/>
          </w:tcPr>
          <w:p w14:paraId="2756CD86" w14:textId="77777777" w:rsidR="009D56F1" w:rsidRPr="00A72B35" w:rsidRDefault="009D56F1" w:rsidP="009D56F1">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tcPr>
          <w:p w14:paraId="48175623" w14:textId="50469F43" w:rsidR="009D56F1" w:rsidRPr="00A72B35" w:rsidRDefault="00864F13" w:rsidP="00864F13">
            <w:pPr>
              <w:rPr>
                <w:rFonts w:ascii="Garamond" w:hAnsi="Garamond"/>
                <w:lang w:val="en-AU"/>
              </w:rPr>
            </w:pPr>
            <w:r w:rsidRPr="00864F13">
              <w:rPr>
                <w:rFonts w:ascii="Garamond" w:hAnsi="Garamond"/>
                <w:lang w:val="en-AU"/>
              </w:rPr>
              <w:t>The Health Services Safety Investigation Body (HSSIB) in the UK has released this second recent report into health</w:t>
            </w:r>
            <w:r>
              <w:rPr>
                <w:rFonts w:ascii="Garamond" w:hAnsi="Garamond"/>
                <w:lang w:val="en-AU"/>
              </w:rPr>
              <w:t>care provision in UK prisons</w:t>
            </w:r>
            <w:r w:rsidRPr="00864F13">
              <w:rPr>
                <w:rFonts w:ascii="Garamond" w:hAnsi="Garamond"/>
                <w:lang w:val="en-AU"/>
              </w:rPr>
              <w:t xml:space="preserve">. This </w:t>
            </w:r>
            <w:r>
              <w:rPr>
                <w:rFonts w:ascii="Garamond" w:hAnsi="Garamond"/>
                <w:lang w:val="en-AU"/>
              </w:rPr>
              <w:t xml:space="preserve">report </w:t>
            </w:r>
            <w:r w:rsidRPr="00864F13">
              <w:rPr>
                <w:rFonts w:ascii="Garamond" w:hAnsi="Garamond"/>
                <w:lang w:val="en-AU"/>
              </w:rPr>
              <w:t>focuses on the continuity of care for patients in prison. In th</w:t>
            </w:r>
            <w:r>
              <w:rPr>
                <w:rFonts w:ascii="Garamond" w:hAnsi="Garamond"/>
                <w:lang w:val="en-AU"/>
              </w:rPr>
              <w:t xml:space="preserve">is </w:t>
            </w:r>
            <w:r w:rsidRPr="00864F13">
              <w:rPr>
                <w:rFonts w:ascii="Garamond" w:hAnsi="Garamond"/>
                <w:lang w:val="en-AU"/>
              </w:rPr>
              <w:t>context, ‘continuity of care’ mean</w:t>
            </w:r>
            <w:r>
              <w:rPr>
                <w:rFonts w:ascii="Garamond" w:hAnsi="Garamond"/>
                <w:lang w:val="en-AU"/>
              </w:rPr>
              <w:t>t</w:t>
            </w:r>
            <w:r w:rsidRPr="00864F13">
              <w:rPr>
                <w:rFonts w:ascii="Garamond" w:hAnsi="Garamond"/>
                <w:lang w:val="en-AU"/>
              </w:rPr>
              <w:t xml:space="preserve"> maintaining a patient’s healthcare throughout the prison system regardless of their location. The investigation considered the movement of patients between prisons, to and from court, and on release.</w:t>
            </w:r>
          </w:p>
        </w:tc>
      </w:tr>
    </w:tbl>
    <w:p w14:paraId="1D0D0EAB" w14:textId="77777777" w:rsidR="00353140" w:rsidRDefault="00353140" w:rsidP="00353140">
      <w:pPr>
        <w:keepLines/>
        <w:autoSpaceDE w:val="0"/>
        <w:autoSpaceDN w:val="0"/>
        <w:adjustRightInd w:val="0"/>
        <w:rPr>
          <w:rFonts w:ascii="Garamond" w:hAnsi="Garamond"/>
          <w:lang w:val="en-AU"/>
        </w:rPr>
      </w:pPr>
    </w:p>
    <w:p w14:paraId="401DB863" w14:textId="77777777" w:rsidR="00421AFD" w:rsidRDefault="00421AFD">
      <w:pPr>
        <w:rPr>
          <w:rFonts w:ascii="Garamond" w:hAnsi="Garamond"/>
          <w:i/>
          <w:iCs/>
          <w:lang w:val="en-AU"/>
        </w:rPr>
      </w:pPr>
      <w:r>
        <w:rPr>
          <w:rFonts w:ascii="Garamond" w:hAnsi="Garamond"/>
          <w:i/>
          <w:iCs/>
          <w:lang w:val="en-AU"/>
        </w:rPr>
        <w:br w:type="page"/>
      </w:r>
    </w:p>
    <w:p w14:paraId="78848498" w14:textId="5638122A" w:rsidR="00987AC9" w:rsidRPr="00987AC9" w:rsidRDefault="00987AC9" w:rsidP="00987AC9">
      <w:pPr>
        <w:keepLines/>
        <w:autoSpaceDE w:val="0"/>
        <w:autoSpaceDN w:val="0"/>
        <w:adjustRightInd w:val="0"/>
        <w:rPr>
          <w:rFonts w:ascii="Garamond" w:hAnsi="Garamond"/>
          <w:i/>
          <w:iCs/>
          <w:lang w:val="en-AU"/>
        </w:rPr>
      </w:pPr>
      <w:r w:rsidRPr="00987AC9">
        <w:rPr>
          <w:rFonts w:ascii="Garamond" w:hAnsi="Garamond"/>
          <w:i/>
          <w:iCs/>
          <w:lang w:val="en-AU"/>
        </w:rPr>
        <w:lastRenderedPageBreak/>
        <w:t>Health Care Affordability for Older Adults: How the U.S. Compares to Other Countries</w:t>
      </w:r>
    </w:p>
    <w:p w14:paraId="6E9BB664" w14:textId="4AF944CF" w:rsidR="00EC0C1C" w:rsidRDefault="00EC0C1C" w:rsidP="00987AC9">
      <w:pPr>
        <w:keepLines/>
        <w:autoSpaceDE w:val="0"/>
        <w:autoSpaceDN w:val="0"/>
        <w:adjustRightInd w:val="0"/>
        <w:rPr>
          <w:rFonts w:ascii="Garamond" w:hAnsi="Garamond"/>
          <w:lang w:val="en-AU"/>
        </w:rPr>
      </w:pPr>
      <w:r w:rsidRPr="00EC0C1C">
        <w:rPr>
          <w:rFonts w:ascii="Garamond" w:hAnsi="Garamond"/>
          <w:lang w:val="en-AU"/>
        </w:rPr>
        <w:t>Gunja MZ, Jacobson G, Leonard F, Williams RD</w:t>
      </w:r>
      <w:r>
        <w:rPr>
          <w:rFonts w:ascii="Garamond" w:hAnsi="Garamond"/>
          <w:lang w:val="en-AU"/>
        </w:rPr>
        <w:t xml:space="preserve"> II</w:t>
      </w:r>
      <w:r w:rsidRPr="00EC0C1C">
        <w:rPr>
          <w:rFonts w:ascii="Garamond" w:hAnsi="Garamond"/>
          <w:lang w:val="en-AU"/>
        </w:rPr>
        <w:t>I</w:t>
      </w:r>
    </w:p>
    <w:p w14:paraId="60AB8580" w14:textId="090AC5D2" w:rsidR="00987AC9" w:rsidRPr="00A72B35" w:rsidRDefault="00EC0C1C" w:rsidP="00987AC9">
      <w:pPr>
        <w:keepLines/>
        <w:autoSpaceDE w:val="0"/>
        <w:autoSpaceDN w:val="0"/>
        <w:adjustRightInd w:val="0"/>
        <w:rPr>
          <w:rFonts w:ascii="Garamond" w:hAnsi="Garamond"/>
          <w:lang w:val="en-AU"/>
        </w:rPr>
      </w:pPr>
      <w:r w:rsidRPr="00EC0C1C">
        <w:rPr>
          <w:rFonts w:ascii="Garamond" w:hAnsi="Garamond"/>
          <w:lang w:val="en-AU"/>
        </w:rPr>
        <w:t>New York: Commonwealth Fund; 2024.</w:t>
      </w:r>
    </w:p>
    <w:tbl>
      <w:tblPr>
        <w:tblStyle w:val="TableGrid"/>
        <w:tblW w:w="9360" w:type="dxa"/>
        <w:tblInd w:w="288" w:type="dxa"/>
        <w:tblLayout w:type="fixed"/>
        <w:tblLook w:val="01E0" w:firstRow="1" w:lastRow="1" w:firstColumn="1" w:lastColumn="1" w:noHBand="0" w:noVBand="0"/>
      </w:tblPr>
      <w:tblGrid>
        <w:gridCol w:w="1080"/>
        <w:gridCol w:w="8280"/>
      </w:tblGrid>
      <w:tr w:rsidR="00987AC9" w:rsidRPr="00A72B35" w14:paraId="6B1F9010" w14:textId="77777777" w:rsidTr="00B04D07">
        <w:tc>
          <w:tcPr>
            <w:tcW w:w="1080" w:type="dxa"/>
            <w:tcBorders>
              <w:top w:val="single" w:sz="4" w:space="0" w:color="auto"/>
              <w:left w:val="single" w:sz="4" w:space="0" w:color="auto"/>
              <w:bottom w:val="single" w:sz="4" w:space="0" w:color="auto"/>
              <w:right w:val="single" w:sz="4" w:space="0" w:color="auto"/>
            </w:tcBorders>
            <w:vAlign w:val="center"/>
          </w:tcPr>
          <w:p w14:paraId="0EDFC2B1" w14:textId="77777777" w:rsidR="00987AC9" w:rsidRPr="00A72B35" w:rsidRDefault="00987AC9" w:rsidP="00B04D07">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93CC35D" w14:textId="70C9FB64" w:rsidR="00987AC9" w:rsidRPr="00A72B35" w:rsidRDefault="00EC0C1C" w:rsidP="00B04D07">
            <w:pPr>
              <w:keepNext/>
              <w:jc w:val="both"/>
              <w:rPr>
                <w:rStyle w:val="Hyperlink"/>
                <w:rFonts w:ascii="Garamond" w:hAnsi="Garamond"/>
                <w:color w:val="auto"/>
                <w:u w:val="none"/>
                <w:lang w:val="en-AU"/>
              </w:rPr>
            </w:pPr>
            <w:hyperlink r:id="rId23" w:history="1">
              <w:r w:rsidRPr="006517DC">
                <w:rPr>
                  <w:rStyle w:val="Hyperlink"/>
                  <w:rFonts w:ascii="Garamond" w:hAnsi="Garamond"/>
                  <w:lang w:val="en-AU"/>
                </w:rPr>
                <w:t>https://doi.org/10.26099/tgjb-1m67</w:t>
              </w:r>
            </w:hyperlink>
          </w:p>
        </w:tc>
      </w:tr>
      <w:tr w:rsidR="00987AC9" w:rsidRPr="00A72B35" w14:paraId="2E4A01C9" w14:textId="77777777" w:rsidTr="00B04D07">
        <w:tc>
          <w:tcPr>
            <w:tcW w:w="1080" w:type="dxa"/>
            <w:tcBorders>
              <w:top w:val="single" w:sz="4" w:space="0" w:color="auto"/>
              <w:left w:val="single" w:sz="4" w:space="0" w:color="auto"/>
              <w:bottom w:val="single" w:sz="4" w:space="0" w:color="auto"/>
              <w:right w:val="single" w:sz="4" w:space="0" w:color="auto"/>
            </w:tcBorders>
            <w:vAlign w:val="center"/>
          </w:tcPr>
          <w:p w14:paraId="34E6A861" w14:textId="77777777" w:rsidR="00987AC9" w:rsidRPr="00A72B35" w:rsidRDefault="00987AC9" w:rsidP="00B04D0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DE4EBD3" w14:textId="0AE8E282" w:rsidR="00E864B6" w:rsidRDefault="00987AC9" w:rsidP="00B04D07">
            <w:pPr>
              <w:rPr>
                <w:rFonts w:ascii="Garamond" w:hAnsi="Garamond"/>
                <w:lang w:val="en-AU"/>
              </w:rPr>
            </w:pPr>
            <w:r>
              <w:rPr>
                <w:rFonts w:ascii="Garamond" w:hAnsi="Garamond"/>
                <w:lang w:val="en-AU"/>
              </w:rPr>
              <w:t>In this latest iteration of the Commonwealth Fund’s survey of health systems the focus was on affordability for older adults. In many of these national comparisons Australia rates highly. However, on those occasions where out of pocket costs are considered, such as here, the ranking tends to slip.</w:t>
            </w:r>
            <w:r w:rsidR="00E864B6">
              <w:rPr>
                <w:rFonts w:ascii="Garamond" w:hAnsi="Garamond"/>
                <w:lang w:val="en-AU"/>
              </w:rPr>
              <w:t xml:space="preserve"> </w:t>
            </w:r>
            <w:r w:rsidR="00E864B6" w:rsidRPr="00E864B6">
              <w:rPr>
                <w:rFonts w:ascii="Garamond" w:hAnsi="Garamond"/>
                <w:lang w:val="en-AU"/>
              </w:rPr>
              <w:t xml:space="preserve">This brief presents the first findings from the 2024 Commonwealth Fund International Health Policy Survey of Older Adults in 10 countries to explore how financial considerations affect older adults’ health care decisions. The survey involved adults </w:t>
            </w:r>
            <w:proofErr w:type="gramStart"/>
            <w:r w:rsidR="00E864B6" w:rsidRPr="00E864B6">
              <w:rPr>
                <w:rFonts w:ascii="Garamond" w:hAnsi="Garamond"/>
                <w:lang w:val="en-AU"/>
              </w:rPr>
              <w:t>age</w:t>
            </w:r>
            <w:proofErr w:type="gramEnd"/>
            <w:r w:rsidR="00E864B6" w:rsidRPr="00E864B6">
              <w:rPr>
                <w:rFonts w:ascii="Garamond" w:hAnsi="Garamond"/>
                <w:lang w:val="en-AU"/>
              </w:rPr>
              <w:t xml:space="preserve"> 65 and older in Australia, Canada, France, Germany, the Netherlands, New Zealand, Sweden, Switzerland, the United Kingdom, and the United States.</w:t>
            </w:r>
            <w:r w:rsidR="00E864B6">
              <w:rPr>
                <w:rFonts w:ascii="Garamond" w:hAnsi="Garamond"/>
                <w:lang w:val="en-AU"/>
              </w:rPr>
              <w:t xml:space="preserve"> </w:t>
            </w:r>
            <w:proofErr w:type="gramStart"/>
            <w:r w:rsidR="00E864B6">
              <w:rPr>
                <w:rFonts w:ascii="Garamond" w:hAnsi="Garamond"/>
                <w:lang w:val="en-AU"/>
              </w:rPr>
              <w:t>This brief reports</w:t>
            </w:r>
            <w:proofErr w:type="gramEnd"/>
            <w:r w:rsidR="00E864B6">
              <w:rPr>
                <w:rFonts w:ascii="Garamond" w:hAnsi="Garamond"/>
                <w:lang w:val="en-AU"/>
              </w:rPr>
              <w:t xml:space="preserve"> that l</w:t>
            </w:r>
            <w:r w:rsidR="00E864B6" w:rsidRPr="00E864B6">
              <w:rPr>
                <w:rFonts w:ascii="Garamond" w:hAnsi="Garamond"/>
                <w:lang w:val="en-AU"/>
              </w:rPr>
              <w:t>ess than 10 percent of older adults across countries skipped needed treatment because of the cost, but those in the U.S. and Australia did so at the highest rates.</w:t>
            </w:r>
            <w:r w:rsidR="00E864B6">
              <w:rPr>
                <w:rFonts w:ascii="Garamond" w:hAnsi="Garamond"/>
                <w:lang w:val="en-AU"/>
              </w:rPr>
              <w:br/>
            </w:r>
          </w:p>
          <w:p w14:paraId="0FD660BE" w14:textId="742A83E5" w:rsidR="00E864B6" w:rsidRPr="00A72B35" w:rsidRDefault="00E864B6" w:rsidP="00B04D07">
            <w:pPr>
              <w:rPr>
                <w:rFonts w:ascii="Garamond" w:hAnsi="Garamond"/>
                <w:lang w:val="en-AU"/>
              </w:rPr>
            </w:pPr>
            <w:r>
              <w:rPr>
                <w:rFonts w:ascii="Garamond" w:hAnsi="Garamond"/>
                <w:noProof/>
                <w:lang w:val="en-AU"/>
              </w:rPr>
              <w:drawing>
                <wp:inline distT="0" distB="0" distL="0" distR="0" wp14:anchorId="1E12D0DE" wp14:editId="4B57C135">
                  <wp:extent cx="5120640" cy="3054985"/>
                  <wp:effectExtent l="0" t="0" r="3810" b="0"/>
                  <wp:docPr id="818557496" name="Picture 4" descr="Graph showing percentage of adults age 65 and older who skipped a medical test, treatment, or follow-up that was recommended by a doctor because of the cost in the past 12 months. Values range from 2% for Sweden to 9% for Americans under Medicare Advantage. The value for Australia 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57496" name="Picture 4" descr="Graph showing percentage of adults age 65 and older who skipped a medical test, treatment, or follow-up that was recommended by a doctor because of the cost in the past 12 months. Values range from 2% for Sweden to 9% for Americans under Medicare Advantage. The value for Australia is 8%."/>
                          <pic:cNvPicPr/>
                        </pic:nvPicPr>
                        <pic:blipFill>
                          <a:blip r:embed="rId24">
                            <a:extLst>
                              <a:ext uri="{28A0092B-C50C-407E-A947-70E740481C1C}">
                                <a14:useLocalDpi xmlns:a14="http://schemas.microsoft.com/office/drawing/2010/main" val="0"/>
                              </a:ext>
                            </a:extLst>
                          </a:blip>
                          <a:stretch>
                            <a:fillRect/>
                          </a:stretch>
                        </pic:blipFill>
                        <pic:spPr>
                          <a:xfrm>
                            <a:off x="0" y="0"/>
                            <a:ext cx="5120640" cy="3054985"/>
                          </a:xfrm>
                          <a:prstGeom prst="rect">
                            <a:avLst/>
                          </a:prstGeom>
                        </pic:spPr>
                      </pic:pic>
                    </a:graphicData>
                  </a:graphic>
                </wp:inline>
              </w:drawing>
            </w:r>
          </w:p>
        </w:tc>
      </w:tr>
    </w:tbl>
    <w:p w14:paraId="3FD5AFE0" w14:textId="77777777" w:rsidR="00F9255C" w:rsidRDefault="00F9255C" w:rsidP="00F9255C">
      <w:pPr>
        <w:keepLines/>
        <w:autoSpaceDE w:val="0"/>
        <w:autoSpaceDN w:val="0"/>
        <w:adjustRightInd w:val="0"/>
        <w:rPr>
          <w:rFonts w:ascii="Garamond" w:hAnsi="Garamond"/>
          <w:lang w:val="en-AU"/>
        </w:rPr>
      </w:pPr>
    </w:p>
    <w:p w14:paraId="5522F433" w14:textId="77777777" w:rsidR="00CF0686" w:rsidRPr="00A72B35" w:rsidRDefault="00CF0686" w:rsidP="00F9255C">
      <w:pPr>
        <w:keepLines/>
        <w:autoSpaceDE w:val="0"/>
        <w:autoSpaceDN w:val="0"/>
        <w:adjustRightInd w:val="0"/>
        <w:rPr>
          <w:rFonts w:ascii="Garamond" w:hAnsi="Garamond"/>
          <w:lang w:val="en-AU"/>
        </w:rPr>
      </w:pPr>
    </w:p>
    <w:p w14:paraId="604EB9F1" w14:textId="285933DE" w:rsidR="00E02472" w:rsidRPr="00A72B35" w:rsidRDefault="00E02472" w:rsidP="000A3862">
      <w:pPr>
        <w:keepNext/>
        <w:keepLines/>
        <w:autoSpaceDE w:val="0"/>
        <w:autoSpaceDN w:val="0"/>
        <w:adjustRightInd w:val="0"/>
        <w:rPr>
          <w:rFonts w:ascii="Garamond" w:hAnsi="Garamond"/>
          <w:b/>
          <w:lang w:val="en-AU"/>
        </w:rPr>
      </w:pPr>
      <w:r w:rsidRPr="00A72B35">
        <w:rPr>
          <w:rFonts w:ascii="Garamond" w:hAnsi="Garamond"/>
          <w:b/>
          <w:lang w:val="en-AU"/>
        </w:rPr>
        <w:t>Journal articles</w:t>
      </w:r>
    </w:p>
    <w:p w14:paraId="4DD36B3A" w14:textId="77777777" w:rsidR="00157236" w:rsidRPr="00A72B35" w:rsidRDefault="00157236" w:rsidP="00FC2391">
      <w:pPr>
        <w:keepLines/>
        <w:autoSpaceDE w:val="0"/>
        <w:autoSpaceDN w:val="0"/>
        <w:adjustRightInd w:val="0"/>
        <w:rPr>
          <w:rFonts w:ascii="Garamond" w:hAnsi="Garamond"/>
          <w:lang w:val="en-AU"/>
        </w:rPr>
      </w:pPr>
      <w:bookmarkStart w:id="1" w:name="_Hlk167708489"/>
    </w:p>
    <w:p w14:paraId="5369AC9F" w14:textId="328A0E22" w:rsidR="00600DB4" w:rsidRPr="009D56F1" w:rsidRDefault="009D56F1" w:rsidP="00600DB4">
      <w:pPr>
        <w:keepLines/>
        <w:autoSpaceDE w:val="0"/>
        <w:autoSpaceDN w:val="0"/>
        <w:adjustRightInd w:val="0"/>
        <w:rPr>
          <w:rFonts w:ascii="Garamond" w:hAnsi="Garamond"/>
          <w:i/>
          <w:iCs/>
          <w:lang w:val="en-AU"/>
        </w:rPr>
      </w:pPr>
      <w:r w:rsidRPr="009D56F1">
        <w:rPr>
          <w:rFonts w:ascii="Garamond" w:hAnsi="Garamond"/>
          <w:i/>
          <w:iCs/>
          <w:lang w:val="en-AU"/>
        </w:rPr>
        <w:t>Addressing antimicrobial resistance with digital approaches</w:t>
      </w:r>
    </w:p>
    <w:p w14:paraId="254EC7D9" w14:textId="25A5142C" w:rsidR="009D56F1" w:rsidRPr="00A72B35" w:rsidRDefault="00EE445C" w:rsidP="00600DB4">
      <w:pPr>
        <w:keepLines/>
        <w:autoSpaceDE w:val="0"/>
        <w:autoSpaceDN w:val="0"/>
        <w:adjustRightInd w:val="0"/>
        <w:rPr>
          <w:rFonts w:ascii="Garamond" w:hAnsi="Garamond"/>
          <w:lang w:val="en-AU"/>
        </w:rPr>
      </w:pPr>
      <w:r>
        <w:rPr>
          <w:rFonts w:ascii="Garamond" w:hAnsi="Garamond"/>
          <w:lang w:val="en-AU"/>
        </w:rPr>
        <w:t>The Lancet Digital Health</w:t>
      </w:r>
    </w:p>
    <w:tbl>
      <w:tblPr>
        <w:tblStyle w:val="TableGrid"/>
        <w:tblW w:w="9360" w:type="dxa"/>
        <w:tblInd w:w="288" w:type="dxa"/>
        <w:tblLayout w:type="fixed"/>
        <w:tblLook w:val="01E0" w:firstRow="1" w:lastRow="1" w:firstColumn="1" w:lastColumn="1" w:noHBand="0" w:noVBand="0"/>
      </w:tblPr>
      <w:tblGrid>
        <w:gridCol w:w="1080"/>
        <w:gridCol w:w="8280"/>
      </w:tblGrid>
      <w:tr w:rsidR="00600DB4" w:rsidRPr="00A72B35" w14:paraId="75F63DB6"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18102FD3" w14:textId="77777777" w:rsidR="00600DB4" w:rsidRPr="00A72B35" w:rsidRDefault="00600DB4" w:rsidP="00BC5A6D">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0075FE2" w14:textId="5C67F98F" w:rsidR="00600DB4" w:rsidRPr="00A72B35" w:rsidRDefault="009D56F1" w:rsidP="00BC5A6D">
            <w:pPr>
              <w:keepNext/>
              <w:jc w:val="both"/>
              <w:rPr>
                <w:lang w:val="en-AU"/>
              </w:rPr>
            </w:pPr>
            <w:hyperlink r:id="rId25" w:history="1">
              <w:r w:rsidRPr="00D23A8B">
                <w:rPr>
                  <w:rStyle w:val="Hyperlink"/>
                </w:rPr>
                <w:t>https://www.thelancet.com/series/AMR-and-digital-approaches</w:t>
              </w:r>
            </w:hyperlink>
          </w:p>
        </w:tc>
      </w:tr>
      <w:tr w:rsidR="00600DB4" w:rsidRPr="00A72B35" w14:paraId="5CB621AE"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02AA5C71" w14:textId="77777777" w:rsidR="00600DB4" w:rsidRPr="00A72B35" w:rsidRDefault="00600DB4" w:rsidP="00BC5A6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CA90F20" w14:textId="7E40FDA1" w:rsidR="00600DB4" w:rsidRPr="00A72B35" w:rsidRDefault="00EE445C" w:rsidP="00BC5A6D">
            <w:pPr>
              <w:rPr>
                <w:rFonts w:ascii="Garamond" w:hAnsi="Garamond"/>
                <w:lang w:val="en-AU"/>
              </w:rPr>
            </w:pPr>
            <w:r w:rsidRPr="00717400">
              <w:rPr>
                <w:rFonts w:ascii="Garamond" w:hAnsi="Garamond"/>
                <w:i/>
                <w:iCs/>
                <w:lang w:val="en-AU"/>
              </w:rPr>
              <w:t>The Lancet Digital Health</w:t>
            </w:r>
            <w:r>
              <w:rPr>
                <w:rFonts w:ascii="Garamond" w:hAnsi="Garamond"/>
                <w:lang w:val="en-AU"/>
              </w:rPr>
              <w:t xml:space="preserve"> has produced a Series on </w:t>
            </w:r>
            <w:r w:rsidRPr="00EE445C">
              <w:rPr>
                <w:rFonts w:ascii="Garamond" w:hAnsi="Garamond"/>
                <w:lang w:val="en-AU"/>
              </w:rPr>
              <w:t>Addressing antimicrobial resistance</w:t>
            </w:r>
            <w:r>
              <w:rPr>
                <w:rFonts w:ascii="Garamond" w:hAnsi="Garamond"/>
                <w:lang w:val="en-AU"/>
              </w:rPr>
              <w:t xml:space="preserve"> (AMR)</w:t>
            </w:r>
            <w:r w:rsidRPr="00EE445C">
              <w:rPr>
                <w:rFonts w:ascii="Garamond" w:hAnsi="Garamond"/>
                <w:lang w:val="en-AU"/>
              </w:rPr>
              <w:t xml:space="preserve"> with digital approaches</w:t>
            </w:r>
            <w:r>
              <w:rPr>
                <w:rFonts w:ascii="Garamond" w:hAnsi="Garamond"/>
                <w:lang w:val="en-AU"/>
              </w:rPr>
              <w:t xml:space="preserve"> comprised of three papers </w:t>
            </w:r>
            <w:r w:rsidRPr="00EE445C">
              <w:rPr>
                <w:rFonts w:ascii="Garamond" w:hAnsi="Garamond"/>
                <w:lang w:val="en-AU"/>
              </w:rPr>
              <w:t>discussing the advances and challenges in digital health approaches to AMR</w:t>
            </w:r>
            <w:r>
              <w:rPr>
                <w:rFonts w:ascii="Garamond" w:hAnsi="Garamond"/>
                <w:lang w:val="en-AU"/>
              </w:rPr>
              <w:t xml:space="preserve">. </w:t>
            </w:r>
            <w:r w:rsidRPr="00EE445C">
              <w:rPr>
                <w:rFonts w:ascii="Garamond" w:hAnsi="Garamond"/>
                <w:lang w:val="en-AU"/>
              </w:rPr>
              <w:t xml:space="preserve">The papers explore how digital health technologies </w:t>
            </w:r>
            <w:r>
              <w:rPr>
                <w:rFonts w:ascii="Garamond" w:hAnsi="Garamond"/>
                <w:lang w:val="en-AU"/>
              </w:rPr>
              <w:t xml:space="preserve">may </w:t>
            </w:r>
            <w:r w:rsidRPr="00EE445C">
              <w:rPr>
                <w:rFonts w:ascii="Garamond" w:hAnsi="Garamond"/>
                <w:lang w:val="en-AU"/>
              </w:rPr>
              <w:t>optimize antimicrobial use worldwide, enhance the management of maternal, fetal, and neonatal infections, and develop innovative diagnostic tools for infectious diseases and AMR.</w:t>
            </w:r>
          </w:p>
        </w:tc>
      </w:tr>
    </w:tbl>
    <w:p w14:paraId="523705FF" w14:textId="77777777" w:rsidR="00600DB4" w:rsidRDefault="00600DB4" w:rsidP="00600DB4">
      <w:pPr>
        <w:keepLines/>
        <w:autoSpaceDE w:val="0"/>
        <w:autoSpaceDN w:val="0"/>
        <w:adjustRightInd w:val="0"/>
        <w:rPr>
          <w:rFonts w:ascii="Garamond" w:hAnsi="Garamond"/>
          <w:lang w:val="en-AU"/>
        </w:rPr>
      </w:pPr>
    </w:p>
    <w:p w14:paraId="6315A282" w14:textId="745E6FEB" w:rsidR="00D61808" w:rsidRDefault="00D61808" w:rsidP="00600DB4">
      <w:pPr>
        <w:keepLines/>
        <w:autoSpaceDE w:val="0"/>
        <w:autoSpaceDN w:val="0"/>
        <w:adjustRightInd w:val="0"/>
        <w:rPr>
          <w:rFonts w:ascii="Garamond" w:hAnsi="Garamond"/>
          <w:lang w:val="en-AU"/>
        </w:rPr>
      </w:pPr>
      <w:r w:rsidRPr="00A72B35">
        <w:rPr>
          <w:rFonts w:ascii="Garamond" w:hAnsi="Garamond"/>
          <w:lang w:val="en-AU"/>
        </w:rPr>
        <w:t xml:space="preserve">For information on the Commission’s work on </w:t>
      </w:r>
      <w:r w:rsidRPr="00EE445C">
        <w:rPr>
          <w:rFonts w:ascii="Garamond" w:hAnsi="Garamond"/>
          <w:lang w:val="en-AU"/>
        </w:rPr>
        <w:t>antimicrobial resistance</w:t>
      </w:r>
      <w:r w:rsidRPr="00A72B35">
        <w:rPr>
          <w:rFonts w:ascii="Garamond" w:hAnsi="Garamond"/>
          <w:lang w:val="en-AU"/>
        </w:rPr>
        <w:t xml:space="preserve"> see</w:t>
      </w:r>
      <w:r>
        <w:rPr>
          <w:rFonts w:ascii="Garamond" w:hAnsi="Garamond"/>
          <w:lang w:val="en-AU"/>
        </w:rPr>
        <w:t xml:space="preserve"> </w:t>
      </w:r>
      <w:hyperlink r:id="rId26" w:history="1">
        <w:r w:rsidRPr="00D61808">
          <w:rPr>
            <w:rStyle w:val="Hyperlink"/>
            <w:rFonts w:ascii="Garamond" w:hAnsi="Garamond"/>
          </w:rPr>
          <w:t>Antimicrobial resistance | Australian Commission on Safety and Quality in Health Care</w:t>
        </w:r>
      </w:hyperlink>
    </w:p>
    <w:p w14:paraId="5E0F46BE" w14:textId="77777777" w:rsidR="00274432" w:rsidRPr="00274432" w:rsidRDefault="00274432" w:rsidP="00274432">
      <w:pPr>
        <w:keepNext/>
        <w:keepLines/>
        <w:autoSpaceDE w:val="0"/>
        <w:autoSpaceDN w:val="0"/>
        <w:adjustRightInd w:val="0"/>
        <w:rPr>
          <w:rFonts w:ascii="Garamond" w:hAnsi="Garamond"/>
          <w:i/>
          <w:iCs/>
          <w:lang w:val="en-AU"/>
        </w:rPr>
      </w:pPr>
      <w:bookmarkStart w:id="2" w:name="_Hlk184275905"/>
      <w:r w:rsidRPr="00274432">
        <w:rPr>
          <w:rFonts w:ascii="Garamond" w:hAnsi="Garamond"/>
          <w:i/>
          <w:iCs/>
          <w:lang w:val="en-AU"/>
        </w:rPr>
        <w:lastRenderedPageBreak/>
        <w:t>Clinicians’ perspective of the opioid analgesic stewardship in acute pain clinical care standard</w:t>
      </w:r>
    </w:p>
    <w:p w14:paraId="63BECC05" w14:textId="77777777" w:rsidR="00274432" w:rsidRDefault="00274432" w:rsidP="00274432">
      <w:pPr>
        <w:keepNext/>
        <w:keepLines/>
        <w:autoSpaceDE w:val="0"/>
        <w:autoSpaceDN w:val="0"/>
        <w:adjustRightInd w:val="0"/>
        <w:rPr>
          <w:rFonts w:ascii="Garamond" w:hAnsi="Garamond"/>
          <w:lang w:val="en-AU"/>
        </w:rPr>
      </w:pPr>
      <w:r w:rsidRPr="00274432">
        <w:rPr>
          <w:rFonts w:ascii="Garamond" w:hAnsi="Garamond"/>
          <w:lang w:val="en-AU"/>
        </w:rPr>
        <w:t>Dutkiewicz C, Liu S, Patanwala A, McLachlan AJ, Stevens J, Khor KE, et al</w:t>
      </w:r>
    </w:p>
    <w:p w14:paraId="00C1A70C" w14:textId="69A5A6F1" w:rsidR="00353140" w:rsidRPr="00A72B35" w:rsidRDefault="00274432" w:rsidP="00274432">
      <w:pPr>
        <w:keepNext/>
        <w:keepLines/>
        <w:autoSpaceDE w:val="0"/>
        <w:autoSpaceDN w:val="0"/>
        <w:adjustRightInd w:val="0"/>
        <w:rPr>
          <w:rFonts w:ascii="Garamond" w:hAnsi="Garamond"/>
          <w:lang w:val="en-AU"/>
        </w:rPr>
      </w:pPr>
      <w:r w:rsidRPr="00274432">
        <w:rPr>
          <w:rFonts w:ascii="Garamond" w:hAnsi="Garamond"/>
          <w:lang w:val="en-AU"/>
        </w:rPr>
        <w:t xml:space="preserve">Health Policy and Technology </w:t>
      </w:r>
      <w:proofErr w:type="gramStart"/>
      <w:r w:rsidRPr="00274432">
        <w:rPr>
          <w:rFonts w:ascii="Garamond" w:hAnsi="Garamond"/>
          <w:lang w:val="en-AU"/>
        </w:rPr>
        <w:t>2024;13:100936</w:t>
      </w:r>
      <w:proofErr w:type="gramEnd"/>
      <w:r w:rsidRPr="00274432">
        <w:rPr>
          <w:rFonts w:ascii="Garamond" w:hAnsi="Garamond"/>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353140" w:rsidRPr="00A72B35" w14:paraId="1593B04A" w14:textId="77777777" w:rsidTr="00871C2F">
        <w:tc>
          <w:tcPr>
            <w:tcW w:w="1080" w:type="dxa"/>
            <w:tcBorders>
              <w:top w:val="single" w:sz="4" w:space="0" w:color="auto"/>
              <w:left w:val="single" w:sz="4" w:space="0" w:color="auto"/>
              <w:bottom w:val="single" w:sz="4" w:space="0" w:color="auto"/>
              <w:right w:val="single" w:sz="4" w:space="0" w:color="auto"/>
            </w:tcBorders>
            <w:vAlign w:val="center"/>
          </w:tcPr>
          <w:p w14:paraId="20322152" w14:textId="77777777" w:rsidR="00353140" w:rsidRPr="00A72B35" w:rsidRDefault="00353140" w:rsidP="00871C2F">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E3515D7" w14:textId="5D7D8C5A" w:rsidR="00353140" w:rsidRPr="00A72B35" w:rsidRDefault="00274432" w:rsidP="00871C2F">
            <w:pPr>
              <w:keepNext/>
              <w:jc w:val="both"/>
              <w:rPr>
                <w:lang w:val="en-AU"/>
              </w:rPr>
            </w:pPr>
            <w:hyperlink r:id="rId27" w:history="1">
              <w:r w:rsidRPr="00E372E4">
                <w:rPr>
                  <w:rStyle w:val="Hyperlink"/>
                  <w:lang w:val="en-AU"/>
                </w:rPr>
                <w:t>https://doi.org/10.1016/j.hlpt.2024.100936</w:t>
              </w:r>
            </w:hyperlink>
          </w:p>
        </w:tc>
      </w:tr>
      <w:tr w:rsidR="00353140" w:rsidRPr="00A72B35" w14:paraId="0F1A7630" w14:textId="77777777" w:rsidTr="00871C2F">
        <w:tc>
          <w:tcPr>
            <w:tcW w:w="1080" w:type="dxa"/>
            <w:tcBorders>
              <w:top w:val="single" w:sz="4" w:space="0" w:color="auto"/>
              <w:left w:val="single" w:sz="4" w:space="0" w:color="auto"/>
              <w:bottom w:val="single" w:sz="4" w:space="0" w:color="auto"/>
              <w:right w:val="single" w:sz="4" w:space="0" w:color="auto"/>
            </w:tcBorders>
            <w:vAlign w:val="center"/>
          </w:tcPr>
          <w:p w14:paraId="5DDEB423" w14:textId="77777777" w:rsidR="00353140" w:rsidRPr="00A72B35" w:rsidRDefault="00353140" w:rsidP="00871C2F">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3B197D4" w14:textId="5100929C" w:rsidR="00353140" w:rsidRPr="00A72B35" w:rsidRDefault="001009CD" w:rsidP="00871C2F">
            <w:pPr>
              <w:rPr>
                <w:rFonts w:ascii="Garamond" w:hAnsi="Garamond"/>
                <w:lang w:val="en-AU"/>
              </w:rPr>
            </w:pPr>
            <w:r>
              <w:rPr>
                <w:rFonts w:ascii="Garamond" w:hAnsi="Garamond"/>
                <w:lang w:val="en-AU"/>
              </w:rPr>
              <w:t xml:space="preserve">The </w:t>
            </w:r>
            <w:r w:rsidRPr="00274432">
              <w:rPr>
                <w:rFonts w:ascii="Garamond" w:hAnsi="Garamond"/>
                <w:i/>
                <w:iCs/>
                <w:lang w:val="en-AU"/>
              </w:rPr>
              <w:t>Opioid Analgesic Stewardship in Acute Pain Clinical Care Standard</w:t>
            </w:r>
            <w:r w:rsidRPr="00A72B35">
              <w:rPr>
                <w:rFonts w:ascii="Garamond" w:hAnsi="Garamond"/>
                <w:lang w:val="en-AU"/>
              </w:rPr>
              <w:t xml:space="preserve"> </w:t>
            </w:r>
            <w:r>
              <w:rPr>
                <w:rFonts w:ascii="Garamond" w:hAnsi="Garamond"/>
                <w:lang w:val="en-AU"/>
              </w:rPr>
              <w:t xml:space="preserve">released in 2022 </w:t>
            </w:r>
            <w:r w:rsidRPr="001009CD">
              <w:rPr>
                <w:rFonts w:ascii="Garamond" w:hAnsi="Garamond"/>
                <w:lang w:val="en-AU"/>
              </w:rPr>
              <w:t>describes the key components of care that patients can expect when they are prescribed opioid analgesics for acute pain in acute care settings.</w:t>
            </w:r>
            <w:r>
              <w:rPr>
                <w:rFonts w:ascii="Garamond" w:hAnsi="Garamond"/>
                <w:lang w:val="en-AU"/>
              </w:rPr>
              <w:t xml:space="preserve"> This paper reports on a study involving qualitative interviews of 32 clinicians ‘</w:t>
            </w:r>
            <w:r w:rsidRPr="001009CD">
              <w:rPr>
                <w:rFonts w:ascii="Garamond" w:hAnsi="Garamond"/>
                <w:lang w:val="en-AU"/>
              </w:rPr>
              <w:t>including 10 doctors, 10 pharmacists, and 12 nurses from 26 sites across Australia</w:t>
            </w:r>
            <w:r>
              <w:rPr>
                <w:rFonts w:ascii="Garamond" w:hAnsi="Garamond"/>
                <w:lang w:val="en-AU"/>
              </w:rPr>
              <w:t>’ that sought to ‘</w:t>
            </w:r>
            <w:r w:rsidRPr="001009CD">
              <w:rPr>
                <w:rFonts w:ascii="Garamond" w:hAnsi="Garamond"/>
                <w:lang w:val="en-AU"/>
              </w:rPr>
              <w:t xml:space="preserve">explore clinicians’ perspectives of the implementation of the </w:t>
            </w:r>
            <w:r>
              <w:rPr>
                <w:rFonts w:ascii="Garamond" w:hAnsi="Garamond"/>
                <w:lang w:val="en-AU"/>
              </w:rPr>
              <w:t xml:space="preserve">… </w:t>
            </w:r>
            <w:r w:rsidRPr="001009CD">
              <w:rPr>
                <w:rFonts w:ascii="Garamond" w:hAnsi="Garamond"/>
                <w:lang w:val="en-AU"/>
              </w:rPr>
              <w:t>Standard</w:t>
            </w:r>
            <w:r>
              <w:rPr>
                <w:rFonts w:ascii="Garamond" w:hAnsi="Garamond"/>
                <w:lang w:val="en-AU"/>
              </w:rPr>
              <w:t>’. From their analyses, the authors report that ‘</w:t>
            </w:r>
            <w:r w:rsidRPr="001009CD">
              <w:rPr>
                <w:rFonts w:ascii="Garamond" w:hAnsi="Garamond"/>
                <w:lang w:val="en-AU"/>
              </w:rPr>
              <w:t>Key findings from this study included the importance of local data to increase organizational prioritization, availability of resources and staffing to increase organizational capacity for implementation to implement the Opioid Stewardship Standard.</w:t>
            </w:r>
            <w:r>
              <w:rPr>
                <w:rFonts w:ascii="Garamond" w:hAnsi="Garamond"/>
                <w:lang w:val="en-AU"/>
              </w:rPr>
              <w:t>’</w:t>
            </w:r>
          </w:p>
        </w:tc>
      </w:tr>
    </w:tbl>
    <w:p w14:paraId="0534BE92" w14:textId="77777777" w:rsidR="00353140" w:rsidRDefault="00353140" w:rsidP="00353140">
      <w:pPr>
        <w:keepLines/>
        <w:autoSpaceDE w:val="0"/>
        <w:autoSpaceDN w:val="0"/>
        <w:adjustRightInd w:val="0"/>
        <w:rPr>
          <w:rFonts w:ascii="Garamond" w:hAnsi="Garamond"/>
          <w:lang w:val="en-AU"/>
        </w:rPr>
      </w:pPr>
    </w:p>
    <w:p w14:paraId="0C607302" w14:textId="678746E2" w:rsidR="00274432" w:rsidRDefault="00274432" w:rsidP="00353140">
      <w:pPr>
        <w:keepLines/>
        <w:autoSpaceDE w:val="0"/>
        <w:autoSpaceDN w:val="0"/>
        <w:adjustRightInd w:val="0"/>
        <w:rPr>
          <w:rFonts w:ascii="Garamond" w:hAnsi="Garamond"/>
          <w:lang w:val="en-AU"/>
        </w:rPr>
      </w:pPr>
      <w:r w:rsidRPr="00A72B35">
        <w:rPr>
          <w:rFonts w:ascii="Garamond" w:hAnsi="Garamond"/>
          <w:lang w:val="en-AU"/>
        </w:rPr>
        <w:t xml:space="preserve">For information on the </w:t>
      </w:r>
      <w:r w:rsidRPr="00274432">
        <w:rPr>
          <w:rFonts w:ascii="Garamond" w:hAnsi="Garamond"/>
          <w:i/>
          <w:iCs/>
          <w:lang w:val="en-AU"/>
        </w:rPr>
        <w:t>Opioid Analgesic Stewardship in Acute Pain Clinical Care Standard</w:t>
      </w:r>
      <w:r w:rsidRPr="00A72B35">
        <w:rPr>
          <w:rFonts w:ascii="Garamond" w:hAnsi="Garamond"/>
          <w:lang w:val="en-AU"/>
        </w:rPr>
        <w:t xml:space="preserve"> see</w:t>
      </w:r>
      <w:r>
        <w:rPr>
          <w:rFonts w:ascii="Garamond" w:hAnsi="Garamond"/>
          <w:lang w:val="en-AU"/>
        </w:rPr>
        <w:t xml:space="preserve"> </w:t>
      </w:r>
      <w:hyperlink r:id="rId28" w:history="1">
        <w:r w:rsidRPr="00E372E4">
          <w:rPr>
            <w:rStyle w:val="Hyperlink"/>
            <w:rFonts w:ascii="Garamond" w:hAnsi="Garamond"/>
            <w:lang w:val="en-AU"/>
          </w:rPr>
          <w:t>https://www.safetyandquality.gov.au/standards/clinical-care-standards/opioid-analgesic-stewardship-acute-pain-clinical-care-standard</w:t>
        </w:r>
      </w:hyperlink>
    </w:p>
    <w:bookmarkEnd w:id="2"/>
    <w:p w14:paraId="1D5FCAC8" w14:textId="77777777" w:rsidR="004C3C9C" w:rsidRDefault="004C3C9C" w:rsidP="00F76BA4">
      <w:pPr>
        <w:keepNext/>
        <w:rPr>
          <w:rFonts w:ascii="Garamond" w:hAnsi="Garamond"/>
          <w:i/>
          <w:lang w:val="en-AU"/>
        </w:rPr>
      </w:pPr>
    </w:p>
    <w:p w14:paraId="21D64791" w14:textId="6E5A684A" w:rsidR="009D56F1" w:rsidRDefault="009D56F1" w:rsidP="00F76BA4">
      <w:pPr>
        <w:keepNext/>
        <w:rPr>
          <w:rFonts w:ascii="Garamond" w:hAnsi="Garamond"/>
          <w:i/>
          <w:lang w:val="en-AU"/>
        </w:rPr>
      </w:pPr>
      <w:r w:rsidRPr="009D56F1">
        <w:rPr>
          <w:rFonts w:ascii="Garamond" w:hAnsi="Garamond"/>
          <w:i/>
          <w:lang w:val="en-AU"/>
        </w:rPr>
        <w:t>The Joint Commission Journal on Quality and Patient Safety</w:t>
      </w:r>
    </w:p>
    <w:p w14:paraId="0D136BB3" w14:textId="4F1741EE" w:rsidR="009D56F1" w:rsidRPr="00A72B35" w:rsidRDefault="002A33AF" w:rsidP="00F76BA4">
      <w:pPr>
        <w:keepNext/>
        <w:rPr>
          <w:rFonts w:ascii="Garamond" w:hAnsi="Garamond"/>
          <w:iCs/>
          <w:lang w:val="en-AU"/>
        </w:rPr>
      </w:pPr>
      <w:r>
        <w:rPr>
          <w:rFonts w:ascii="Garamond" w:hAnsi="Garamond"/>
          <w:iCs/>
          <w:lang w:val="en-AU"/>
        </w:rPr>
        <w:t>Volume 50, Issue 12, December 2024</w:t>
      </w:r>
    </w:p>
    <w:tbl>
      <w:tblPr>
        <w:tblStyle w:val="TableGrid"/>
        <w:tblW w:w="9360" w:type="dxa"/>
        <w:tblInd w:w="288" w:type="dxa"/>
        <w:tblLayout w:type="fixed"/>
        <w:tblLook w:val="01E0" w:firstRow="1" w:lastRow="1" w:firstColumn="1" w:lastColumn="1" w:noHBand="0" w:noVBand="0"/>
      </w:tblPr>
      <w:tblGrid>
        <w:gridCol w:w="1080"/>
        <w:gridCol w:w="8280"/>
      </w:tblGrid>
      <w:tr w:rsidR="00F76BA4" w:rsidRPr="00A72B35" w14:paraId="7EA96583" w14:textId="77777777" w:rsidTr="002329FA">
        <w:tc>
          <w:tcPr>
            <w:tcW w:w="1080" w:type="dxa"/>
            <w:tcBorders>
              <w:top w:val="single" w:sz="4" w:space="0" w:color="auto"/>
              <w:left w:val="single" w:sz="4" w:space="0" w:color="auto"/>
              <w:bottom w:val="single" w:sz="4" w:space="0" w:color="auto"/>
              <w:right w:val="single" w:sz="4" w:space="0" w:color="auto"/>
            </w:tcBorders>
            <w:vAlign w:val="center"/>
            <w:hideMark/>
          </w:tcPr>
          <w:p w14:paraId="1BDC3377" w14:textId="77777777" w:rsidR="00F76BA4" w:rsidRPr="00A72B35" w:rsidRDefault="00F76BA4" w:rsidP="00503C7E">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9AF219D" w14:textId="5627C5A6" w:rsidR="00F76BA4" w:rsidRPr="00A72B35" w:rsidRDefault="009D56F1" w:rsidP="00503C7E">
            <w:pPr>
              <w:rPr>
                <w:rStyle w:val="Hyperlink"/>
                <w:rFonts w:ascii="Garamond" w:hAnsi="Garamond"/>
                <w:color w:val="auto"/>
                <w:u w:val="none"/>
                <w:lang w:val="en-AU"/>
              </w:rPr>
            </w:pPr>
            <w:hyperlink r:id="rId29" w:history="1">
              <w:r w:rsidRPr="005B3CF7">
                <w:rPr>
                  <w:rStyle w:val="Hyperlink"/>
                  <w:rFonts w:ascii="Garamond" w:hAnsi="Garamond"/>
                  <w:iCs/>
                  <w:lang w:val="en-AU"/>
                </w:rPr>
                <w:t>https://www.sciencedirect.com/journal/the-joint-commission-journal-on-quality-and-patient-safety/vol/50/issue/12</w:t>
              </w:r>
            </w:hyperlink>
          </w:p>
        </w:tc>
      </w:tr>
      <w:tr w:rsidR="00F76BA4" w:rsidRPr="00A72B35" w14:paraId="7CE9D458" w14:textId="77777777" w:rsidTr="00503C7E">
        <w:tc>
          <w:tcPr>
            <w:tcW w:w="1080" w:type="dxa"/>
            <w:tcBorders>
              <w:top w:val="single" w:sz="4" w:space="0" w:color="auto"/>
              <w:left w:val="single" w:sz="4" w:space="0" w:color="auto"/>
              <w:bottom w:val="single" w:sz="4" w:space="0" w:color="auto"/>
              <w:right w:val="single" w:sz="4" w:space="0" w:color="auto"/>
            </w:tcBorders>
            <w:vAlign w:val="center"/>
            <w:hideMark/>
          </w:tcPr>
          <w:p w14:paraId="43A85EDB" w14:textId="77777777" w:rsidR="00F76BA4" w:rsidRPr="00A72B35" w:rsidRDefault="00F76BA4" w:rsidP="00503C7E">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D4BD299" w14:textId="5660A949" w:rsidR="00F76BA4" w:rsidRPr="00A72B35" w:rsidRDefault="00F76BA4" w:rsidP="00503C7E">
            <w:pPr>
              <w:rPr>
                <w:rFonts w:ascii="Garamond" w:hAnsi="Garamond"/>
                <w:lang w:val="en-AU"/>
              </w:rPr>
            </w:pPr>
            <w:r w:rsidRPr="00A72B35">
              <w:rPr>
                <w:rFonts w:ascii="Garamond" w:hAnsi="Garamond"/>
                <w:lang w:val="en-AU"/>
              </w:rPr>
              <w:t xml:space="preserve">A new issue of </w:t>
            </w:r>
            <w:r w:rsidR="002A33AF" w:rsidRPr="009D56F1">
              <w:rPr>
                <w:rFonts w:ascii="Garamond" w:hAnsi="Garamond"/>
                <w:i/>
                <w:lang w:val="en-AU"/>
              </w:rPr>
              <w:t>The Joint Commission Journal on Quality and Patient Safety</w:t>
            </w:r>
            <w:r w:rsidR="002329FA" w:rsidRPr="00A72B35">
              <w:rPr>
                <w:rFonts w:ascii="Garamond" w:hAnsi="Garamond"/>
                <w:lang w:val="en-AU"/>
              </w:rPr>
              <w:t xml:space="preserve"> </w:t>
            </w:r>
            <w:r w:rsidRPr="00A72B35">
              <w:rPr>
                <w:rFonts w:ascii="Garamond" w:hAnsi="Garamond"/>
                <w:lang w:val="en-AU"/>
              </w:rPr>
              <w:t xml:space="preserve">has been published. Articles in this issue of </w:t>
            </w:r>
            <w:r w:rsidR="002A33AF"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06DC96B2" w14:textId="758DD5B0" w:rsidR="00314AD3" w:rsidRPr="00314AD3" w:rsidRDefault="00314AD3" w:rsidP="00A41649">
            <w:pPr>
              <w:pStyle w:val="ListParagraph"/>
              <w:numPr>
                <w:ilvl w:val="0"/>
                <w:numId w:val="18"/>
              </w:numPr>
              <w:rPr>
                <w:rFonts w:ascii="Garamond" w:hAnsi="Garamond"/>
                <w:lang w:val="en-AU"/>
              </w:rPr>
            </w:pPr>
            <w:r w:rsidRPr="00314AD3">
              <w:rPr>
                <w:rFonts w:ascii="Garamond" w:hAnsi="Garamond"/>
                <w:lang w:val="en-AU"/>
              </w:rPr>
              <w:t xml:space="preserve">Editorial: </w:t>
            </w:r>
            <w:r w:rsidRPr="00314AD3">
              <w:rPr>
                <w:rFonts w:ascii="Garamond" w:hAnsi="Garamond"/>
                <w:b/>
                <w:bCs/>
                <w:lang w:val="en-AU"/>
              </w:rPr>
              <w:t>Supporting Professionalism in a Crisis</w:t>
            </w:r>
            <w:r w:rsidRPr="00314AD3">
              <w:rPr>
                <w:rFonts w:ascii="Garamond" w:hAnsi="Garamond"/>
                <w:lang w:val="en-AU"/>
              </w:rPr>
              <w:t xml:space="preserve"> Requires Leadership and a Well-Developed Plan (Gerald B Hickson</w:t>
            </w:r>
            <w:r>
              <w:rPr>
                <w:rFonts w:ascii="Garamond" w:hAnsi="Garamond"/>
                <w:lang w:val="en-AU"/>
              </w:rPr>
              <w:t>)</w:t>
            </w:r>
          </w:p>
          <w:p w14:paraId="24A9ECC4" w14:textId="2602F713" w:rsidR="00314AD3" w:rsidRPr="00314AD3" w:rsidRDefault="00314AD3" w:rsidP="00692293">
            <w:pPr>
              <w:pStyle w:val="ListParagraph"/>
              <w:numPr>
                <w:ilvl w:val="0"/>
                <w:numId w:val="18"/>
              </w:numPr>
              <w:rPr>
                <w:rFonts w:ascii="Garamond" w:hAnsi="Garamond"/>
                <w:lang w:val="en-AU"/>
              </w:rPr>
            </w:pPr>
            <w:r w:rsidRPr="00314AD3">
              <w:rPr>
                <w:rFonts w:ascii="Garamond" w:hAnsi="Garamond"/>
                <w:lang w:val="en-AU"/>
              </w:rPr>
              <w:t xml:space="preserve">Strategies to Mitigate the Pandemic Aftermath on </w:t>
            </w:r>
            <w:r w:rsidRPr="00314AD3">
              <w:rPr>
                <w:rFonts w:ascii="Garamond" w:hAnsi="Garamond"/>
                <w:b/>
                <w:bCs/>
                <w:lang w:val="en-AU"/>
              </w:rPr>
              <w:t>Perioperative Professionalism</w:t>
            </w:r>
            <w:r w:rsidRPr="00314AD3">
              <w:rPr>
                <w:rFonts w:ascii="Garamond" w:hAnsi="Garamond"/>
                <w:lang w:val="en-AU"/>
              </w:rPr>
              <w:t xml:space="preserve"> (Crystal C Wright, Maureen D Triller, Anne S Tsao, Stephanie A Zajac, ... Mark W Clemens</w:t>
            </w:r>
            <w:r>
              <w:rPr>
                <w:rFonts w:ascii="Garamond" w:hAnsi="Garamond"/>
                <w:lang w:val="en-AU"/>
              </w:rPr>
              <w:t>)</w:t>
            </w:r>
          </w:p>
          <w:p w14:paraId="295AA88A" w14:textId="4D10D4E7" w:rsidR="00314AD3" w:rsidRPr="00314AD3" w:rsidRDefault="00314AD3" w:rsidP="00577DC0">
            <w:pPr>
              <w:pStyle w:val="ListParagraph"/>
              <w:numPr>
                <w:ilvl w:val="0"/>
                <w:numId w:val="18"/>
              </w:numPr>
              <w:rPr>
                <w:rFonts w:ascii="Garamond" w:hAnsi="Garamond"/>
                <w:lang w:val="en-AU"/>
              </w:rPr>
            </w:pPr>
            <w:r w:rsidRPr="00314AD3">
              <w:rPr>
                <w:rFonts w:ascii="Garamond" w:hAnsi="Garamond"/>
                <w:lang w:val="en-AU"/>
              </w:rPr>
              <w:t xml:space="preserve">Partnership as a Pathway to </w:t>
            </w:r>
            <w:r w:rsidRPr="00314AD3">
              <w:rPr>
                <w:rFonts w:ascii="Garamond" w:hAnsi="Garamond"/>
                <w:b/>
                <w:bCs/>
                <w:lang w:val="en-AU"/>
              </w:rPr>
              <w:t>Diagnostic Excellence</w:t>
            </w:r>
            <w:r w:rsidRPr="00314AD3">
              <w:rPr>
                <w:rFonts w:ascii="Garamond" w:hAnsi="Garamond"/>
                <w:lang w:val="en-AU"/>
              </w:rPr>
              <w:t>: The Challenges and Successes of Implementing the Safer Dx Learning Lab (Jennifer Sloane, Hardeep Singh, Divvy K Upadhyay, Saritha Korukonda, ... Traber D Giardina</w:t>
            </w:r>
            <w:r>
              <w:rPr>
                <w:rFonts w:ascii="Garamond" w:hAnsi="Garamond"/>
                <w:lang w:val="en-AU"/>
              </w:rPr>
              <w:t>)</w:t>
            </w:r>
          </w:p>
          <w:p w14:paraId="5B9AFC8B" w14:textId="4D06EA54" w:rsidR="00314AD3" w:rsidRPr="00314AD3" w:rsidRDefault="00314AD3" w:rsidP="00CA63ED">
            <w:pPr>
              <w:pStyle w:val="ListParagraph"/>
              <w:numPr>
                <w:ilvl w:val="0"/>
                <w:numId w:val="18"/>
              </w:numPr>
              <w:rPr>
                <w:rFonts w:ascii="Garamond" w:hAnsi="Garamond"/>
                <w:lang w:val="en-AU"/>
              </w:rPr>
            </w:pPr>
            <w:r w:rsidRPr="00314AD3">
              <w:rPr>
                <w:rFonts w:ascii="Garamond" w:hAnsi="Garamond"/>
                <w:lang w:val="en-AU"/>
              </w:rPr>
              <w:t xml:space="preserve">Identification of Hospitalized </w:t>
            </w:r>
            <w:r w:rsidRPr="00314AD3">
              <w:rPr>
                <w:rFonts w:ascii="Garamond" w:hAnsi="Garamond"/>
                <w:b/>
                <w:bCs/>
                <w:lang w:val="en-AU"/>
              </w:rPr>
              <w:t>Patients Who May Benefit from a Serious Illness Conversation</w:t>
            </w:r>
            <w:r w:rsidRPr="00314AD3">
              <w:rPr>
                <w:rFonts w:ascii="Garamond" w:hAnsi="Garamond"/>
                <w:lang w:val="en-AU"/>
              </w:rPr>
              <w:t xml:space="preserve"> Using the Readmission Risk Score Combined with the Surprise Question (Myrna Katalina Serna, Katrina Grace Sadang, Hanna B Vollbrecht, Catherine Yoon, ... Jeffrey L. Schnipper</w:t>
            </w:r>
            <w:r>
              <w:rPr>
                <w:rFonts w:ascii="Garamond" w:hAnsi="Garamond"/>
                <w:lang w:val="en-AU"/>
              </w:rPr>
              <w:t>)</w:t>
            </w:r>
          </w:p>
          <w:p w14:paraId="434772DA" w14:textId="1AA6A8C0" w:rsidR="00314AD3" w:rsidRPr="00314AD3" w:rsidRDefault="00314AD3" w:rsidP="0005005A">
            <w:pPr>
              <w:pStyle w:val="ListParagraph"/>
              <w:numPr>
                <w:ilvl w:val="0"/>
                <w:numId w:val="18"/>
              </w:numPr>
              <w:rPr>
                <w:rFonts w:ascii="Garamond" w:hAnsi="Garamond"/>
                <w:lang w:val="en-AU"/>
              </w:rPr>
            </w:pPr>
            <w:r w:rsidRPr="00314AD3">
              <w:rPr>
                <w:rFonts w:ascii="Garamond" w:hAnsi="Garamond"/>
                <w:b/>
                <w:bCs/>
                <w:lang w:val="en-AU"/>
              </w:rPr>
              <w:t>Engaging Physicians in Improvement Priorities</w:t>
            </w:r>
            <w:r w:rsidRPr="00314AD3">
              <w:rPr>
                <w:rFonts w:ascii="Garamond" w:hAnsi="Garamond"/>
                <w:lang w:val="en-AU"/>
              </w:rPr>
              <w:t xml:space="preserve"> Through the American Board of Medical Specialties Portfolio Program (Teena Nelson, Spencer Walter, Ann Williamson, Kevin Graves, ... Greg Ogrinc</w:t>
            </w:r>
            <w:r>
              <w:rPr>
                <w:rFonts w:ascii="Garamond" w:hAnsi="Garamond"/>
                <w:lang w:val="en-AU"/>
              </w:rPr>
              <w:t>)</w:t>
            </w:r>
          </w:p>
          <w:p w14:paraId="5F8A5654" w14:textId="5E755F5C" w:rsidR="00314AD3" w:rsidRPr="00314AD3" w:rsidRDefault="00314AD3" w:rsidP="000C4F79">
            <w:pPr>
              <w:pStyle w:val="ListParagraph"/>
              <w:numPr>
                <w:ilvl w:val="0"/>
                <w:numId w:val="18"/>
              </w:numPr>
              <w:rPr>
                <w:rFonts w:ascii="Garamond" w:hAnsi="Garamond"/>
                <w:lang w:val="en-AU"/>
              </w:rPr>
            </w:pPr>
            <w:r w:rsidRPr="00314AD3">
              <w:rPr>
                <w:rFonts w:ascii="Garamond" w:hAnsi="Garamond"/>
                <w:lang w:val="en-AU"/>
              </w:rPr>
              <w:t xml:space="preserve">The Burden of Health Care Utilization, Cost, and Mortality Associated with Select </w:t>
            </w:r>
            <w:r w:rsidRPr="00314AD3">
              <w:rPr>
                <w:rFonts w:ascii="Garamond" w:hAnsi="Garamond"/>
                <w:b/>
                <w:bCs/>
                <w:lang w:val="en-AU"/>
              </w:rPr>
              <w:t>Surgical Site Infections</w:t>
            </w:r>
            <w:r w:rsidRPr="00314AD3">
              <w:rPr>
                <w:rFonts w:ascii="Garamond" w:hAnsi="Garamond"/>
                <w:lang w:val="en-AU"/>
              </w:rPr>
              <w:t xml:space="preserve"> (Sonali Shambhu, Aliza S Gordon, Ying Liu, Maximilian Pany, ... Eugene Hsu</w:t>
            </w:r>
            <w:r>
              <w:rPr>
                <w:rFonts w:ascii="Garamond" w:hAnsi="Garamond"/>
                <w:lang w:val="en-AU"/>
              </w:rPr>
              <w:t>)</w:t>
            </w:r>
          </w:p>
          <w:p w14:paraId="33CD89BA" w14:textId="44D05FDC" w:rsidR="00314AD3" w:rsidRPr="00314AD3" w:rsidRDefault="00314AD3" w:rsidP="003C46CB">
            <w:pPr>
              <w:pStyle w:val="ListParagraph"/>
              <w:numPr>
                <w:ilvl w:val="0"/>
                <w:numId w:val="18"/>
              </w:numPr>
              <w:rPr>
                <w:rFonts w:ascii="Garamond" w:hAnsi="Garamond"/>
                <w:lang w:val="en-AU"/>
              </w:rPr>
            </w:pPr>
            <w:r w:rsidRPr="00314AD3">
              <w:rPr>
                <w:rFonts w:ascii="Garamond" w:hAnsi="Garamond"/>
                <w:lang w:val="en-AU"/>
              </w:rPr>
              <w:t xml:space="preserve">Reducing </w:t>
            </w:r>
            <w:r w:rsidRPr="00314AD3">
              <w:rPr>
                <w:rFonts w:ascii="Garamond" w:hAnsi="Garamond"/>
                <w:b/>
                <w:bCs/>
                <w:lang w:val="en-AU"/>
              </w:rPr>
              <w:t>Automated Dispensing Cabinet Overrides</w:t>
            </w:r>
            <w:r w:rsidRPr="00314AD3">
              <w:rPr>
                <w:rFonts w:ascii="Garamond" w:hAnsi="Garamond"/>
                <w:lang w:val="en-AU"/>
              </w:rPr>
              <w:t xml:space="preserve"> in the Perianesthesia Care Unit: A Quality Improvement Project (Christine D Franciscovich, Anna Bieniek, Katie Dunn, Ursula Nawab</w:t>
            </w:r>
            <w:r>
              <w:rPr>
                <w:rFonts w:ascii="Garamond" w:hAnsi="Garamond"/>
                <w:lang w:val="en-AU"/>
              </w:rPr>
              <w:t>)</w:t>
            </w:r>
          </w:p>
          <w:p w14:paraId="3224F75A" w14:textId="716ED2C6" w:rsidR="00314AD3" w:rsidRPr="00314AD3" w:rsidRDefault="00314AD3" w:rsidP="00DA54EE">
            <w:pPr>
              <w:pStyle w:val="ListParagraph"/>
              <w:numPr>
                <w:ilvl w:val="0"/>
                <w:numId w:val="18"/>
              </w:numPr>
              <w:rPr>
                <w:rFonts w:ascii="Garamond" w:hAnsi="Garamond"/>
                <w:lang w:val="en-AU"/>
              </w:rPr>
            </w:pPr>
            <w:r w:rsidRPr="00314AD3">
              <w:rPr>
                <w:rFonts w:ascii="Garamond" w:hAnsi="Garamond"/>
                <w:lang w:val="en-AU"/>
              </w:rPr>
              <w:t xml:space="preserve">Accuracy of a Proprietary </w:t>
            </w:r>
            <w:r w:rsidRPr="00314AD3">
              <w:rPr>
                <w:rFonts w:ascii="Garamond" w:hAnsi="Garamond"/>
                <w:b/>
                <w:bCs/>
                <w:lang w:val="en-AU"/>
              </w:rPr>
              <w:t>Large Language Model in Labeling Obstetric Incident Reports</w:t>
            </w:r>
            <w:r w:rsidRPr="00314AD3">
              <w:rPr>
                <w:rFonts w:ascii="Garamond" w:hAnsi="Garamond"/>
                <w:lang w:val="en-AU"/>
              </w:rPr>
              <w:t xml:space="preserve"> (Jeanene Johnson, Conner Brown, Grace Lee, Keith Morse</w:t>
            </w:r>
            <w:r>
              <w:rPr>
                <w:rFonts w:ascii="Garamond" w:hAnsi="Garamond"/>
                <w:lang w:val="en-AU"/>
              </w:rPr>
              <w:t>)</w:t>
            </w:r>
          </w:p>
          <w:p w14:paraId="761635C1" w14:textId="1A4A0B83" w:rsidR="00314AD3" w:rsidRPr="00314AD3" w:rsidRDefault="00314AD3" w:rsidP="00391CD5">
            <w:pPr>
              <w:pStyle w:val="ListParagraph"/>
              <w:numPr>
                <w:ilvl w:val="0"/>
                <w:numId w:val="18"/>
              </w:numPr>
              <w:rPr>
                <w:rFonts w:ascii="Garamond" w:hAnsi="Garamond"/>
                <w:lang w:val="en-AU"/>
              </w:rPr>
            </w:pPr>
            <w:r w:rsidRPr="00314AD3">
              <w:rPr>
                <w:rFonts w:ascii="Garamond" w:hAnsi="Garamond"/>
                <w:b/>
                <w:bCs/>
                <w:lang w:val="en-AU"/>
              </w:rPr>
              <w:lastRenderedPageBreak/>
              <w:t>Quality and Simulation Professionals</w:t>
            </w:r>
            <w:r w:rsidRPr="00314AD3">
              <w:rPr>
                <w:rFonts w:ascii="Garamond" w:hAnsi="Garamond"/>
                <w:lang w:val="en-AU"/>
              </w:rPr>
              <w:t xml:space="preserve"> Should Collaborate (Amy Lu, May C</w:t>
            </w:r>
            <w:r>
              <w:rPr>
                <w:rFonts w:ascii="Garamond" w:hAnsi="Garamond"/>
                <w:lang w:val="en-AU"/>
              </w:rPr>
              <w:t xml:space="preserve"> </w:t>
            </w:r>
            <w:r w:rsidRPr="00314AD3">
              <w:rPr>
                <w:rFonts w:ascii="Garamond" w:hAnsi="Garamond"/>
                <w:lang w:val="en-AU"/>
              </w:rPr>
              <w:t>M</w:t>
            </w:r>
            <w:r>
              <w:rPr>
                <w:rFonts w:ascii="Garamond" w:hAnsi="Garamond"/>
                <w:lang w:val="en-AU"/>
              </w:rPr>
              <w:t xml:space="preserve"> </w:t>
            </w:r>
            <w:r w:rsidRPr="00314AD3">
              <w:rPr>
                <w:rFonts w:ascii="Garamond" w:hAnsi="Garamond"/>
                <w:lang w:val="en-AU"/>
              </w:rPr>
              <w:t>Pian-Smith, Amanda Burden, Gladys L Fernandez, ... R H Steadman</w:t>
            </w:r>
            <w:r>
              <w:rPr>
                <w:rFonts w:ascii="Garamond" w:hAnsi="Garamond"/>
                <w:lang w:val="en-AU"/>
              </w:rPr>
              <w:t>)</w:t>
            </w:r>
          </w:p>
          <w:p w14:paraId="0E1BB3EA" w14:textId="46468823" w:rsidR="00314AD3" w:rsidRPr="00314AD3" w:rsidRDefault="00314AD3" w:rsidP="00C71249">
            <w:pPr>
              <w:pStyle w:val="ListParagraph"/>
              <w:numPr>
                <w:ilvl w:val="0"/>
                <w:numId w:val="18"/>
              </w:numPr>
              <w:rPr>
                <w:rFonts w:ascii="Garamond" w:hAnsi="Garamond"/>
                <w:lang w:val="en-AU"/>
              </w:rPr>
            </w:pPr>
            <w:r w:rsidRPr="00314AD3">
              <w:rPr>
                <w:rFonts w:ascii="Garamond" w:hAnsi="Garamond"/>
                <w:lang w:val="en-AU"/>
              </w:rPr>
              <w:t xml:space="preserve">Protecting </w:t>
            </w:r>
            <w:r w:rsidRPr="00314AD3">
              <w:rPr>
                <w:rFonts w:ascii="Garamond" w:hAnsi="Garamond"/>
                <w:b/>
                <w:bCs/>
                <w:lang w:val="en-AU"/>
              </w:rPr>
              <w:t>Parkinson's Patients</w:t>
            </w:r>
            <w:r w:rsidRPr="00314AD3">
              <w:rPr>
                <w:rFonts w:ascii="Garamond" w:hAnsi="Garamond"/>
                <w:lang w:val="en-AU"/>
              </w:rPr>
              <w:t>: Hospital Care Standards to Avoid Preventable Harm (Peter Pronovost, Hooman Azmi, Michael S Okun, Benjamin Walter, ... Sheera Rosenfeld</w:t>
            </w:r>
            <w:r>
              <w:rPr>
                <w:rFonts w:ascii="Garamond" w:hAnsi="Garamond"/>
                <w:lang w:val="en-AU"/>
              </w:rPr>
              <w:t>)</w:t>
            </w:r>
          </w:p>
          <w:p w14:paraId="4AC5D28D" w14:textId="441C29E4" w:rsidR="00314AD3" w:rsidRPr="00314AD3" w:rsidRDefault="00314AD3" w:rsidP="00DD60F8">
            <w:pPr>
              <w:pStyle w:val="ListParagraph"/>
              <w:numPr>
                <w:ilvl w:val="0"/>
                <w:numId w:val="18"/>
              </w:numPr>
              <w:rPr>
                <w:rFonts w:ascii="Garamond" w:hAnsi="Garamond"/>
                <w:lang w:val="en-AU"/>
              </w:rPr>
            </w:pPr>
            <w:r w:rsidRPr="00314AD3">
              <w:rPr>
                <w:rFonts w:ascii="Garamond" w:hAnsi="Garamond"/>
                <w:lang w:val="en-AU"/>
              </w:rPr>
              <w:t xml:space="preserve">Preserving Resources: The Vital Role of </w:t>
            </w:r>
            <w:r w:rsidRPr="00314AD3">
              <w:rPr>
                <w:rFonts w:ascii="Garamond" w:hAnsi="Garamond"/>
                <w:b/>
                <w:bCs/>
                <w:lang w:val="en-AU"/>
              </w:rPr>
              <w:t>Antimicrobial Stewardship Programs</w:t>
            </w:r>
            <w:r w:rsidRPr="00314AD3">
              <w:rPr>
                <w:rFonts w:ascii="Garamond" w:hAnsi="Garamond"/>
                <w:lang w:val="en-AU"/>
              </w:rPr>
              <w:t xml:space="preserve"> in Mitigating Antimicrobial Shortages</w:t>
            </w:r>
            <w:r>
              <w:rPr>
                <w:rFonts w:ascii="Garamond" w:hAnsi="Garamond"/>
                <w:lang w:val="en-AU"/>
              </w:rPr>
              <w:t xml:space="preserve"> </w:t>
            </w:r>
            <w:r w:rsidRPr="00314AD3">
              <w:rPr>
                <w:rFonts w:ascii="Garamond" w:hAnsi="Garamond"/>
                <w:lang w:val="en-AU"/>
              </w:rPr>
              <w:t>(Jennifer A Schweiger, Nicole M Poole, Sarah K Parker, John S Kim, Christine E MacBrayne</w:t>
            </w:r>
            <w:r>
              <w:rPr>
                <w:rFonts w:ascii="Garamond" w:hAnsi="Garamond"/>
                <w:lang w:val="en-AU"/>
              </w:rPr>
              <w:t>)</w:t>
            </w:r>
          </w:p>
          <w:p w14:paraId="7F8A6FA4" w14:textId="0D884DBA" w:rsidR="00314AD3" w:rsidRPr="00A72B35" w:rsidRDefault="00314AD3" w:rsidP="00314AD3">
            <w:pPr>
              <w:pStyle w:val="ListParagraph"/>
              <w:numPr>
                <w:ilvl w:val="0"/>
                <w:numId w:val="18"/>
              </w:numPr>
              <w:rPr>
                <w:rFonts w:ascii="Garamond" w:hAnsi="Garamond"/>
                <w:lang w:val="en-AU"/>
              </w:rPr>
            </w:pPr>
            <w:r w:rsidRPr="00314AD3">
              <w:rPr>
                <w:rFonts w:ascii="Garamond" w:hAnsi="Garamond"/>
                <w:lang w:val="en-AU"/>
              </w:rPr>
              <w:t xml:space="preserve">The Joint Commission Journal on Quality and Patient Safety 50th Anniversary Article Collections: </w:t>
            </w:r>
            <w:r w:rsidRPr="00314AD3">
              <w:rPr>
                <w:rFonts w:ascii="Garamond" w:hAnsi="Garamond"/>
                <w:b/>
                <w:bCs/>
                <w:lang w:val="en-AU"/>
              </w:rPr>
              <w:t>Patient Communication</w:t>
            </w:r>
          </w:p>
        </w:tc>
      </w:tr>
      <w:bookmarkEnd w:id="1"/>
    </w:tbl>
    <w:p w14:paraId="259CA137" w14:textId="77777777" w:rsidR="00F9255C" w:rsidRDefault="00F9255C" w:rsidP="00F9255C">
      <w:pPr>
        <w:keepLines/>
        <w:autoSpaceDE w:val="0"/>
        <w:autoSpaceDN w:val="0"/>
        <w:adjustRightInd w:val="0"/>
        <w:rPr>
          <w:rFonts w:ascii="Garamond" w:hAnsi="Garamond"/>
          <w:lang w:val="en-AU"/>
        </w:rPr>
      </w:pPr>
    </w:p>
    <w:p w14:paraId="089035FF" w14:textId="77777777" w:rsidR="00A85067" w:rsidRPr="00A72B35" w:rsidRDefault="00A85067" w:rsidP="00A85067">
      <w:pPr>
        <w:keepNext/>
        <w:rPr>
          <w:rFonts w:ascii="Garamond" w:hAnsi="Garamond"/>
          <w:i/>
          <w:lang w:val="en-AU"/>
        </w:rPr>
      </w:pPr>
      <w:r>
        <w:rPr>
          <w:rFonts w:ascii="Garamond" w:hAnsi="Garamond"/>
          <w:i/>
          <w:lang w:val="en-AU"/>
        </w:rPr>
        <w:t>Australian Health Review</w:t>
      </w:r>
    </w:p>
    <w:p w14:paraId="1F7434C8" w14:textId="77777777" w:rsidR="00A85067" w:rsidRPr="00A72B35" w:rsidRDefault="00A85067" w:rsidP="00A85067">
      <w:pPr>
        <w:keepNext/>
        <w:rPr>
          <w:rFonts w:ascii="Garamond" w:hAnsi="Garamond"/>
          <w:iCs/>
          <w:lang w:val="en-AU"/>
        </w:rPr>
      </w:pPr>
      <w:r w:rsidRPr="00A72B35">
        <w:rPr>
          <w:rFonts w:ascii="Garamond" w:hAnsi="Garamond"/>
          <w:iCs/>
          <w:lang w:val="en-AU"/>
        </w:rPr>
        <w:t xml:space="preserve">Volume </w:t>
      </w:r>
      <w:r>
        <w:rPr>
          <w:rFonts w:ascii="Garamond" w:hAnsi="Garamond"/>
          <w:iCs/>
          <w:lang w:val="en-AU"/>
        </w:rPr>
        <w:t>48, Number 6</w:t>
      </w:r>
      <w:r w:rsidRPr="00A72B35">
        <w:rPr>
          <w:rFonts w:ascii="Garamond" w:hAnsi="Garamond"/>
          <w:iCs/>
          <w:lang w:val="en-AU"/>
        </w:rPr>
        <w:t>, December 2024</w:t>
      </w:r>
    </w:p>
    <w:tbl>
      <w:tblPr>
        <w:tblStyle w:val="TableGrid"/>
        <w:tblW w:w="9360" w:type="dxa"/>
        <w:tblInd w:w="288" w:type="dxa"/>
        <w:tblLayout w:type="fixed"/>
        <w:tblLook w:val="01E0" w:firstRow="1" w:lastRow="1" w:firstColumn="1" w:lastColumn="1" w:noHBand="0" w:noVBand="0"/>
      </w:tblPr>
      <w:tblGrid>
        <w:gridCol w:w="1080"/>
        <w:gridCol w:w="8280"/>
      </w:tblGrid>
      <w:tr w:rsidR="00A85067" w:rsidRPr="00A72B35" w14:paraId="437C2553" w14:textId="77777777" w:rsidTr="00B04D07">
        <w:tc>
          <w:tcPr>
            <w:tcW w:w="1080" w:type="dxa"/>
            <w:tcBorders>
              <w:top w:val="single" w:sz="4" w:space="0" w:color="auto"/>
              <w:left w:val="single" w:sz="4" w:space="0" w:color="auto"/>
              <w:bottom w:val="single" w:sz="4" w:space="0" w:color="auto"/>
              <w:right w:val="single" w:sz="4" w:space="0" w:color="auto"/>
            </w:tcBorders>
            <w:vAlign w:val="center"/>
            <w:hideMark/>
          </w:tcPr>
          <w:p w14:paraId="48199886" w14:textId="77777777" w:rsidR="00A85067" w:rsidRPr="00A72B35" w:rsidRDefault="00A85067" w:rsidP="00B04D07">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8FD2B8B" w14:textId="15D1E64B" w:rsidR="00A85067" w:rsidRPr="00A72B35" w:rsidRDefault="00A85067" w:rsidP="00B04D07">
            <w:pPr>
              <w:rPr>
                <w:rStyle w:val="Hyperlink"/>
                <w:rFonts w:ascii="Garamond" w:hAnsi="Garamond"/>
                <w:color w:val="auto"/>
                <w:u w:val="none"/>
                <w:lang w:val="en-AU"/>
              </w:rPr>
            </w:pPr>
            <w:hyperlink r:id="rId30" w:history="1">
              <w:r w:rsidRPr="00D81E18">
                <w:rPr>
                  <w:rStyle w:val="Hyperlink"/>
                  <w:rFonts w:ascii="Garamond" w:hAnsi="Garamond"/>
                  <w:lang w:val="en-AU"/>
                </w:rPr>
                <w:t>https://www.publish.csiro.au/ah/issue/11615</w:t>
              </w:r>
            </w:hyperlink>
          </w:p>
        </w:tc>
      </w:tr>
      <w:tr w:rsidR="00A85067" w:rsidRPr="00A72B35" w14:paraId="4E2BCD04" w14:textId="77777777" w:rsidTr="00B04D07">
        <w:tc>
          <w:tcPr>
            <w:tcW w:w="1080" w:type="dxa"/>
            <w:tcBorders>
              <w:top w:val="single" w:sz="4" w:space="0" w:color="auto"/>
              <w:left w:val="single" w:sz="4" w:space="0" w:color="auto"/>
              <w:bottom w:val="single" w:sz="4" w:space="0" w:color="auto"/>
              <w:right w:val="single" w:sz="4" w:space="0" w:color="auto"/>
            </w:tcBorders>
            <w:vAlign w:val="center"/>
            <w:hideMark/>
          </w:tcPr>
          <w:p w14:paraId="0CB0B2FA" w14:textId="77777777" w:rsidR="00A85067" w:rsidRPr="00A72B35" w:rsidRDefault="00A85067" w:rsidP="00B04D07">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1CEE1C8" w14:textId="77777777" w:rsidR="00A85067" w:rsidRPr="00A72B35" w:rsidRDefault="00A85067" w:rsidP="00B04D07">
            <w:pPr>
              <w:rPr>
                <w:rFonts w:ascii="Garamond" w:hAnsi="Garamond"/>
                <w:lang w:val="en-AU"/>
              </w:rPr>
            </w:pPr>
            <w:r w:rsidRPr="00A72B35">
              <w:rPr>
                <w:rFonts w:ascii="Garamond" w:hAnsi="Garamond"/>
                <w:lang w:val="en-AU"/>
              </w:rPr>
              <w:t xml:space="preserve">A new issue of </w:t>
            </w:r>
            <w:r>
              <w:rPr>
                <w:rFonts w:ascii="Garamond" w:hAnsi="Garamond"/>
                <w:i/>
                <w:lang w:val="en-AU"/>
              </w:rPr>
              <w:t>Australian Health Review</w:t>
            </w:r>
            <w:r w:rsidRPr="00A72B35">
              <w:rPr>
                <w:rFonts w:ascii="Garamond" w:hAnsi="Garamond"/>
                <w:lang w:val="en-AU"/>
              </w:rPr>
              <w:t xml:space="preserve"> has been published. Articles in this issue of </w:t>
            </w:r>
            <w:r>
              <w:rPr>
                <w:rFonts w:ascii="Garamond" w:hAnsi="Garamond"/>
                <w:i/>
                <w:lang w:val="en-AU"/>
              </w:rPr>
              <w:t>Australian Health Review</w:t>
            </w:r>
            <w:r w:rsidRPr="00A72B35">
              <w:rPr>
                <w:rFonts w:ascii="Garamond" w:hAnsi="Garamond"/>
                <w:lang w:val="en-AU"/>
              </w:rPr>
              <w:t xml:space="preserve"> include:</w:t>
            </w:r>
          </w:p>
          <w:p w14:paraId="4F64B22B" w14:textId="4D6D3CE1" w:rsidR="00A85067" w:rsidRDefault="00A85067" w:rsidP="0026489F">
            <w:pPr>
              <w:pStyle w:val="ListParagraph"/>
              <w:numPr>
                <w:ilvl w:val="0"/>
                <w:numId w:val="18"/>
              </w:numPr>
              <w:rPr>
                <w:rFonts w:ascii="Garamond" w:hAnsi="Garamond"/>
                <w:lang w:val="en-AU"/>
              </w:rPr>
            </w:pPr>
            <w:r w:rsidRPr="00A85067">
              <w:rPr>
                <w:rFonts w:ascii="Garamond" w:hAnsi="Garamond"/>
                <w:b/>
                <w:bCs/>
                <w:lang w:val="en-AU"/>
              </w:rPr>
              <w:t>Medicare-reimbursed psychiatric consultations</w:t>
            </w:r>
            <w:r w:rsidRPr="00A85067">
              <w:rPr>
                <w:rFonts w:ascii="Garamond" w:hAnsi="Garamond"/>
                <w:lang w:val="en-AU"/>
              </w:rPr>
              <w:t xml:space="preserve"> before and after telehealth expansion in Australia: a time series study (Luke Sy-Cherng Woon, Paul A Maguire, Rebecca E Reay, Murthy Mittinty, T Bastiampillai and J C L Looi</w:t>
            </w:r>
            <w:r>
              <w:rPr>
                <w:rFonts w:ascii="Garamond" w:hAnsi="Garamond"/>
                <w:lang w:val="en-AU"/>
              </w:rPr>
              <w:t>)</w:t>
            </w:r>
          </w:p>
          <w:p w14:paraId="5BBDE072" w14:textId="3C0E9C9F" w:rsidR="00A85067" w:rsidRPr="00A85067" w:rsidRDefault="00A85067" w:rsidP="004039CE">
            <w:pPr>
              <w:pStyle w:val="ListParagraph"/>
              <w:numPr>
                <w:ilvl w:val="0"/>
                <w:numId w:val="18"/>
              </w:numPr>
              <w:rPr>
                <w:rFonts w:ascii="Garamond" w:hAnsi="Garamond"/>
                <w:lang w:val="en-AU"/>
              </w:rPr>
            </w:pPr>
            <w:r w:rsidRPr="00A85067">
              <w:rPr>
                <w:rFonts w:ascii="Garamond" w:hAnsi="Garamond"/>
                <w:lang w:val="en-AU"/>
              </w:rPr>
              <w:t xml:space="preserve">Utilisation of </w:t>
            </w:r>
            <w:r w:rsidRPr="00A85067">
              <w:rPr>
                <w:rFonts w:ascii="Garamond" w:hAnsi="Garamond"/>
                <w:b/>
                <w:bCs/>
                <w:lang w:val="en-AU"/>
              </w:rPr>
              <w:t>Medicare chronic disease management item numbers</w:t>
            </w:r>
            <w:r w:rsidRPr="00A85067">
              <w:rPr>
                <w:rFonts w:ascii="Garamond" w:hAnsi="Garamond"/>
                <w:lang w:val="en-AU"/>
              </w:rPr>
              <w:t xml:space="preserve"> for people with cancer in Queensland, Australia (Md Mijanur Rahman, Shafkat Jahan, Bogda Koczwara, Mahesh Iddawela, Raymond J Chan, Elysia Thornton-Benko, Gail Garvey and Nicolas H Hart</w:t>
            </w:r>
            <w:r>
              <w:rPr>
                <w:rFonts w:ascii="Garamond" w:hAnsi="Garamond"/>
                <w:lang w:val="en-AU"/>
              </w:rPr>
              <w:t>)</w:t>
            </w:r>
          </w:p>
          <w:p w14:paraId="177E5B55" w14:textId="77777777" w:rsidR="00A85067" w:rsidRDefault="00A85067" w:rsidP="00254F83">
            <w:pPr>
              <w:pStyle w:val="ListParagraph"/>
              <w:numPr>
                <w:ilvl w:val="0"/>
                <w:numId w:val="18"/>
              </w:numPr>
              <w:rPr>
                <w:rFonts w:ascii="Garamond" w:hAnsi="Garamond"/>
                <w:lang w:val="en-AU"/>
              </w:rPr>
            </w:pPr>
            <w:r w:rsidRPr="00A85067">
              <w:rPr>
                <w:rFonts w:ascii="Garamond" w:hAnsi="Garamond"/>
                <w:lang w:val="en-AU"/>
              </w:rPr>
              <w:t xml:space="preserve">Standardising </w:t>
            </w:r>
            <w:r w:rsidRPr="00A85067">
              <w:rPr>
                <w:rFonts w:ascii="Garamond" w:hAnsi="Garamond"/>
                <w:b/>
                <w:bCs/>
                <w:lang w:val="en-AU"/>
              </w:rPr>
              <w:t>workforce cost estimates</w:t>
            </w:r>
            <w:r w:rsidRPr="00A85067">
              <w:rPr>
                <w:rFonts w:ascii="Garamond" w:hAnsi="Garamond"/>
                <w:lang w:val="en-AU"/>
              </w:rPr>
              <w:t xml:space="preserve"> across Australian jurisdictions: genomic testing as a use case (Dylan A Mordaunt</w:t>
            </w:r>
            <w:r>
              <w:rPr>
                <w:rFonts w:ascii="Garamond" w:hAnsi="Garamond"/>
                <w:lang w:val="en-AU"/>
              </w:rPr>
              <w:t>)</w:t>
            </w:r>
          </w:p>
          <w:p w14:paraId="6E0FC9EF" w14:textId="70BECF7A" w:rsidR="00A85067" w:rsidRPr="00A85067" w:rsidRDefault="00A85067" w:rsidP="00D4239B">
            <w:pPr>
              <w:pStyle w:val="ListParagraph"/>
              <w:numPr>
                <w:ilvl w:val="0"/>
                <w:numId w:val="18"/>
              </w:numPr>
              <w:rPr>
                <w:rFonts w:ascii="Garamond" w:hAnsi="Garamond"/>
                <w:lang w:val="en-AU"/>
              </w:rPr>
            </w:pPr>
            <w:r w:rsidRPr="00A85067">
              <w:rPr>
                <w:rFonts w:ascii="Garamond" w:hAnsi="Garamond"/>
                <w:b/>
                <w:bCs/>
                <w:lang w:val="en-AU"/>
              </w:rPr>
              <w:t>Predicting hospital bed utilisation</w:t>
            </w:r>
            <w:r w:rsidRPr="00A85067">
              <w:rPr>
                <w:rFonts w:ascii="Garamond" w:hAnsi="Garamond"/>
                <w:lang w:val="en-AU"/>
              </w:rPr>
              <w:t xml:space="preserve"> for post-surgical care by means of the Monte Carlo method with historical data (Andy Wong, Rob Eley, Paul Corry, Brendan Hoad and Prasad Yarlagadda</w:t>
            </w:r>
            <w:r>
              <w:rPr>
                <w:rFonts w:ascii="Garamond" w:hAnsi="Garamond"/>
                <w:lang w:val="en-AU"/>
              </w:rPr>
              <w:t>)</w:t>
            </w:r>
          </w:p>
          <w:p w14:paraId="23BEC947" w14:textId="2E2108B0" w:rsidR="00A85067" w:rsidRPr="00A85067" w:rsidRDefault="00A85067" w:rsidP="003A08DB">
            <w:pPr>
              <w:pStyle w:val="ListParagraph"/>
              <w:numPr>
                <w:ilvl w:val="0"/>
                <w:numId w:val="18"/>
              </w:numPr>
              <w:rPr>
                <w:rFonts w:ascii="Garamond" w:hAnsi="Garamond"/>
                <w:lang w:val="en-AU"/>
              </w:rPr>
            </w:pPr>
            <w:r w:rsidRPr="00A85067">
              <w:rPr>
                <w:rFonts w:ascii="Garamond" w:hAnsi="Garamond"/>
                <w:lang w:val="en-AU"/>
              </w:rPr>
              <w:t xml:space="preserve">Spatial clusters of </w:t>
            </w:r>
            <w:r w:rsidRPr="00A85067">
              <w:rPr>
                <w:rFonts w:ascii="Garamond" w:hAnsi="Garamond"/>
                <w:b/>
                <w:bCs/>
                <w:lang w:val="en-AU"/>
              </w:rPr>
              <w:t>potentially preventable hospitalisations</w:t>
            </w:r>
            <w:r w:rsidRPr="00A85067">
              <w:rPr>
                <w:rFonts w:ascii="Garamond" w:hAnsi="Garamond"/>
                <w:lang w:val="en-AU"/>
              </w:rPr>
              <w:t xml:space="preserve"> and access to allied health services in </w:t>
            </w:r>
            <w:proofErr w:type="gramStart"/>
            <w:r w:rsidRPr="00A85067">
              <w:rPr>
                <w:rFonts w:ascii="Garamond" w:hAnsi="Garamond"/>
                <w:lang w:val="en-AU"/>
              </w:rPr>
              <w:t>South Western</w:t>
            </w:r>
            <w:proofErr w:type="gramEnd"/>
            <w:r w:rsidRPr="00A85067">
              <w:rPr>
                <w:rFonts w:ascii="Garamond" w:hAnsi="Garamond"/>
                <w:lang w:val="en-AU"/>
              </w:rPr>
              <w:t xml:space="preserve"> Sydney: a geospatial study (Janelle Gifford, Soumya Mazumdar, Matthew Jennings, Bin Jalaludin and S Dennis</w:t>
            </w:r>
            <w:r>
              <w:rPr>
                <w:rFonts w:ascii="Garamond" w:hAnsi="Garamond"/>
                <w:lang w:val="en-AU"/>
              </w:rPr>
              <w:t>)</w:t>
            </w:r>
          </w:p>
          <w:p w14:paraId="4720EF10" w14:textId="36AEB73F" w:rsidR="00A85067" w:rsidRPr="00A85067" w:rsidRDefault="00A85067" w:rsidP="00092908">
            <w:pPr>
              <w:pStyle w:val="ListParagraph"/>
              <w:numPr>
                <w:ilvl w:val="0"/>
                <w:numId w:val="18"/>
              </w:numPr>
              <w:rPr>
                <w:rFonts w:ascii="Garamond" w:hAnsi="Garamond"/>
                <w:lang w:val="en-AU"/>
              </w:rPr>
            </w:pPr>
            <w:r w:rsidRPr="00A85067">
              <w:rPr>
                <w:rFonts w:ascii="Garamond" w:hAnsi="Garamond"/>
                <w:lang w:val="en-AU"/>
              </w:rPr>
              <w:t xml:space="preserve">External validation and comparative analysis of the HOSPITAL score and LACE index for </w:t>
            </w:r>
            <w:r w:rsidRPr="00A85067">
              <w:rPr>
                <w:rFonts w:ascii="Garamond" w:hAnsi="Garamond"/>
                <w:b/>
                <w:bCs/>
                <w:lang w:val="en-AU"/>
              </w:rPr>
              <w:t>predicting readmissions</w:t>
            </w:r>
            <w:r w:rsidRPr="00A85067">
              <w:rPr>
                <w:rFonts w:ascii="Garamond" w:hAnsi="Garamond"/>
                <w:lang w:val="en-AU"/>
              </w:rPr>
              <w:t xml:space="preserve"> among patients hospitalised with community-acquired pneumonia in Australia (Yogesh Sharma, Arduino A Mangoni, Chris Horwood and Campbell Thompson</w:t>
            </w:r>
            <w:r>
              <w:rPr>
                <w:rFonts w:ascii="Garamond" w:hAnsi="Garamond"/>
                <w:lang w:val="en-AU"/>
              </w:rPr>
              <w:t>)</w:t>
            </w:r>
          </w:p>
          <w:p w14:paraId="5211977D" w14:textId="45593AEB" w:rsidR="00A85067" w:rsidRPr="00A85067" w:rsidRDefault="00A85067" w:rsidP="002607FA">
            <w:pPr>
              <w:pStyle w:val="ListParagraph"/>
              <w:numPr>
                <w:ilvl w:val="0"/>
                <w:numId w:val="18"/>
              </w:numPr>
              <w:rPr>
                <w:rFonts w:ascii="Garamond" w:hAnsi="Garamond"/>
                <w:lang w:val="en-AU"/>
              </w:rPr>
            </w:pPr>
            <w:r w:rsidRPr="00A85067">
              <w:rPr>
                <w:rFonts w:ascii="Garamond" w:hAnsi="Garamond"/>
                <w:lang w:val="en-AU"/>
              </w:rPr>
              <w:t xml:space="preserve">The carbon footprint of </w:t>
            </w:r>
            <w:r w:rsidRPr="00A85067">
              <w:rPr>
                <w:rFonts w:ascii="Garamond" w:hAnsi="Garamond"/>
                <w:b/>
                <w:bCs/>
                <w:lang w:val="en-AU"/>
              </w:rPr>
              <w:t>total knee replacements</w:t>
            </w:r>
            <w:r w:rsidRPr="00A85067">
              <w:rPr>
                <w:rFonts w:ascii="Garamond" w:hAnsi="Garamond"/>
                <w:lang w:val="en-AU"/>
              </w:rPr>
              <w:t xml:space="preserve"> (Forbes McGain, Kasun Wickramarachchi, Lu Aye, Brandon G Chan, Nicole Sheridan, Phong Tran and Scott McAlister</w:t>
            </w:r>
            <w:r>
              <w:rPr>
                <w:rFonts w:ascii="Garamond" w:hAnsi="Garamond"/>
                <w:lang w:val="en-AU"/>
              </w:rPr>
              <w:t>)</w:t>
            </w:r>
          </w:p>
          <w:p w14:paraId="59C8E4C6" w14:textId="10460B36" w:rsidR="00A85067" w:rsidRPr="001F2132" w:rsidRDefault="00A85067" w:rsidP="00A54CB4">
            <w:pPr>
              <w:pStyle w:val="ListParagraph"/>
              <w:numPr>
                <w:ilvl w:val="0"/>
                <w:numId w:val="18"/>
              </w:numPr>
              <w:rPr>
                <w:rFonts w:ascii="Garamond" w:hAnsi="Garamond"/>
                <w:lang w:val="en-AU"/>
              </w:rPr>
            </w:pPr>
            <w:r w:rsidRPr="001F2132">
              <w:rPr>
                <w:rFonts w:ascii="Garamond" w:hAnsi="Garamond"/>
                <w:lang w:val="en-AU"/>
              </w:rPr>
              <w:t xml:space="preserve">Utility of a digital app to enhance </w:t>
            </w:r>
            <w:r w:rsidRPr="001F2132">
              <w:rPr>
                <w:rFonts w:ascii="Garamond" w:hAnsi="Garamond"/>
                <w:b/>
                <w:bCs/>
                <w:lang w:val="en-AU"/>
              </w:rPr>
              <w:t>patient–nurse communications and patient involvement in bedside handover</w:t>
            </w:r>
            <w:r w:rsidRPr="001F2132">
              <w:rPr>
                <w:rFonts w:ascii="Garamond" w:hAnsi="Garamond"/>
                <w:lang w:val="en-AU"/>
              </w:rPr>
              <w:t>: patient and nurse perceptions</w:t>
            </w:r>
            <w:r w:rsidR="001F2132" w:rsidRPr="001F2132">
              <w:rPr>
                <w:rFonts w:ascii="Garamond" w:hAnsi="Garamond"/>
                <w:lang w:val="en-AU"/>
              </w:rPr>
              <w:t xml:space="preserve"> (</w:t>
            </w:r>
            <w:r w:rsidRPr="001F2132">
              <w:rPr>
                <w:rFonts w:ascii="Garamond" w:hAnsi="Garamond"/>
                <w:lang w:val="en-AU"/>
              </w:rPr>
              <w:t>Penelope Casey, Eva Yuen, Raj Liskaser, Philippa Blencowe, Leanne Boyd, Mohamed Abdelrazek, Zoe Wang and Julie Considine</w:t>
            </w:r>
            <w:r w:rsidR="001F2132">
              <w:rPr>
                <w:rFonts w:ascii="Garamond" w:hAnsi="Garamond"/>
                <w:lang w:val="en-AU"/>
              </w:rPr>
              <w:t>)</w:t>
            </w:r>
          </w:p>
          <w:p w14:paraId="728EC62F" w14:textId="51E81C70" w:rsidR="00A85067" w:rsidRPr="001F2132" w:rsidRDefault="00A85067" w:rsidP="00B61EF9">
            <w:pPr>
              <w:pStyle w:val="ListParagraph"/>
              <w:numPr>
                <w:ilvl w:val="0"/>
                <w:numId w:val="18"/>
              </w:numPr>
              <w:rPr>
                <w:rFonts w:ascii="Garamond" w:hAnsi="Garamond"/>
                <w:lang w:val="en-AU"/>
              </w:rPr>
            </w:pPr>
            <w:r w:rsidRPr="001F2132">
              <w:rPr>
                <w:rFonts w:ascii="Garamond" w:hAnsi="Garamond"/>
                <w:lang w:val="en-AU"/>
              </w:rPr>
              <w:t xml:space="preserve">Leading innovation in </w:t>
            </w:r>
            <w:r w:rsidRPr="001F2132">
              <w:rPr>
                <w:rFonts w:ascii="Garamond" w:hAnsi="Garamond"/>
                <w:b/>
                <w:bCs/>
                <w:lang w:val="en-AU"/>
              </w:rPr>
              <w:t>transdisciplinary care</w:t>
            </w:r>
            <w:r w:rsidR="001F2132" w:rsidRPr="001F2132">
              <w:rPr>
                <w:rFonts w:ascii="Garamond" w:hAnsi="Garamond"/>
                <w:lang w:val="en-AU"/>
              </w:rPr>
              <w:t xml:space="preserve"> (</w:t>
            </w:r>
            <w:r w:rsidRPr="001F2132">
              <w:rPr>
                <w:rFonts w:ascii="Garamond" w:hAnsi="Garamond"/>
                <w:lang w:val="en-AU"/>
              </w:rPr>
              <w:t>Martin Chadwick, Jennifer R Hemler and Benjamin F Crabtree</w:t>
            </w:r>
            <w:r w:rsidR="001F2132">
              <w:rPr>
                <w:rFonts w:ascii="Garamond" w:hAnsi="Garamond"/>
                <w:lang w:val="en-AU"/>
              </w:rPr>
              <w:t>)</w:t>
            </w:r>
          </w:p>
          <w:p w14:paraId="5F3E4182" w14:textId="4645546E" w:rsidR="00A85067" w:rsidRPr="00B2744C" w:rsidRDefault="00A85067" w:rsidP="00D25332">
            <w:pPr>
              <w:pStyle w:val="ListParagraph"/>
              <w:numPr>
                <w:ilvl w:val="0"/>
                <w:numId w:val="18"/>
              </w:numPr>
              <w:rPr>
                <w:rFonts w:ascii="Garamond" w:hAnsi="Garamond"/>
                <w:lang w:val="en-AU"/>
              </w:rPr>
            </w:pPr>
            <w:r w:rsidRPr="00B2744C">
              <w:rPr>
                <w:rFonts w:ascii="Garamond" w:hAnsi="Garamond"/>
                <w:b/>
                <w:bCs/>
                <w:lang w:val="en-AU"/>
              </w:rPr>
              <w:t>The Living Well, Living Longer program</w:t>
            </w:r>
            <w:r w:rsidRPr="00B2744C">
              <w:rPr>
                <w:rFonts w:ascii="Garamond" w:hAnsi="Garamond"/>
                <w:lang w:val="en-AU"/>
              </w:rPr>
              <w:t>: an integrated care strategy to improve the health of people living with severe mental illness</w:t>
            </w:r>
            <w:r w:rsidR="00B2744C" w:rsidRPr="00B2744C">
              <w:rPr>
                <w:rFonts w:ascii="Garamond" w:hAnsi="Garamond"/>
                <w:lang w:val="en-AU"/>
              </w:rPr>
              <w:t xml:space="preserve"> (</w:t>
            </w:r>
            <w:r w:rsidRPr="00B2744C">
              <w:rPr>
                <w:rFonts w:ascii="Garamond" w:hAnsi="Garamond"/>
                <w:lang w:val="en-AU"/>
              </w:rPr>
              <w:t>Andrew Simpson, Lisa Parcsi and Andrew McDonald</w:t>
            </w:r>
            <w:r w:rsidR="00B2744C">
              <w:rPr>
                <w:rFonts w:ascii="Garamond" w:hAnsi="Garamond"/>
                <w:lang w:val="en-AU"/>
              </w:rPr>
              <w:t>)</w:t>
            </w:r>
          </w:p>
          <w:p w14:paraId="1B17D189" w14:textId="44DDEA2C" w:rsidR="00A85067" w:rsidRDefault="00A85067" w:rsidP="00ED1A3F">
            <w:pPr>
              <w:pStyle w:val="ListParagraph"/>
              <w:numPr>
                <w:ilvl w:val="0"/>
                <w:numId w:val="18"/>
              </w:numPr>
              <w:rPr>
                <w:rFonts w:ascii="Garamond" w:hAnsi="Garamond"/>
                <w:lang w:val="en-AU"/>
              </w:rPr>
            </w:pPr>
            <w:r w:rsidRPr="00B2744C">
              <w:rPr>
                <w:rFonts w:ascii="Garamond" w:hAnsi="Garamond"/>
                <w:lang w:val="en-AU"/>
              </w:rPr>
              <w:t xml:space="preserve">Models of care for </w:t>
            </w:r>
            <w:r w:rsidRPr="00B2744C">
              <w:rPr>
                <w:rFonts w:ascii="Garamond" w:hAnsi="Garamond"/>
                <w:b/>
                <w:bCs/>
                <w:lang w:val="en-AU"/>
              </w:rPr>
              <w:t>voluntary assisted dying</w:t>
            </w:r>
            <w:r w:rsidRPr="00B2744C">
              <w:rPr>
                <w:rFonts w:ascii="Garamond" w:hAnsi="Garamond"/>
                <w:lang w:val="en-AU"/>
              </w:rPr>
              <w:t>: a qualitative study of Queensland’s approach in its first year of operation</w:t>
            </w:r>
            <w:r w:rsidR="00B2744C" w:rsidRPr="00B2744C">
              <w:rPr>
                <w:rFonts w:ascii="Garamond" w:hAnsi="Garamond"/>
                <w:lang w:val="en-AU"/>
              </w:rPr>
              <w:t xml:space="preserve"> (</w:t>
            </w:r>
            <w:r w:rsidRPr="00B2744C">
              <w:rPr>
                <w:rFonts w:ascii="Garamond" w:hAnsi="Garamond"/>
                <w:lang w:val="en-AU"/>
              </w:rPr>
              <w:t>Ben P White, Amanda Ward, Rachel Feeney, Laura Ley Greaves and Lindy Willmott</w:t>
            </w:r>
            <w:r w:rsidR="00B2744C">
              <w:rPr>
                <w:rFonts w:ascii="Garamond" w:hAnsi="Garamond"/>
                <w:lang w:val="en-AU"/>
              </w:rPr>
              <w:t>)</w:t>
            </w:r>
          </w:p>
          <w:p w14:paraId="6BB65A37" w14:textId="2653D430" w:rsidR="00A85067" w:rsidRPr="00B2744C" w:rsidRDefault="00A85067" w:rsidP="00ED6F1F">
            <w:pPr>
              <w:pStyle w:val="ListParagraph"/>
              <w:numPr>
                <w:ilvl w:val="0"/>
                <w:numId w:val="18"/>
              </w:numPr>
              <w:rPr>
                <w:rFonts w:ascii="Garamond" w:hAnsi="Garamond"/>
                <w:lang w:val="en-AU"/>
              </w:rPr>
            </w:pPr>
            <w:r w:rsidRPr="00B2744C">
              <w:rPr>
                <w:rFonts w:ascii="Garamond" w:hAnsi="Garamond"/>
                <w:b/>
                <w:bCs/>
                <w:lang w:val="en-AU"/>
              </w:rPr>
              <w:lastRenderedPageBreak/>
              <w:t>A digitally enabled health workforce</w:t>
            </w:r>
            <w:r w:rsidRPr="00B2744C">
              <w:rPr>
                <w:rFonts w:ascii="Garamond" w:hAnsi="Garamond"/>
                <w:lang w:val="en-AU"/>
              </w:rPr>
              <w:t xml:space="preserve"> for Australia</w:t>
            </w:r>
            <w:r w:rsidR="00B2744C" w:rsidRPr="00B2744C">
              <w:rPr>
                <w:rFonts w:ascii="Garamond" w:hAnsi="Garamond"/>
                <w:lang w:val="en-AU"/>
              </w:rPr>
              <w:t xml:space="preserve"> (</w:t>
            </w:r>
            <w:r w:rsidRPr="00B2744C">
              <w:rPr>
                <w:rFonts w:ascii="Garamond" w:hAnsi="Garamond"/>
                <w:lang w:val="en-AU"/>
              </w:rPr>
              <w:t>Anna Janssen, Melissa Baysari, Christina Igasto, Kate Quirke, Petra Milnes, Tim Shaw and A Dunn</w:t>
            </w:r>
            <w:r w:rsidR="00B2744C">
              <w:rPr>
                <w:rFonts w:ascii="Garamond" w:hAnsi="Garamond"/>
                <w:lang w:val="en-AU"/>
              </w:rPr>
              <w:t>)</w:t>
            </w:r>
          </w:p>
          <w:p w14:paraId="14197B8B" w14:textId="24D03A62" w:rsidR="00A85067" w:rsidRPr="00B2744C" w:rsidRDefault="00A85067" w:rsidP="00B40D88">
            <w:pPr>
              <w:pStyle w:val="ListParagraph"/>
              <w:numPr>
                <w:ilvl w:val="0"/>
                <w:numId w:val="18"/>
              </w:numPr>
              <w:rPr>
                <w:rFonts w:ascii="Garamond" w:hAnsi="Garamond"/>
                <w:lang w:val="en-AU"/>
              </w:rPr>
            </w:pPr>
            <w:r w:rsidRPr="00B2744C">
              <w:rPr>
                <w:rFonts w:ascii="Garamond" w:hAnsi="Garamond"/>
                <w:lang w:val="en-AU"/>
              </w:rPr>
              <w:t xml:space="preserve">Accreditation as a lever for change in the development of the </w:t>
            </w:r>
            <w:r w:rsidRPr="00B2744C">
              <w:rPr>
                <w:rFonts w:ascii="Garamond" w:hAnsi="Garamond"/>
                <w:b/>
                <w:bCs/>
                <w:lang w:val="en-AU"/>
              </w:rPr>
              <w:t>collaborative practitioner</w:t>
            </w:r>
            <w:r w:rsidRPr="00B2744C">
              <w:rPr>
                <w:rFonts w:ascii="Garamond" w:hAnsi="Garamond"/>
                <w:lang w:val="en-AU"/>
              </w:rPr>
              <w:t xml:space="preserve"> in the Australian health system</w:t>
            </w:r>
            <w:r w:rsidR="00B2744C" w:rsidRPr="00B2744C">
              <w:rPr>
                <w:rFonts w:ascii="Garamond" w:hAnsi="Garamond"/>
                <w:lang w:val="en-AU"/>
              </w:rPr>
              <w:t xml:space="preserve"> (</w:t>
            </w:r>
            <w:r w:rsidRPr="00B2744C">
              <w:rPr>
                <w:rFonts w:ascii="Garamond" w:hAnsi="Garamond"/>
                <w:lang w:val="en-AU"/>
              </w:rPr>
              <w:t>Fiona Kent, Lynda Cardiff, Bronwyn Clark, Julie Gustavs, Brian Jolly, Josephine Maundu, Glenys Wilkinson and Sarah Meiklejohn</w:t>
            </w:r>
            <w:r w:rsidR="00B2744C">
              <w:rPr>
                <w:rFonts w:ascii="Garamond" w:hAnsi="Garamond"/>
                <w:lang w:val="en-AU"/>
              </w:rPr>
              <w:t>)</w:t>
            </w:r>
          </w:p>
          <w:p w14:paraId="509FD93D" w14:textId="77777777" w:rsidR="00B2744C" w:rsidRDefault="00A85067" w:rsidP="009C56BF">
            <w:pPr>
              <w:pStyle w:val="ListParagraph"/>
              <w:numPr>
                <w:ilvl w:val="0"/>
                <w:numId w:val="18"/>
              </w:numPr>
              <w:rPr>
                <w:rFonts w:ascii="Garamond" w:hAnsi="Garamond"/>
                <w:lang w:val="en-AU"/>
              </w:rPr>
            </w:pPr>
            <w:r w:rsidRPr="00B2744C">
              <w:rPr>
                <w:rFonts w:ascii="Garamond" w:hAnsi="Garamond"/>
                <w:b/>
                <w:bCs/>
                <w:lang w:val="en-AU"/>
              </w:rPr>
              <w:t xml:space="preserve">Chief executive </w:t>
            </w:r>
            <w:proofErr w:type="gramStart"/>
            <w:r w:rsidRPr="00B2744C">
              <w:rPr>
                <w:rFonts w:ascii="Garamond" w:hAnsi="Garamond"/>
                <w:b/>
                <w:bCs/>
                <w:lang w:val="en-AU"/>
              </w:rPr>
              <w:t>officers</w:t>
            </w:r>
            <w:proofErr w:type="gramEnd"/>
            <w:r w:rsidRPr="00B2744C">
              <w:rPr>
                <w:rFonts w:ascii="Garamond" w:hAnsi="Garamond"/>
                <w:b/>
                <w:bCs/>
                <w:lang w:val="en-AU"/>
              </w:rPr>
              <w:t xml:space="preserve"> retention</w:t>
            </w:r>
            <w:r w:rsidRPr="00B2744C">
              <w:rPr>
                <w:rFonts w:ascii="Garamond" w:hAnsi="Garamond"/>
                <w:lang w:val="en-AU"/>
              </w:rPr>
              <w:t xml:space="preserve"> model for Australian hospitals</w:t>
            </w:r>
            <w:r w:rsidR="00B2744C" w:rsidRPr="00B2744C">
              <w:rPr>
                <w:rFonts w:ascii="Garamond" w:hAnsi="Garamond"/>
                <w:lang w:val="en-AU"/>
              </w:rPr>
              <w:t xml:space="preserve"> (</w:t>
            </w:r>
            <w:r w:rsidRPr="00B2744C">
              <w:rPr>
                <w:rFonts w:ascii="Garamond" w:hAnsi="Garamond"/>
                <w:lang w:val="en-AU"/>
              </w:rPr>
              <w:t>Nebu Mathew, Chaojie (George) Liu and Hanan Khalil</w:t>
            </w:r>
            <w:r w:rsidR="00B2744C">
              <w:rPr>
                <w:rFonts w:ascii="Garamond" w:hAnsi="Garamond"/>
                <w:lang w:val="en-AU"/>
              </w:rPr>
              <w:t>)</w:t>
            </w:r>
          </w:p>
          <w:p w14:paraId="4ED78706" w14:textId="1E602F13" w:rsidR="00A85067" w:rsidRPr="00B2744C" w:rsidRDefault="00A85067" w:rsidP="00870885">
            <w:pPr>
              <w:pStyle w:val="ListParagraph"/>
              <w:numPr>
                <w:ilvl w:val="0"/>
                <w:numId w:val="18"/>
              </w:numPr>
              <w:rPr>
                <w:rFonts w:ascii="Garamond" w:hAnsi="Garamond"/>
                <w:lang w:val="en-AU"/>
              </w:rPr>
            </w:pPr>
            <w:r w:rsidRPr="00B2744C">
              <w:rPr>
                <w:rFonts w:ascii="Garamond" w:hAnsi="Garamond"/>
                <w:b/>
                <w:bCs/>
                <w:lang w:val="en-AU"/>
              </w:rPr>
              <w:t>Voluntary assisted dying</w:t>
            </w:r>
            <w:r w:rsidRPr="00B2744C">
              <w:rPr>
                <w:rFonts w:ascii="Garamond" w:hAnsi="Garamond"/>
                <w:lang w:val="en-AU"/>
              </w:rPr>
              <w:t>: impacts on health professionals</w:t>
            </w:r>
            <w:r w:rsidR="00B2744C" w:rsidRPr="00B2744C">
              <w:rPr>
                <w:rFonts w:ascii="Garamond" w:hAnsi="Garamond"/>
                <w:lang w:val="en-AU"/>
              </w:rPr>
              <w:t xml:space="preserve"> (</w:t>
            </w:r>
            <w:r w:rsidRPr="00B2744C">
              <w:rPr>
                <w:rFonts w:ascii="Garamond" w:hAnsi="Garamond"/>
                <w:lang w:val="en-AU"/>
              </w:rPr>
              <w:t>Geetanjali (Tanji) Lamba, Camille LaBrooy, Sophie Lewis, Ian Olver, Alexander Holmes, Cameron Stewart and Paul Komesaroff</w:t>
            </w:r>
            <w:r w:rsidR="00B2744C">
              <w:rPr>
                <w:rFonts w:ascii="Garamond" w:hAnsi="Garamond"/>
                <w:lang w:val="en-AU"/>
              </w:rPr>
              <w:t>)</w:t>
            </w:r>
          </w:p>
          <w:p w14:paraId="28B8A201" w14:textId="476DFA9B" w:rsidR="00A85067" w:rsidRPr="00A72B35" w:rsidRDefault="00A85067" w:rsidP="00B2744C">
            <w:pPr>
              <w:pStyle w:val="ListParagraph"/>
              <w:numPr>
                <w:ilvl w:val="0"/>
                <w:numId w:val="18"/>
              </w:numPr>
              <w:rPr>
                <w:rFonts w:ascii="Garamond" w:hAnsi="Garamond"/>
                <w:lang w:val="en-AU"/>
              </w:rPr>
            </w:pPr>
            <w:r w:rsidRPr="00A85067">
              <w:rPr>
                <w:rFonts w:ascii="Garamond" w:hAnsi="Garamond"/>
                <w:lang w:val="en-AU"/>
              </w:rPr>
              <w:t xml:space="preserve">Feasibility of an allied health led, workplace delivered </w:t>
            </w:r>
            <w:r w:rsidRPr="00B2744C">
              <w:rPr>
                <w:rFonts w:ascii="Garamond" w:hAnsi="Garamond"/>
                <w:b/>
                <w:bCs/>
                <w:lang w:val="en-AU"/>
              </w:rPr>
              <w:t>Long COVID</w:t>
            </w:r>
            <w:r w:rsidRPr="00A85067">
              <w:rPr>
                <w:rFonts w:ascii="Garamond" w:hAnsi="Garamond"/>
                <w:lang w:val="en-AU"/>
              </w:rPr>
              <w:t xml:space="preserve"> service for hospital staff: a mixed-methods study</w:t>
            </w:r>
            <w:r w:rsidR="00B2744C">
              <w:rPr>
                <w:rFonts w:ascii="Garamond" w:hAnsi="Garamond"/>
                <w:lang w:val="en-AU"/>
              </w:rPr>
              <w:t xml:space="preserve"> (</w:t>
            </w:r>
            <w:r w:rsidRPr="00A85067">
              <w:rPr>
                <w:rFonts w:ascii="Garamond" w:hAnsi="Garamond"/>
                <w:lang w:val="en-AU"/>
              </w:rPr>
              <w:t>Aruska N D’Souza, Catherine L Granger, Zoe Calulo Rivera, Aisling Burke, Riley Ngwenya, Carly Struck, Myvanwy Merrett, Timothy N Fazio, Genevieve Juj and Casey L Peiris</w:t>
            </w:r>
            <w:r w:rsidR="00B2744C">
              <w:rPr>
                <w:rFonts w:ascii="Garamond" w:hAnsi="Garamond"/>
                <w:lang w:val="en-AU"/>
              </w:rPr>
              <w:t>)</w:t>
            </w:r>
          </w:p>
        </w:tc>
      </w:tr>
    </w:tbl>
    <w:p w14:paraId="0989DA81" w14:textId="77777777" w:rsidR="00A85067" w:rsidRPr="00A72B35" w:rsidRDefault="00A85067" w:rsidP="00F9255C">
      <w:pPr>
        <w:keepLines/>
        <w:autoSpaceDE w:val="0"/>
        <w:autoSpaceDN w:val="0"/>
        <w:adjustRightInd w:val="0"/>
        <w:rPr>
          <w:rFonts w:ascii="Garamond" w:hAnsi="Garamond"/>
          <w:lang w:val="en-AU"/>
        </w:rPr>
      </w:pPr>
    </w:p>
    <w:p w14:paraId="7FA0FA68" w14:textId="77777777" w:rsidR="00274432" w:rsidRDefault="00274432" w:rsidP="00274432">
      <w:pPr>
        <w:keepNext/>
        <w:rPr>
          <w:rFonts w:ascii="Garamond" w:hAnsi="Garamond"/>
          <w:i/>
          <w:lang w:val="en-AU"/>
        </w:rPr>
      </w:pPr>
      <w:r>
        <w:rPr>
          <w:rFonts w:ascii="Garamond" w:hAnsi="Garamond"/>
          <w:i/>
          <w:lang w:val="en-AU"/>
        </w:rPr>
        <w:t>Health Affairs</w:t>
      </w:r>
    </w:p>
    <w:p w14:paraId="5DB367FB" w14:textId="25F43528" w:rsidR="00274432" w:rsidRDefault="00274432" w:rsidP="00274432">
      <w:pPr>
        <w:keepNext/>
        <w:rPr>
          <w:rFonts w:ascii="Garamond" w:hAnsi="Garamond"/>
          <w:lang w:val="en-AU"/>
        </w:rPr>
      </w:pPr>
      <w:r>
        <w:rPr>
          <w:rFonts w:ascii="Garamond" w:hAnsi="Garamond"/>
          <w:lang w:val="en-AU"/>
        </w:rPr>
        <w:t>Volume 43, Number 12, December 2024</w:t>
      </w:r>
    </w:p>
    <w:tbl>
      <w:tblPr>
        <w:tblStyle w:val="TableGrid"/>
        <w:tblW w:w="9360" w:type="dxa"/>
        <w:tblInd w:w="288" w:type="dxa"/>
        <w:tblLayout w:type="fixed"/>
        <w:tblLook w:val="01E0" w:firstRow="1" w:lastRow="1" w:firstColumn="1" w:lastColumn="1" w:noHBand="0" w:noVBand="0"/>
      </w:tblPr>
      <w:tblGrid>
        <w:gridCol w:w="1080"/>
        <w:gridCol w:w="8280"/>
      </w:tblGrid>
      <w:tr w:rsidR="00274432" w14:paraId="46E58D6A" w14:textId="77777777" w:rsidTr="001C1A1B">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46A9004B" w14:textId="77777777" w:rsidR="00274432" w:rsidRDefault="00274432" w:rsidP="001C1A1B">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C7D1D9A" w14:textId="01776CF6" w:rsidR="00274432" w:rsidRDefault="00274432" w:rsidP="001C1A1B">
            <w:pPr>
              <w:rPr>
                <w:rStyle w:val="Hyperlink"/>
                <w:rFonts w:ascii="Garamond" w:hAnsi="Garamond"/>
                <w:color w:val="auto"/>
                <w:u w:val="none"/>
                <w:lang w:val="en-AU"/>
              </w:rPr>
            </w:pPr>
            <w:hyperlink r:id="rId31" w:history="1">
              <w:r w:rsidRPr="00E372E4">
                <w:rPr>
                  <w:rStyle w:val="Hyperlink"/>
                  <w:rFonts w:ascii="Garamond" w:hAnsi="Garamond"/>
                  <w:lang w:val="en-AU"/>
                </w:rPr>
                <w:t>https://www.healthaffairs.org/toc/hlthaff/43/12</w:t>
              </w:r>
            </w:hyperlink>
          </w:p>
        </w:tc>
      </w:tr>
      <w:tr w:rsidR="00274432" w14:paraId="5DE36E05" w14:textId="77777777" w:rsidTr="001C1A1B">
        <w:tc>
          <w:tcPr>
            <w:tcW w:w="1080" w:type="dxa"/>
            <w:tcBorders>
              <w:top w:val="single" w:sz="4" w:space="0" w:color="auto"/>
              <w:left w:val="single" w:sz="4" w:space="0" w:color="auto"/>
              <w:bottom w:val="single" w:sz="4" w:space="0" w:color="auto"/>
              <w:right w:val="single" w:sz="4" w:space="0" w:color="auto"/>
            </w:tcBorders>
            <w:vAlign w:val="center"/>
            <w:hideMark/>
          </w:tcPr>
          <w:p w14:paraId="6F6EE7A2" w14:textId="77777777" w:rsidR="00274432" w:rsidRDefault="00274432" w:rsidP="001C1A1B">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CB920AD" w14:textId="4D13B698" w:rsidR="00274432" w:rsidRDefault="00274432" w:rsidP="001C1A1B">
            <w:pPr>
              <w:rPr>
                <w:rFonts w:ascii="Garamond" w:hAnsi="Garamond"/>
                <w:lang w:val="en-AU"/>
              </w:rPr>
            </w:pPr>
            <w:r>
              <w:rPr>
                <w:rFonts w:ascii="Garamond" w:hAnsi="Garamond"/>
                <w:lang w:val="en-AU"/>
              </w:rPr>
              <w:t xml:space="preserve">A new issue of </w:t>
            </w:r>
            <w:r>
              <w:rPr>
                <w:rFonts w:ascii="Garamond" w:hAnsi="Garamond"/>
                <w:i/>
                <w:iCs/>
                <w:lang w:val="en-AU"/>
              </w:rPr>
              <w:t>Health Affairs</w:t>
            </w:r>
            <w:r>
              <w:rPr>
                <w:rFonts w:ascii="Garamond" w:hAnsi="Garamond"/>
                <w:lang w:val="en-AU"/>
              </w:rPr>
              <w:t xml:space="preserve"> has been published with the themes </w:t>
            </w:r>
            <w:r w:rsidRPr="001173F1">
              <w:rPr>
                <w:rFonts w:ascii="Garamond" w:hAnsi="Garamond"/>
                <w:lang w:val="en-AU"/>
              </w:rPr>
              <w:t>‘</w:t>
            </w:r>
            <w:r>
              <w:rPr>
                <w:rFonts w:ascii="Garamond" w:hAnsi="Garamond"/>
                <w:lang w:val="en-AU"/>
              </w:rPr>
              <w:t>Risk Adjustment</w:t>
            </w:r>
            <w:r w:rsidRPr="00F54615">
              <w:rPr>
                <w:rFonts w:ascii="Garamond" w:hAnsi="Garamond"/>
                <w:lang w:val="en-AU"/>
              </w:rPr>
              <w:t xml:space="preserve">, </w:t>
            </w:r>
            <w:r>
              <w:rPr>
                <w:rFonts w:ascii="Garamond" w:hAnsi="Garamond"/>
                <w:lang w:val="en-AU"/>
              </w:rPr>
              <w:t>Insurance Markets and m</w:t>
            </w:r>
            <w:r w:rsidRPr="00F54615">
              <w:rPr>
                <w:rFonts w:ascii="Garamond" w:hAnsi="Garamond"/>
                <w:lang w:val="en-AU"/>
              </w:rPr>
              <w:t>ore</w:t>
            </w:r>
            <w:r>
              <w:rPr>
                <w:rFonts w:ascii="Garamond" w:hAnsi="Garamond"/>
                <w:lang w:val="en-AU"/>
              </w:rPr>
              <w:t xml:space="preserve">’. Articles in this issue of </w:t>
            </w:r>
            <w:r>
              <w:rPr>
                <w:rFonts w:ascii="Garamond" w:hAnsi="Garamond"/>
                <w:i/>
                <w:iCs/>
                <w:lang w:val="en-AU"/>
              </w:rPr>
              <w:t>Health Affairs</w:t>
            </w:r>
            <w:r>
              <w:rPr>
                <w:rFonts w:ascii="Garamond" w:hAnsi="Garamond"/>
                <w:lang w:val="en-AU"/>
              </w:rPr>
              <w:t xml:space="preserve"> include:</w:t>
            </w:r>
          </w:p>
          <w:p w14:paraId="75C597A8" w14:textId="55C3B76E" w:rsidR="00274432" w:rsidRPr="00274432" w:rsidRDefault="00274432" w:rsidP="00353EDC">
            <w:pPr>
              <w:pStyle w:val="ListParagraph"/>
              <w:numPr>
                <w:ilvl w:val="0"/>
                <w:numId w:val="18"/>
              </w:numPr>
              <w:rPr>
                <w:rFonts w:ascii="Garamond" w:hAnsi="Garamond"/>
                <w:lang w:val="en-AU"/>
              </w:rPr>
            </w:pPr>
            <w:r w:rsidRPr="00274432">
              <w:rPr>
                <w:rFonts w:ascii="Garamond" w:hAnsi="Garamond"/>
                <w:b/>
                <w:bCs/>
                <w:lang w:val="en-AU"/>
              </w:rPr>
              <w:t>Nonprofit Hospitals And Community Investment</w:t>
            </w:r>
            <w:r w:rsidRPr="00274432">
              <w:rPr>
                <w:rFonts w:ascii="Garamond" w:hAnsi="Garamond"/>
                <w:lang w:val="en-AU"/>
              </w:rPr>
              <w:t>: New Approaches (Marianne Amoss</w:t>
            </w:r>
            <w:r>
              <w:rPr>
                <w:rFonts w:ascii="Garamond" w:hAnsi="Garamond"/>
                <w:lang w:val="en-AU"/>
              </w:rPr>
              <w:t>)</w:t>
            </w:r>
          </w:p>
          <w:p w14:paraId="44E9E3EA" w14:textId="51162FBB" w:rsidR="00274432" w:rsidRPr="00274432" w:rsidRDefault="00274432" w:rsidP="00994FC0">
            <w:pPr>
              <w:pStyle w:val="ListParagraph"/>
              <w:numPr>
                <w:ilvl w:val="0"/>
                <w:numId w:val="18"/>
              </w:numPr>
              <w:rPr>
                <w:rFonts w:ascii="Garamond" w:hAnsi="Garamond"/>
                <w:lang w:val="en-AU"/>
              </w:rPr>
            </w:pPr>
            <w:r w:rsidRPr="00274432">
              <w:rPr>
                <w:rFonts w:ascii="Garamond" w:hAnsi="Garamond"/>
                <w:b/>
                <w:bCs/>
                <w:lang w:val="en-AU"/>
              </w:rPr>
              <w:t>Upcoding</w:t>
            </w:r>
            <w:r w:rsidRPr="00274432">
              <w:rPr>
                <w:rFonts w:ascii="Garamond" w:hAnsi="Garamond"/>
                <w:lang w:val="en-AU"/>
              </w:rPr>
              <w:t xml:space="preserve"> Linked To Up To Two-Thirds Of Growth In Highest-Intensity Hospital Discharges In 5 States, 2011–19 (Daniel Crespin, Michael Dworsky, Jonathan Levin, Teague Ruder, and Christopher M</w:t>
            </w:r>
            <w:r>
              <w:rPr>
                <w:rFonts w:ascii="Garamond" w:hAnsi="Garamond"/>
                <w:lang w:val="en-AU"/>
              </w:rPr>
              <w:t xml:space="preserve"> </w:t>
            </w:r>
            <w:r w:rsidRPr="00274432">
              <w:rPr>
                <w:rFonts w:ascii="Garamond" w:hAnsi="Garamond"/>
                <w:lang w:val="en-AU"/>
              </w:rPr>
              <w:t>Whaley</w:t>
            </w:r>
            <w:r>
              <w:rPr>
                <w:rFonts w:ascii="Garamond" w:hAnsi="Garamond"/>
                <w:lang w:val="en-AU"/>
              </w:rPr>
              <w:t>)</w:t>
            </w:r>
          </w:p>
          <w:p w14:paraId="546B8814" w14:textId="07A991D9" w:rsidR="00274432" w:rsidRPr="00274432" w:rsidRDefault="00274432" w:rsidP="00A258F6">
            <w:pPr>
              <w:pStyle w:val="ListParagraph"/>
              <w:numPr>
                <w:ilvl w:val="0"/>
                <w:numId w:val="18"/>
              </w:numPr>
              <w:rPr>
                <w:rFonts w:ascii="Garamond" w:hAnsi="Garamond"/>
                <w:lang w:val="en-AU"/>
              </w:rPr>
            </w:pPr>
            <w:r w:rsidRPr="00274432">
              <w:rPr>
                <w:rFonts w:ascii="Garamond" w:hAnsi="Garamond"/>
                <w:b/>
                <w:bCs/>
                <w:lang w:val="en-AU"/>
              </w:rPr>
              <w:t>Excess Diagnosis Coding</w:t>
            </w:r>
            <w:r w:rsidRPr="00274432">
              <w:rPr>
                <w:rFonts w:ascii="Garamond" w:hAnsi="Garamond"/>
                <w:lang w:val="en-AU"/>
              </w:rPr>
              <w:t xml:space="preserve"> In Medicare Advantage: Evidence From Skilled Nursing Facility Clinical Assessments (Cyrus M Kosar, Hannah O James, Daeho Kim, Amal N Trivedi, Rachel M Werner, M Rahman, and D J Meyers</w:t>
            </w:r>
            <w:r>
              <w:rPr>
                <w:rFonts w:ascii="Garamond" w:hAnsi="Garamond"/>
                <w:lang w:val="en-AU"/>
              </w:rPr>
              <w:t>)</w:t>
            </w:r>
          </w:p>
          <w:p w14:paraId="53D2AD1C" w14:textId="5AC5BA48" w:rsidR="00274432" w:rsidRPr="00274432" w:rsidRDefault="00274432" w:rsidP="006D4E78">
            <w:pPr>
              <w:pStyle w:val="ListParagraph"/>
              <w:numPr>
                <w:ilvl w:val="0"/>
                <w:numId w:val="18"/>
              </w:numPr>
              <w:rPr>
                <w:rFonts w:ascii="Garamond" w:hAnsi="Garamond"/>
                <w:lang w:val="en-AU"/>
              </w:rPr>
            </w:pPr>
            <w:r w:rsidRPr="00274432">
              <w:rPr>
                <w:rFonts w:ascii="Garamond" w:hAnsi="Garamond"/>
                <w:b/>
                <w:bCs/>
                <w:lang w:val="en-AU"/>
              </w:rPr>
              <w:t>Lack Of Persistent Coding</w:t>
            </w:r>
            <w:r w:rsidRPr="00274432">
              <w:rPr>
                <w:rFonts w:ascii="Garamond" w:hAnsi="Garamond"/>
                <w:lang w:val="en-AU"/>
              </w:rPr>
              <w:t xml:space="preserve"> In Traditional Medicare May Widen The Risk-Score Gap With Medicare Advantage (Niru Ghoshal-Datta, Michael E Chernew, and J Michael McWilliams</w:t>
            </w:r>
            <w:r>
              <w:rPr>
                <w:rFonts w:ascii="Garamond" w:hAnsi="Garamond"/>
                <w:lang w:val="en-AU"/>
              </w:rPr>
              <w:t>)</w:t>
            </w:r>
          </w:p>
          <w:p w14:paraId="0E373BE0" w14:textId="48236F0A" w:rsidR="00274432" w:rsidRPr="00274432" w:rsidRDefault="00274432" w:rsidP="00FD3011">
            <w:pPr>
              <w:pStyle w:val="ListParagraph"/>
              <w:numPr>
                <w:ilvl w:val="0"/>
                <w:numId w:val="18"/>
              </w:numPr>
              <w:rPr>
                <w:rFonts w:ascii="Garamond" w:hAnsi="Garamond"/>
                <w:lang w:val="en-AU"/>
              </w:rPr>
            </w:pPr>
            <w:r w:rsidRPr="00274432">
              <w:rPr>
                <w:rFonts w:ascii="Garamond" w:hAnsi="Garamond"/>
                <w:b/>
                <w:bCs/>
                <w:lang w:val="en-AU"/>
              </w:rPr>
              <w:t>Medicare Advantage</w:t>
            </w:r>
            <w:r w:rsidRPr="00274432">
              <w:rPr>
                <w:rFonts w:ascii="Garamond" w:hAnsi="Garamond"/>
                <w:lang w:val="en-AU"/>
              </w:rPr>
              <w:t>: National Carriers Expand Market Share While Regional Carriers Without Affiliation Decline, 2012–23 (Joseph G P Hnath, J Michael McWilliams, and Michael E Chernew</w:t>
            </w:r>
            <w:r>
              <w:rPr>
                <w:rFonts w:ascii="Garamond" w:hAnsi="Garamond"/>
                <w:lang w:val="en-AU"/>
              </w:rPr>
              <w:t>)</w:t>
            </w:r>
          </w:p>
          <w:p w14:paraId="3A0738A5" w14:textId="57EEEF6F" w:rsidR="00274432" w:rsidRPr="00274432" w:rsidRDefault="00274432" w:rsidP="00733FC1">
            <w:pPr>
              <w:pStyle w:val="ListParagraph"/>
              <w:numPr>
                <w:ilvl w:val="0"/>
                <w:numId w:val="18"/>
              </w:numPr>
              <w:rPr>
                <w:rFonts w:ascii="Garamond" w:hAnsi="Garamond"/>
                <w:lang w:val="en-AU"/>
              </w:rPr>
            </w:pPr>
            <w:r w:rsidRPr="00274432">
              <w:rPr>
                <w:rFonts w:ascii="Garamond" w:hAnsi="Garamond"/>
                <w:b/>
                <w:bCs/>
                <w:lang w:val="en-AU"/>
              </w:rPr>
              <w:t>Prevalence And Profits Of Insurers</w:t>
            </w:r>
            <w:r w:rsidRPr="00274432">
              <w:rPr>
                <w:rFonts w:ascii="Garamond" w:hAnsi="Garamond"/>
                <w:lang w:val="en-AU"/>
              </w:rPr>
              <w:t xml:space="preserve"> In The Administrative Services Only Market Serving Self-Insured Employers, 2010–22 (Jean M Abraham, Amanda C Cook, and E. Tice Sirmans</w:t>
            </w:r>
            <w:r>
              <w:rPr>
                <w:rFonts w:ascii="Garamond" w:hAnsi="Garamond"/>
                <w:lang w:val="en-AU"/>
              </w:rPr>
              <w:t>)</w:t>
            </w:r>
          </w:p>
          <w:p w14:paraId="2F719C0F" w14:textId="5A64DB29" w:rsidR="00274432" w:rsidRPr="00274432" w:rsidRDefault="00274432" w:rsidP="004F7D3E">
            <w:pPr>
              <w:pStyle w:val="ListParagraph"/>
              <w:numPr>
                <w:ilvl w:val="0"/>
                <w:numId w:val="18"/>
              </w:numPr>
              <w:rPr>
                <w:rFonts w:ascii="Garamond" w:hAnsi="Garamond"/>
                <w:lang w:val="en-AU"/>
              </w:rPr>
            </w:pPr>
            <w:r w:rsidRPr="00274432">
              <w:rPr>
                <w:rFonts w:ascii="Garamond" w:hAnsi="Garamond"/>
                <w:lang w:val="en-AU"/>
              </w:rPr>
              <w:t xml:space="preserve">Promoting </w:t>
            </w:r>
            <w:r w:rsidRPr="00274432">
              <w:rPr>
                <w:rFonts w:ascii="Garamond" w:hAnsi="Garamond"/>
                <w:b/>
                <w:bCs/>
                <w:lang w:val="en-AU"/>
              </w:rPr>
              <w:t>Access To Hospital Care In Rural Areas</w:t>
            </w:r>
            <w:r w:rsidRPr="00274432">
              <w:rPr>
                <w:rFonts w:ascii="Garamond" w:hAnsi="Garamond"/>
                <w:lang w:val="en-AU"/>
              </w:rPr>
              <w:t>: Current Approaches And Ongoing Challenges (Caitlin Carroll, V Berquist, and M E Chernew</w:t>
            </w:r>
            <w:r>
              <w:rPr>
                <w:rFonts w:ascii="Garamond" w:hAnsi="Garamond"/>
                <w:lang w:val="en-AU"/>
              </w:rPr>
              <w:t>)</w:t>
            </w:r>
          </w:p>
          <w:p w14:paraId="0BA686A0" w14:textId="5259C282" w:rsidR="00274432" w:rsidRPr="00274432" w:rsidRDefault="00274432" w:rsidP="00E571D1">
            <w:pPr>
              <w:pStyle w:val="ListParagraph"/>
              <w:numPr>
                <w:ilvl w:val="0"/>
                <w:numId w:val="18"/>
              </w:numPr>
              <w:rPr>
                <w:rFonts w:ascii="Garamond" w:hAnsi="Garamond"/>
                <w:lang w:val="en-AU"/>
              </w:rPr>
            </w:pPr>
            <w:r w:rsidRPr="00274432">
              <w:rPr>
                <w:rFonts w:ascii="Garamond" w:hAnsi="Garamond"/>
                <w:b/>
                <w:bCs/>
                <w:lang w:val="en-AU"/>
              </w:rPr>
              <w:t>Providers Paid Substantially Less</w:t>
            </w:r>
            <w:r w:rsidRPr="00274432">
              <w:rPr>
                <w:rFonts w:ascii="Garamond" w:hAnsi="Garamond"/>
                <w:lang w:val="en-AU"/>
              </w:rPr>
              <w:t xml:space="preserve"> By Marketplace Nongroup Insurers Than By Employer Small-Group Plans, 2021 (Caroline Hanson, Ian McCarthy, Eamon Molloy, and Karen Stockley</w:t>
            </w:r>
            <w:r>
              <w:rPr>
                <w:rFonts w:ascii="Garamond" w:hAnsi="Garamond"/>
                <w:lang w:val="en-AU"/>
              </w:rPr>
              <w:t>)</w:t>
            </w:r>
          </w:p>
          <w:p w14:paraId="71E9746D" w14:textId="0782FE7D" w:rsidR="00274432" w:rsidRPr="00274432" w:rsidRDefault="00274432" w:rsidP="00C52AD6">
            <w:pPr>
              <w:pStyle w:val="ListParagraph"/>
              <w:numPr>
                <w:ilvl w:val="0"/>
                <w:numId w:val="18"/>
              </w:numPr>
              <w:rPr>
                <w:rFonts w:ascii="Garamond" w:hAnsi="Garamond"/>
                <w:lang w:val="en-AU"/>
              </w:rPr>
            </w:pPr>
            <w:r w:rsidRPr="00274432">
              <w:rPr>
                <w:rFonts w:ascii="Garamond" w:hAnsi="Garamond"/>
                <w:b/>
                <w:bCs/>
                <w:lang w:val="en-AU"/>
              </w:rPr>
              <w:t>Hospital Payment Caps</w:t>
            </w:r>
            <w:r w:rsidRPr="00274432">
              <w:rPr>
                <w:rFonts w:ascii="Garamond" w:hAnsi="Garamond"/>
                <w:lang w:val="en-AU"/>
              </w:rPr>
              <w:t xml:space="preserve"> Could Save State Employee Health Plans Millions While Keeping Hospital Operating Margins Healthy (Roslyn C Murray, Christopher M Whaley, Erin C Fuse Brown, and Andrew M Ryan</w:t>
            </w:r>
            <w:r>
              <w:rPr>
                <w:rFonts w:ascii="Garamond" w:hAnsi="Garamond"/>
                <w:lang w:val="en-AU"/>
              </w:rPr>
              <w:t>)</w:t>
            </w:r>
          </w:p>
          <w:p w14:paraId="58EF8DCC" w14:textId="0ABAB7CB" w:rsidR="00274432" w:rsidRPr="00274432" w:rsidRDefault="00274432" w:rsidP="00A909C2">
            <w:pPr>
              <w:pStyle w:val="ListParagraph"/>
              <w:numPr>
                <w:ilvl w:val="0"/>
                <w:numId w:val="18"/>
              </w:numPr>
              <w:rPr>
                <w:rFonts w:ascii="Garamond" w:hAnsi="Garamond"/>
                <w:lang w:val="en-AU"/>
              </w:rPr>
            </w:pPr>
            <w:r w:rsidRPr="00274432">
              <w:rPr>
                <w:rFonts w:ascii="Garamond" w:hAnsi="Garamond"/>
                <w:lang w:val="en-AU"/>
              </w:rPr>
              <w:t xml:space="preserve">Strengths And Weaknesses Of Introducing An Inflation Factor Into The </w:t>
            </w:r>
            <w:r w:rsidRPr="00274432">
              <w:rPr>
                <w:rFonts w:ascii="Garamond" w:hAnsi="Garamond"/>
                <w:b/>
                <w:bCs/>
                <w:lang w:val="en-AU"/>
              </w:rPr>
              <w:t>Medicare Physician Fee Schedule</w:t>
            </w:r>
            <w:r w:rsidRPr="00274432">
              <w:rPr>
                <w:rFonts w:ascii="Garamond" w:hAnsi="Garamond"/>
                <w:lang w:val="en-AU"/>
              </w:rPr>
              <w:t xml:space="preserve"> (Michael E Chernew, Ateev Mehrotra, and Riya D Doshi</w:t>
            </w:r>
            <w:r>
              <w:rPr>
                <w:rFonts w:ascii="Garamond" w:hAnsi="Garamond"/>
                <w:lang w:val="en-AU"/>
              </w:rPr>
              <w:t>)</w:t>
            </w:r>
          </w:p>
          <w:p w14:paraId="7651639A" w14:textId="67ABE89F" w:rsidR="00274432" w:rsidRPr="00274432" w:rsidRDefault="00274432" w:rsidP="00945D82">
            <w:pPr>
              <w:pStyle w:val="ListParagraph"/>
              <w:numPr>
                <w:ilvl w:val="0"/>
                <w:numId w:val="18"/>
              </w:numPr>
              <w:rPr>
                <w:rFonts w:ascii="Garamond" w:hAnsi="Garamond"/>
                <w:lang w:val="en-AU"/>
              </w:rPr>
            </w:pPr>
            <w:r w:rsidRPr="00274432">
              <w:rPr>
                <w:rFonts w:ascii="Garamond" w:hAnsi="Garamond"/>
                <w:b/>
                <w:bCs/>
                <w:lang w:val="en-AU"/>
              </w:rPr>
              <w:lastRenderedPageBreak/>
              <w:t>Children’s Mental Health</w:t>
            </w:r>
            <w:r w:rsidRPr="00274432">
              <w:rPr>
                <w:rFonts w:ascii="Garamond" w:hAnsi="Garamond"/>
                <w:lang w:val="en-AU"/>
              </w:rPr>
              <w:t>: Living With Parents Who Had Adverse Childhood Experiences (Sandra L Decker, G Meille, X Wu, and S H Zuvekas</w:t>
            </w:r>
            <w:r>
              <w:rPr>
                <w:rFonts w:ascii="Garamond" w:hAnsi="Garamond"/>
                <w:lang w:val="en-AU"/>
              </w:rPr>
              <w:t>)</w:t>
            </w:r>
          </w:p>
          <w:p w14:paraId="4D116763" w14:textId="29D481D2" w:rsidR="00274432" w:rsidRPr="00274432" w:rsidRDefault="00274432" w:rsidP="0036525E">
            <w:pPr>
              <w:pStyle w:val="ListParagraph"/>
              <w:numPr>
                <w:ilvl w:val="0"/>
                <w:numId w:val="18"/>
              </w:numPr>
              <w:rPr>
                <w:rFonts w:ascii="Garamond" w:hAnsi="Garamond"/>
                <w:lang w:val="en-AU"/>
              </w:rPr>
            </w:pPr>
            <w:r w:rsidRPr="00274432">
              <w:rPr>
                <w:rFonts w:ascii="Garamond" w:hAnsi="Garamond"/>
                <w:lang w:val="en-AU"/>
              </w:rPr>
              <w:t xml:space="preserve">More US Pharmacies Closed Than Opened In 2018–21; </w:t>
            </w:r>
            <w:r w:rsidRPr="00274432">
              <w:rPr>
                <w:rFonts w:ascii="Garamond" w:hAnsi="Garamond"/>
                <w:b/>
                <w:bCs/>
                <w:lang w:val="en-AU"/>
              </w:rPr>
              <w:t>Independent Pharmacies</w:t>
            </w:r>
            <w:r w:rsidRPr="00274432">
              <w:rPr>
                <w:rFonts w:ascii="Garamond" w:hAnsi="Garamond"/>
                <w:lang w:val="en-AU"/>
              </w:rPr>
              <w:t>, Those In Black, Latinx Communities Most At Risk (Jenny S</w:t>
            </w:r>
            <w:r>
              <w:rPr>
                <w:rFonts w:ascii="Garamond" w:hAnsi="Garamond"/>
                <w:lang w:val="en-AU"/>
              </w:rPr>
              <w:t xml:space="preserve"> </w:t>
            </w:r>
            <w:r w:rsidRPr="00274432">
              <w:rPr>
                <w:rFonts w:ascii="Garamond" w:hAnsi="Garamond"/>
                <w:lang w:val="en-AU"/>
              </w:rPr>
              <w:t xml:space="preserve">Guadamuz, </w:t>
            </w:r>
            <w:proofErr w:type="gramStart"/>
            <w:r w:rsidRPr="00274432">
              <w:rPr>
                <w:rFonts w:ascii="Garamond" w:hAnsi="Garamond"/>
                <w:lang w:val="en-AU"/>
              </w:rPr>
              <w:t>G.Caleb</w:t>
            </w:r>
            <w:proofErr w:type="gramEnd"/>
            <w:r w:rsidRPr="00274432">
              <w:rPr>
                <w:rFonts w:ascii="Garamond" w:hAnsi="Garamond"/>
                <w:lang w:val="en-AU"/>
              </w:rPr>
              <w:t xml:space="preserve"> Alexander, Genevieve P Kanter, and Dima Mazen Qato</w:t>
            </w:r>
            <w:r>
              <w:rPr>
                <w:rFonts w:ascii="Garamond" w:hAnsi="Garamond"/>
                <w:lang w:val="en-AU"/>
              </w:rPr>
              <w:t>)</w:t>
            </w:r>
          </w:p>
          <w:p w14:paraId="5D7BF56E" w14:textId="40F0DD32" w:rsidR="00274432" w:rsidRPr="00274432" w:rsidRDefault="00274432" w:rsidP="00B1480A">
            <w:pPr>
              <w:pStyle w:val="ListParagraph"/>
              <w:numPr>
                <w:ilvl w:val="0"/>
                <w:numId w:val="18"/>
              </w:numPr>
              <w:rPr>
                <w:rFonts w:ascii="Garamond" w:hAnsi="Garamond"/>
                <w:lang w:val="en-AU"/>
              </w:rPr>
            </w:pPr>
            <w:r w:rsidRPr="00274432">
              <w:rPr>
                <w:rFonts w:ascii="Garamond" w:hAnsi="Garamond"/>
                <w:b/>
                <w:bCs/>
                <w:lang w:val="en-AU"/>
              </w:rPr>
              <w:t>Medicare Local Coverage Determinations</w:t>
            </w:r>
            <w:r w:rsidRPr="00274432">
              <w:rPr>
                <w:rFonts w:ascii="Garamond" w:hAnsi="Garamond"/>
                <w:lang w:val="en-AU"/>
              </w:rPr>
              <w:t>: Evidence Quality Is Stronger For Covered Indications (Osman Moneer, Maryam Mooghali, Khadeeja Moosa, Reshma Ramachandran, Joseph S Ross, and Sanket S Dhruva</w:t>
            </w:r>
            <w:r>
              <w:rPr>
                <w:rFonts w:ascii="Garamond" w:hAnsi="Garamond"/>
                <w:lang w:val="en-AU"/>
              </w:rPr>
              <w:t>)</w:t>
            </w:r>
          </w:p>
          <w:p w14:paraId="10CBEBC0" w14:textId="4AFDC9D9" w:rsidR="00274432" w:rsidRPr="00274432" w:rsidRDefault="00274432" w:rsidP="0092548E">
            <w:pPr>
              <w:pStyle w:val="ListParagraph"/>
              <w:numPr>
                <w:ilvl w:val="0"/>
                <w:numId w:val="18"/>
              </w:numPr>
              <w:rPr>
                <w:rFonts w:ascii="Garamond" w:hAnsi="Garamond"/>
                <w:lang w:val="en-AU"/>
              </w:rPr>
            </w:pPr>
            <w:r w:rsidRPr="00274432">
              <w:rPr>
                <w:rFonts w:ascii="Garamond" w:hAnsi="Garamond"/>
                <w:lang w:val="en-AU"/>
              </w:rPr>
              <w:t xml:space="preserve">US Trends In </w:t>
            </w:r>
            <w:r w:rsidRPr="00274432">
              <w:rPr>
                <w:rFonts w:ascii="Garamond" w:hAnsi="Garamond"/>
                <w:b/>
                <w:bCs/>
                <w:lang w:val="en-AU"/>
              </w:rPr>
              <w:t>Anticancer Medicine Pricing</w:t>
            </w:r>
            <w:r w:rsidRPr="00274432">
              <w:rPr>
                <w:rFonts w:ascii="Garamond" w:hAnsi="Garamond"/>
                <w:lang w:val="en-AU"/>
              </w:rPr>
              <w:t xml:space="preserve"> And The Impact Of Competition, 2014–20 (R M Conti, C Mcglave, M B Rosenthal, and D Rodin</w:t>
            </w:r>
            <w:r>
              <w:rPr>
                <w:rFonts w:ascii="Garamond" w:hAnsi="Garamond"/>
                <w:lang w:val="en-AU"/>
              </w:rPr>
              <w:t>)</w:t>
            </w:r>
          </w:p>
          <w:p w14:paraId="191536C9" w14:textId="7096B06B" w:rsidR="00274432" w:rsidRPr="006F4215" w:rsidRDefault="00274432" w:rsidP="00274432">
            <w:pPr>
              <w:pStyle w:val="ListParagraph"/>
              <w:numPr>
                <w:ilvl w:val="0"/>
                <w:numId w:val="18"/>
              </w:numPr>
              <w:rPr>
                <w:rFonts w:ascii="Garamond" w:hAnsi="Garamond"/>
                <w:lang w:val="en-AU"/>
              </w:rPr>
            </w:pPr>
            <w:r w:rsidRPr="00274432">
              <w:rPr>
                <w:rFonts w:ascii="Garamond" w:hAnsi="Garamond"/>
                <w:lang w:val="en-AU"/>
              </w:rPr>
              <w:t>The Idea Of A Good Daughter</w:t>
            </w:r>
            <w:r>
              <w:rPr>
                <w:rFonts w:ascii="Garamond" w:hAnsi="Garamond"/>
                <w:lang w:val="en-AU"/>
              </w:rPr>
              <w:t xml:space="preserve"> (</w:t>
            </w:r>
            <w:r w:rsidRPr="00274432">
              <w:rPr>
                <w:rFonts w:ascii="Garamond" w:hAnsi="Garamond"/>
                <w:lang w:val="en-AU"/>
              </w:rPr>
              <w:t>Jennifer Beard</w:t>
            </w:r>
            <w:r>
              <w:rPr>
                <w:rFonts w:ascii="Garamond" w:hAnsi="Garamond"/>
                <w:lang w:val="en-AU"/>
              </w:rPr>
              <w:t>)</w:t>
            </w:r>
          </w:p>
        </w:tc>
      </w:tr>
    </w:tbl>
    <w:p w14:paraId="7900AE13" w14:textId="77777777" w:rsidR="00274432" w:rsidRDefault="00274432" w:rsidP="00274432">
      <w:pPr>
        <w:keepLines/>
        <w:autoSpaceDE w:val="0"/>
        <w:autoSpaceDN w:val="0"/>
        <w:adjustRightInd w:val="0"/>
        <w:rPr>
          <w:rFonts w:ascii="Garamond" w:hAnsi="Garamond"/>
          <w:lang w:val="en-AU"/>
        </w:rPr>
      </w:pPr>
    </w:p>
    <w:p w14:paraId="31A22402" w14:textId="77777777" w:rsidR="00F9255C" w:rsidRPr="00A72B35" w:rsidRDefault="00F9255C" w:rsidP="00F9255C">
      <w:pPr>
        <w:keepNext/>
        <w:rPr>
          <w:rFonts w:ascii="Garamond" w:hAnsi="Garamond"/>
          <w:lang w:val="en-AU"/>
        </w:rPr>
      </w:pPr>
      <w:r w:rsidRPr="00A72B35">
        <w:rPr>
          <w:rFonts w:ascii="Garamond" w:hAnsi="Garamond"/>
          <w:i/>
          <w:lang w:val="en-AU"/>
        </w:rPr>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rsidP="007F7A70">
            <w:pPr>
              <w:keepNext/>
              <w:rPr>
                <w:rFonts w:ascii="Garamond" w:hAnsi="Garamond"/>
                <w:lang w:val="en-AU"/>
              </w:rPr>
            </w:pPr>
            <w:hyperlink r:id="rId32" w:history="1">
              <w:r w:rsidRPr="00A72B35">
                <w:rPr>
                  <w:rStyle w:val="Hyperlink"/>
                  <w:rFonts w:ascii="Garamond" w:hAnsi="Garamond"/>
                  <w:lang w:val="en-AU"/>
                </w:rPr>
                <w:t>https://qualitysafety.bmj.com/content/early/recent</w:t>
              </w:r>
            </w:hyperlink>
          </w:p>
        </w:tc>
      </w:tr>
      <w:tr w:rsidR="00F9255C" w:rsidRPr="00A72B35"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rsidP="007F7A70">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2F15730C" w14:textId="32794B97" w:rsidR="000F57DF" w:rsidRPr="00A72B35" w:rsidRDefault="00353140" w:rsidP="00353140">
            <w:pPr>
              <w:pStyle w:val="ListParagraph"/>
              <w:numPr>
                <w:ilvl w:val="0"/>
                <w:numId w:val="16"/>
              </w:numPr>
              <w:rPr>
                <w:rFonts w:ascii="Garamond" w:hAnsi="Garamond"/>
                <w:lang w:val="en-AU"/>
              </w:rPr>
            </w:pPr>
            <w:r w:rsidRPr="00353140">
              <w:rPr>
                <w:rFonts w:ascii="Garamond" w:hAnsi="Garamond"/>
                <w:lang w:val="en-AU"/>
              </w:rPr>
              <w:t xml:space="preserve">Large-scale observational study of </w:t>
            </w:r>
            <w:r w:rsidRPr="00353140">
              <w:rPr>
                <w:rFonts w:ascii="Garamond" w:hAnsi="Garamond"/>
                <w:b/>
                <w:bCs/>
                <w:lang w:val="en-AU"/>
              </w:rPr>
              <w:t>AI-based patient and surgical material verification system in ophthalmolog</w:t>
            </w:r>
            <w:r w:rsidRPr="00353140">
              <w:rPr>
                <w:rFonts w:ascii="Garamond" w:hAnsi="Garamond"/>
                <w:lang w:val="en-AU"/>
              </w:rPr>
              <w:t xml:space="preserve">y: real-world evaluation in 37 529 cases </w:t>
            </w:r>
            <w:r>
              <w:rPr>
                <w:rFonts w:ascii="Garamond" w:hAnsi="Garamond"/>
                <w:lang w:val="en-AU"/>
              </w:rPr>
              <w:t>(</w:t>
            </w:r>
            <w:r w:rsidRPr="00353140">
              <w:rPr>
                <w:rFonts w:ascii="Garamond" w:hAnsi="Garamond"/>
                <w:lang w:val="en-AU"/>
              </w:rPr>
              <w:t>Hitoshi Tabuchi, Naofumi Ishitobi, Hodaka Deguchi, Yuta Nakaniida, Hayato Tanaka, Masahiro Akada, Mao Tanabe</w:t>
            </w:r>
            <w:r>
              <w:rPr>
                <w:rFonts w:ascii="Garamond" w:hAnsi="Garamond"/>
                <w:lang w:val="en-AU"/>
              </w:rPr>
              <w:t>)</w:t>
            </w:r>
          </w:p>
        </w:tc>
      </w:tr>
    </w:tbl>
    <w:p w14:paraId="215605E9" w14:textId="77777777" w:rsidR="008528C8" w:rsidRDefault="008528C8" w:rsidP="00C62C05">
      <w:pPr>
        <w:keepLines/>
        <w:autoSpaceDE w:val="0"/>
        <w:autoSpaceDN w:val="0"/>
        <w:adjustRightInd w:val="0"/>
        <w:rPr>
          <w:rFonts w:ascii="Garamond" w:hAnsi="Garamond"/>
          <w:lang w:val="en-AU"/>
        </w:rPr>
      </w:pPr>
    </w:p>
    <w:p w14:paraId="103FFF26" w14:textId="77777777" w:rsidR="00600698" w:rsidRPr="00A72B35" w:rsidRDefault="00600698" w:rsidP="00C62C05">
      <w:pPr>
        <w:keepLines/>
        <w:autoSpaceDE w:val="0"/>
        <w:autoSpaceDN w:val="0"/>
        <w:adjustRightInd w:val="0"/>
        <w:rPr>
          <w:rFonts w:ascii="Garamond" w:hAnsi="Garamond"/>
          <w:lang w:val="en-AU"/>
        </w:rPr>
      </w:pPr>
    </w:p>
    <w:p w14:paraId="77461BD6" w14:textId="77777777" w:rsidR="008528C8" w:rsidRPr="00A72B35" w:rsidRDefault="008528C8" w:rsidP="00C62C05">
      <w:pPr>
        <w:keepLines/>
        <w:autoSpaceDE w:val="0"/>
        <w:autoSpaceDN w:val="0"/>
        <w:adjustRightInd w:val="0"/>
        <w:rPr>
          <w:rFonts w:ascii="Garamond" w:hAnsi="Garamond"/>
          <w:lang w:val="en-AU"/>
        </w:rPr>
      </w:pPr>
    </w:p>
    <w:p w14:paraId="536302D7" w14:textId="51D506DE" w:rsidR="005C6930" w:rsidRPr="00A72B35" w:rsidRDefault="005C6930" w:rsidP="005C6930">
      <w:pPr>
        <w:keepNext/>
        <w:keepLines/>
        <w:rPr>
          <w:rFonts w:ascii="Garamond" w:hAnsi="Garamond"/>
          <w:b/>
          <w:lang w:val="en-AU"/>
        </w:rPr>
      </w:pPr>
      <w:r w:rsidRPr="00A72B35">
        <w:rPr>
          <w:rFonts w:ascii="Garamond" w:hAnsi="Garamond"/>
          <w:b/>
          <w:lang w:val="en-AU"/>
        </w:rPr>
        <w:t>Online resources</w:t>
      </w:r>
    </w:p>
    <w:p w14:paraId="6A6500D8" w14:textId="588E9649" w:rsidR="006C3151" w:rsidRPr="00A72B35" w:rsidRDefault="006C3151"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33" w:history="1">
        <w:r w:rsidRPr="00A72B35">
          <w:rPr>
            <w:rStyle w:val="Hyperlink"/>
            <w:rFonts w:ascii="Garamond" w:hAnsi="Garamond"/>
            <w:lang w:val="en-AU"/>
          </w:rPr>
          <w:t>https://livingevidence.org.au/</w:t>
        </w:r>
      </w:hyperlink>
    </w:p>
    <w:p w14:paraId="3B278913" w14:textId="77777777" w:rsidR="00C1168D" w:rsidRDefault="00C1168D">
      <w:pPr>
        <w:rPr>
          <w:rFonts w:ascii="Garamond" w:hAnsi="Garamond"/>
          <w:b/>
          <w:lang w:val="en-AU"/>
        </w:rPr>
      </w:pPr>
    </w:p>
    <w:p w14:paraId="726FFB27" w14:textId="6381BF0D" w:rsidR="00EE6DED" w:rsidRPr="00EE6DED" w:rsidRDefault="00EE6DED" w:rsidP="00EE6DED">
      <w:pPr>
        <w:rPr>
          <w:rFonts w:ascii="Garamond" w:hAnsi="Garamond"/>
          <w:b/>
          <w:i/>
          <w:iCs/>
          <w:lang w:val="en-AU"/>
        </w:rPr>
      </w:pPr>
      <w:r w:rsidRPr="00EE6DED">
        <w:rPr>
          <w:rFonts w:ascii="Garamond" w:hAnsi="Garamond"/>
          <w:b/>
          <w:i/>
          <w:iCs/>
          <w:lang w:val="en-AU"/>
        </w:rPr>
        <w:t>Hot weather resources: prepare, stay cool, recover</w:t>
      </w:r>
    </w:p>
    <w:p w14:paraId="22ED0A52" w14:textId="71E0A419" w:rsidR="00EE6DED" w:rsidRDefault="00EE6DED" w:rsidP="00EE6DED">
      <w:pPr>
        <w:rPr>
          <w:rFonts w:ascii="Garamond" w:hAnsi="Garamond"/>
          <w:bCs/>
          <w:lang w:val="en-AU"/>
        </w:rPr>
      </w:pPr>
      <w:hyperlink r:id="rId34" w:history="1">
        <w:r w:rsidRPr="00DF70B3">
          <w:rPr>
            <w:rStyle w:val="Hyperlink"/>
            <w:rFonts w:ascii="Garamond" w:hAnsi="Garamond"/>
            <w:bCs/>
            <w:lang w:val="en-AU"/>
          </w:rPr>
          <w:t>https://www.ahcwa.org.au/2024/11/21/climate-health-resources/</w:t>
        </w:r>
      </w:hyperlink>
    </w:p>
    <w:p w14:paraId="11331061" w14:textId="447DA343" w:rsidR="00EE6DED" w:rsidRDefault="00EE6DED" w:rsidP="00EE6DED">
      <w:pPr>
        <w:rPr>
          <w:rFonts w:ascii="Garamond" w:hAnsi="Garamond"/>
          <w:bCs/>
          <w:lang w:val="en-AU"/>
        </w:rPr>
      </w:pPr>
      <w:r>
        <w:rPr>
          <w:rFonts w:ascii="Garamond" w:hAnsi="Garamond"/>
          <w:bCs/>
          <w:lang w:val="en-AU"/>
        </w:rPr>
        <w:t xml:space="preserve">The </w:t>
      </w:r>
      <w:r w:rsidRPr="00EE6DED">
        <w:rPr>
          <w:rFonts w:ascii="Garamond" w:hAnsi="Garamond"/>
          <w:bCs/>
          <w:lang w:val="en-AU"/>
        </w:rPr>
        <w:t xml:space="preserve">Aboriginal Health Council of Western Australia </w:t>
      </w:r>
      <w:r>
        <w:rPr>
          <w:rFonts w:ascii="Garamond" w:hAnsi="Garamond"/>
          <w:bCs/>
          <w:lang w:val="en-AU"/>
        </w:rPr>
        <w:t xml:space="preserve">has developed a resource package </w:t>
      </w:r>
      <w:r w:rsidRPr="00EE6DED">
        <w:rPr>
          <w:rFonts w:ascii="Garamond" w:hAnsi="Garamond"/>
          <w:bCs/>
          <w:lang w:val="en-AU"/>
        </w:rPr>
        <w:t>to provide information on how to stay safe during heatwaves or unexpected weather changes</w:t>
      </w:r>
      <w:r>
        <w:rPr>
          <w:rFonts w:ascii="Garamond" w:hAnsi="Garamond"/>
          <w:bCs/>
          <w:lang w:val="en-AU"/>
        </w:rPr>
        <w:t>.</w:t>
      </w:r>
    </w:p>
    <w:p w14:paraId="0D788DAF" w14:textId="77777777" w:rsidR="00EE6DED" w:rsidRPr="00EE6DED" w:rsidRDefault="00EE6DED" w:rsidP="00EE6DED">
      <w:pPr>
        <w:rPr>
          <w:rFonts w:ascii="Garamond" w:hAnsi="Garamond"/>
          <w:bCs/>
          <w:lang w:val="en-AU"/>
        </w:rPr>
      </w:pPr>
    </w:p>
    <w:p w14:paraId="70847E9C" w14:textId="50A3D354" w:rsidR="00864F13" w:rsidRDefault="00864F13" w:rsidP="00864F13">
      <w:pPr>
        <w:keepNext/>
        <w:rPr>
          <w:rFonts w:ascii="Garamond" w:hAnsi="Garamond"/>
          <w:b/>
          <w:i/>
          <w:iCs/>
          <w:lang w:val="en-AU"/>
        </w:rPr>
      </w:pPr>
      <w:r w:rsidRPr="00864F13">
        <w:rPr>
          <w:rFonts w:ascii="Garamond" w:hAnsi="Garamond"/>
          <w:b/>
          <w:i/>
          <w:iCs/>
          <w:lang w:val="en-AU"/>
        </w:rPr>
        <w:t>Quality Use of Medicines Alliance</w:t>
      </w:r>
    </w:p>
    <w:p w14:paraId="695D1B5E" w14:textId="1E6647E1" w:rsidR="00864F13" w:rsidRDefault="00864F13" w:rsidP="002A33AF">
      <w:pPr>
        <w:rPr>
          <w:rFonts w:ascii="Garamond" w:hAnsi="Garamond"/>
          <w:bCs/>
          <w:lang w:val="en-AU"/>
        </w:rPr>
      </w:pPr>
      <w:hyperlink r:id="rId35" w:history="1">
        <w:r w:rsidRPr="00E372E4">
          <w:rPr>
            <w:rStyle w:val="Hyperlink"/>
            <w:rFonts w:ascii="Garamond" w:hAnsi="Garamond"/>
            <w:bCs/>
            <w:lang w:val="en-AU"/>
          </w:rPr>
          <w:t>https://medcast.com.au/qhub</w:t>
        </w:r>
      </w:hyperlink>
    </w:p>
    <w:p w14:paraId="70DF99AB" w14:textId="31FBE941" w:rsidR="00864F13" w:rsidRDefault="00864F13" w:rsidP="002A33AF">
      <w:pPr>
        <w:rPr>
          <w:rFonts w:ascii="Garamond" w:hAnsi="Garamond"/>
          <w:bCs/>
          <w:lang w:val="en-AU"/>
        </w:rPr>
      </w:pPr>
      <w:hyperlink r:id="rId36" w:history="1">
        <w:r w:rsidRPr="00E372E4">
          <w:rPr>
            <w:rStyle w:val="Hyperlink"/>
            <w:rFonts w:ascii="Garamond" w:hAnsi="Garamond"/>
            <w:bCs/>
            <w:lang w:val="en-AU"/>
          </w:rPr>
          <w:t>https://qum.hcca.org.au/</w:t>
        </w:r>
      </w:hyperlink>
    </w:p>
    <w:p w14:paraId="25A9A649" w14:textId="7880CC87" w:rsidR="00864F13" w:rsidRPr="00864F13" w:rsidRDefault="00864F13" w:rsidP="00864F13">
      <w:pPr>
        <w:rPr>
          <w:rFonts w:ascii="Garamond" w:hAnsi="Garamond"/>
          <w:bCs/>
          <w:lang w:val="en-AU"/>
        </w:rPr>
      </w:pPr>
      <w:r w:rsidRPr="00864F13">
        <w:rPr>
          <w:rFonts w:ascii="Garamond" w:hAnsi="Garamond"/>
          <w:bCs/>
          <w:lang w:val="en-AU"/>
        </w:rPr>
        <w:t>The Quality Use of Medicines Alliance is funded through the Quality Use of Diagnostics, Therapeutics and Pathology (QUDTP) Program</w:t>
      </w:r>
      <w:r>
        <w:rPr>
          <w:rFonts w:ascii="Garamond" w:hAnsi="Garamond"/>
          <w:bCs/>
          <w:lang w:val="en-AU"/>
        </w:rPr>
        <w:t xml:space="preserve"> of the Australian Department of Health and Aged Care. An </w:t>
      </w:r>
      <w:r w:rsidRPr="00864F13">
        <w:rPr>
          <w:rFonts w:ascii="Garamond" w:hAnsi="Garamond"/>
          <w:bCs/>
          <w:lang w:val="en-AU"/>
        </w:rPr>
        <w:t xml:space="preserve">alliance of 8 organisations </w:t>
      </w:r>
      <w:r>
        <w:rPr>
          <w:rFonts w:ascii="Garamond" w:hAnsi="Garamond"/>
          <w:bCs/>
          <w:lang w:val="en-AU"/>
        </w:rPr>
        <w:t xml:space="preserve">it </w:t>
      </w:r>
      <w:r w:rsidRPr="00864F13">
        <w:rPr>
          <w:rFonts w:ascii="Garamond" w:hAnsi="Garamond"/>
          <w:bCs/>
          <w:lang w:val="en-AU"/>
        </w:rPr>
        <w:t xml:space="preserve">is focused on improving the quality use of medicines (QUM) in primary care. The </w:t>
      </w:r>
      <w:r>
        <w:rPr>
          <w:rFonts w:ascii="Garamond" w:hAnsi="Garamond"/>
          <w:bCs/>
          <w:lang w:val="en-AU"/>
        </w:rPr>
        <w:t xml:space="preserve">Alliance has work </w:t>
      </w:r>
      <w:r w:rsidRPr="00864F13">
        <w:rPr>
          <w:rFonts w:ascii="Garamond" w:hAnsi="Garamond"/>
          <w:bCs/>
          <w:lang w:val="en-AU"/>
        </w:rPr>
        <w:t xml:space="preserve">underway in 4 priority areas: </w:t>
      </w:r>
    </w:p>
    <w:p w14:paraId="785CF2E4" w14:textId="3B02F513" w:rsidR="00864F13" w:rsidRPr="00864F13" w:rsidRDefault="00864F13" w:rsidP="00864F13">
      <w:pPr>
        <w:pStyle w:val="ListParagraph"/>
        <w:numPr>
          <w:ilvl w:val="0"/>
          <w:numId w:val="16"/>
        </w:numPr>
        <w:rPr>
          <w:rFonts w:ascii="Garamond" w:hAnsi="Garamond"/>
          <w:bCs/>
          <w:lang w:val="en-AU"/>
        </w:rPr>
      </w:pPr>
      <w:r w:rsidRPr="00864F13">
        <w:rPr>
          <w:rFonts w:ascii="Garamond" w:hAnsi="Garamond"/>
          <w:bCs/>
          <w:lang w:val="en-AU"/>
        </w:rPr>
        <w:t xml:space="preserve">Atopic dermatitis (eczema) </w:t>
      </w:r>
    </w:p>
    <w:p w14:paraId="20DF13C2" w14:textId="11A7C6C7" w:rsidR="00864F13" w:rsidRPr="00864F13" w:rsidRDefault="00864F13" w:rsidP="00864F13">
      <w:pPr>
        <w:pStyle w:val="ListParagraph"/>
        <w:numPr>
          <w:ilvl w:val="0"/>
          <w:numId w:val="16"/>
        </w:numPr>
        <w:rPr>
          <w:rFonts w:ascii="Garamond" w:hAnsi="Garamond"/>
          <w:bCs/>
          <w:lang w:val="en-AU"/>
        </w:rPr>
      </w:pPr>
      <w:r w:rsidRPr="00864F13">
        <w:rPr>
          <w:rFonts w:ascii="Garamond" w:hAnsi="Garamond"/>
          <w:bCs/>
          <w:lang w:val="en-AU"/>
        </w:rPr>
        <w:t xml:space="preserve">Gout </w:t>
      </w:r>
    </w:p>
    <w:p w14:paraId="2905C7EE" w14:textId="4022FD22" w:rsidR="00864F13" w:rsidRPr="00864F13" w:rsidRDefault="00864F13" w:rsidP="00864F13">
      <w:pPr>
        <w:pStyle w:val="ListParagraph"/>
        <w:numPr>
          <w:ilvl w:val="0"/>
          <w:numId w:val="16"/>
        </w:numPr>
        <w:rPr>
          <w:rFonts w:ascii="Garamond" w:hAnsi="Garamond"/>
          <w:bCs/>
          <w:lang w:val="en-AU"/>
        </w:rPr>
      </w:pPr>
      <w:r w:rsidRPr="00864F13">
        <w:rPr>
          <w:rFonts w:ascii="Garamond" w:hAnsi="Garamond"/>
          <w:bCs/>
          <w:lang w:val="en-AU"/>
        </w:rPr>
        <w:t xml:space="preserve">Antidepressants in older adults </w:t>
      </w:r>
    </w:p>
    <w:p w14:paraId="5DD3AFC1" w14:textId="0ADB5A1A" w:rsidR="00864F13" w:rsidRPr="00864F13" w:rsidRDefault="00864F13" w:rsidP="00864F13">
      <w:pPr>
        <w:pStyle w:val="ListParagraph"/>
        <w:numPr>
          <w:ilvl w:val="0"/>
          <w:numId w:val="16"/>
        </w:numPr>
        <w:rPr>
          <w:rFonts w:ascii="Garamond" w:hAnsi="Garamond"/>
          <w:bCs/>
          <w:lang w:val="en-AU"/>
        </w:rPr>
      </w:pPr>
      <w:r w:rsidRPr="00864F13">
        <w:rPr>
          <w:rFonts w:ascii="Garamond" w:hAnsi="Garamond"/>
          <w:bCs/>
          <w:lang w:val="en-AU"/>
        </w:rPr>
        <w:t xml:space="preserve">Oral anticoagulants. </w:t>
      </w:r>
    </w:p>
    <w:p w14:paraId="4144C983" w14:textId="389C119F" w:rsidR="00864F13" w:rsidRDefault="00864F13" w:rsidP="00864F13">
      <w:pPr>
        <w:rPr>
          <w:rFonts w:ascii="Garamond" w:hAnsi="Garamond"/>
          <w:bCs/>
          <w:lang w:val="en-AU"/>
        </w:rPr>
      </w:pPr>
      <w:r w:rsidRPr="00864F13">
        <w:rPr>
          <w:rFonts w:ascii="Garamond" w:hAnsi="Garamond"/>
          <w:bCs/>
          <w:lang w:val="en-AU"/>
        </w:rPr>
        <w:t xml:space="preserve">Each program has a range of foundational resources such as management algorithms, care plans, decision support tools and factsheets, supported by educational activities including educational visits/academic detailing, peer group learning, webinars, podcasts, blogs and toolkits for </w:t>
      </w:r>
      <w:hyperlink r:id="rId37" w:history="1">
        <w:r w:rsidRPr="00864F13">
          <w:rPr>
            <w:rStyle w:val="Hyperlink"/>
            <w:rFonts w:ascii="Garamond" w:hAnsi="Garamond"/>
            <w:bCs/>
            <w:lang w:val="en-AU"/>
          </w:rPr>
          <w:t>health professionals</w:t>
        </w:r>
      </w:hyperlink>
      <w:r w:rsidRPr="00864F13">
        <w:rPr>
          <w:rFonts w:ascii="Garamond" w:hAnsi="Garamond"/>
          <w:bCs/>
          <w:lang w:val="en-AU"/>
        </w:rPr>
        <w:t xml:space="preserve"> and </w:t>
      </w:r>
      <w:r w:rsidR="00987AC9">
        <w:rPr>
          <w:rFonts w:ascii="Garamond" w:hAnsi="Garamond"/>
          <w:bCs/>
          <w:lang w:val="en-AU"/>
        </w:rPr>
        <w:t xml:space="preserve">resources for </w:t>
      </w:r>
      <w:hyperlink r:id="rId38" w:history="1">
        <w:r w:rsidRPr="00864F13">
          <w:rPr>
            <w:rStyle w:val="Hyperlink"/>
            <w:rFonts w:ascii="Garamond" w:hAnsi="Garamond"/>
            <w:bCs/>
            <w:lang w:val="en-AU"/>
          </w:rPr>
          <w:t>consumers</w:t>
        </w:r>
      </w:hyperlink>
      <w:r w:rsidRPr="00864F13">
        <w:rPr>
          <w:rFonts w:ascii="Garamond" w:hAnsi="Garamond"/>
          <w:bCs/>
          <w:lang w:val="en-AU"/>
        </w:rPr>
        <w:t>.</w:t>
      </w:r>
    </w:p>
    <w:p w14:paraId="3C949F3A" w14:textId="77777777" w:rsidR="00864F13" w:rsidRPr="00864F13" w:rsidRDefault="00864F13" w:rsidP="002A33AF">
      <w:pPr>
        <w:rPr>
          <w:rFonts w:ascii="Garamond" w:hAnsi="Garamond"/>
          <w:bCs/>
          <w:lang w:val="en-AU"/>
        </w:rPr>
      </w:pPr>
    </w:p>
    <w:p w14:paraId="4176C29F" w14:textId="5AC27161" w:rsidR="002A33AF" w:rsidRPr="003A06BD" w:rsidRDefault="002A33AF" w:rsidP="004C3C9C">
      <w:pPr>
        <w:keepNext/>
        <w:rPr>
          <w:rFonts w:ascii="Garamond" w:hAnsi="Garamond"/>
          <w:b/>
          <w:i/>
          <w:iCs/>
          <w:lang w:val="en-AU"/>
        </w:rPr>
      </w:pPr>
      <w:r w:rsidRPr="003A06BD">
        <w:rPr>
          <w:rFonts w:ascii="Garamond" w:hAnsi="Garamond"/>
          <w:b/>
          <w:i/>
          <w:iCs/>
          <w:lang w:val="en-AU"/>
        </w:rPr>
        <w:lastRenderedPageBreak/>
        <w:t>Health Innovation Series - e-Medication Safety</w:t>
      </w:r>
    </w:p>
    <w:p w14:paraId="04151DDD" w14:textId="77777777" w:rsidR="002A33AF" w:rsidRPr="003A06BD" w:rsidRDefault="002A33AF" w:rsidP="002A33AF">
      <w:pPr>
        <w:rPr>
          <w:rFonts w:ascii="Garamond" w:hAnsi="Garamond"/>
          <w:bCs/>
          <w:lang w:val="en-AU"/>
        </w:rPr>
      </w:pPr>
      <w:hyperlink r:id="rId39" w:history="1">
        <w:r w:rsidRPr="003A06BD">
          <w:rPr>
            <w:rStyle w:val="Hyperlink"/>
            <w:rFonts w:ascii="Garamond" w:hAnsi="Garamond"/>
            <w:bCs/>
            <w:lang w:val="en-AU"/>
          </w:rPr>
          <w:t>https://www.mq.edu.au/research/research-centres-groups-and-facilities/healthy-people/centres/australian-institute-of-health-innovation/our-projects/Health-Innovation-Series/health-innovation-series-e-medication-safety</w:t>
        </w:r>
      </w:hyperlink>
    </w:p>
    <w:p w14:paraId="3927616E" w14:textId="3A3B3409" w:rsidR="002A33AF" w:rsidRDefault="002A33AF" w:rsidP="002A33AF">
      <w:pPr>
        <w:rPr>
          <w:rFonts w:ascii="Garamond" w:hAnsi="Garamond"/>
          <w:bCs/>
          <w:lang w:val="en-AU"/>
        </w:rPr>
      </w:pPr>
      <w:r>
        <w:rPr>
          <w:rFonts w:ascii="Garamond" w:hAnsi="Garamond"/>
          <w:bCs/>
          <w:lang w:val="en-AU"/>
        </w:rPr>
        <w:t xml:space="preserve">The Health Innovation Series from the </w:t>
      </w:r>
      <w:r w:rsidRPr="003A06BD">
        <w:rPr>
          <w:rFonts w:ascii="Garamond" w:hAnsi="Garamond"/>
          <w:bCs/>
          <w:lang w:val="en-AU"/>
        </w:rPr>
        <w:t xml:space="preserve">Australian Institute of Health Innovation </w:t>
      </w:r>
      <w:r>
        <w:rPr>
          <w:rFonts w:ascii="Garamond" w:hAnsi="Garamond"/>
          <w:bCs/>
          <w:lang w:val="en-AU"/>
        </w:rPr>
        <w:t xml:space="preserve">at Macquarie University has had </w:t>
      </w:r>
      <w:proofErr w:type="gramStart"/>
      <w:r>
        <w:rPr>
          <w:rFonts w:ascii="Garamond" w:hAnsi="Garamond"/>
          <w:bCs/>
          <w:lang w:val="en-AU"/>
        </w:rPr>
        <w:t>a number of</w:t>
      </w:r>
      <w:proofErr w:type="gramEnd"/>
      <w:r>
        <w:rPr>
          <w:rFonts w:ascii="Garamond" w:hAnsi="Garamond"/>
          <w:bCs/>
          <w:lang w:val="en-AU"/>
        </w:rPr>
        <w:t xml:space="preserve"> recent issues added, including:</w:t>
      </w:r>
    </w:p>
    <w:p w14:paraId="5EA48282" w14:textId="77777777" w:rsidR="002A33AF" w:rsidRPr="002A33AF" w:rsidRDefault="002A33AF" w:rsidP="002A33AF">
      <w:pPr>
        <w:pStyle w:val="ListParagraph"/>
        <w:numPr>
          <w:ilvl w:val="0"/>
          <w:numId w:val="31"/>
        </w:numPr>
        <w:rPr>
          <w:rFonts w:ascii="Garamond" w:hAnsi="Garamond"/>
          <w:bCs/>
          <w:lang w:val="en-AU"/>
        </w:rPr>
      </w:pPr>
      <w:r w:rsidRPr="002A33AF">
        <w:rPr>
          <w:rFonts w:ascii="Garamond" w:hAnsi="Garamond"/>
          <w:bCs/>
          <w:lang w:val="en-AU"/>
        </w:rPr>
        <w:t>Are you on autopilot? Fatal errors involving automated dispensing cabinets</w:t>
      </w:r>
    </w:p>
    <w:p w14:paraId="2672C8E5" w14:textId="77777777" w:rsidR="002A33AF" w:rsidRPr="002A33AF" w:rsidRDefault="002A33AF" w:rsidP="002A33AF">
      <w:pPr>
        <w:pStyle w:val="ListParagraph"/>
        <w:numPr>
          <w:ilvl w:val="0"/>
          <w:numId w:val="31"/>
        </w:numPr>
        <w:rPr>
          <w:rFonts w:ascii="Garamond" w:hAnsi="Garamond"/>
          <w:bCs/>
          <w:lang w:val="en-AU"/>
        </w:rPr>
      </w:pPr>
      <w:r w:rsidRPr="002A33AF">
        <w:rPr>
          <w:rFonts w:ascii="Garamond" w:hAnsi="Garamond"/>
          <w:bCs/>
          <w:lang w:val="en-AU"/>
        </w:rPr>
        <w:t>Patching the system: transdermal patch removal reminders</w:t>
      </w:r>
    </w:p>
    <w:p w14:paraId="3400AE61" w14:textId="77777777" w:rsidR="002A33AF" w:rsidRPr="002A33AF" w:rsidRDefault="002A33AF" w:rsidP="002A33AF">
      <w:pPr>
        <w:pStyle w:val="ListParagraph"/>
        <w:numPr>
          <w:ilvl w:val="0"/>
          <w:numId w:val="31"/>
        </w:numPr>
        <w:rPr>
          <w:rFonts w:ascii="Garamond" w:hAnsi="Garamond"/>
          <w:bCs/>
          <w:lang w:val="en-AU"/>
        </w:rPr>
      </w:pPr>
      <w:r w:rsidRPr="002A33AF">
        <w:rPr>
          <w:rFonts w:ascii="Garamond" w:hAnsi="Garamond"/>
          <w:bCs/>
          <w:lang w:val="en-AU"/>
        </w:rPr>
        <w:t>The devil is in the detail – safe paracetamol dosing for under- and overweight children and adults</w:t>
      </w:r>
    </w:p>
    <w:p w14:paraId="59BE65B2" w14:textId="77777777" w:rsidR="002A33AF" w:rsidRPr="002A33AF" w:rsidRDefault="002A33AF" w:rsidP="002A33AF">
      <w:pPr>
        <w:pStyle w:val="ListParagraph"/>
        <w:numPr>
          <w:ilvl w:val="0"/>
          <w:numId w:val="31"/>
        </w:numPr>
        <w:rPr>
          <w:rFonts w:ascii="Garamond" w:hAnsi="Garamond"/>
          <w:bCs/>
          <w:lang w:val="en-AU"/>
        </w:rPr>
      </w:pPr>
      <w:r w:rsidRPr="002A33AF">
        <w:rPr>
          <w:rFonts w:ascii="Garamond" w:hAnsi="Garamond"/>
          <w:bCs/>
          <w:lang w:val="en-AU"/>
        </w:rPr>
        <w:t>So many options in the Dose Calculator, which dose is right?</w:t>
      </w:r>
    </w:p>
    <w:p w14:paraId="7C0245CF" w14:textId="77777777" w:rsidR="002A33AF" w:rsidRPr="002A33AF" w:rsidRDefault="002A33AF" w:rsidP="002A33AF">
      <w:pPr>
        <w:pStyle w:val="ListParagraph"/>
        <w:numPr>
          <w:ilvl w:val="0"/>
          <w:numId w:val="31"/>
        </w:numPr>
        <w:rPr>
          <w:rFonts w:ascii="Garamond" w:hAnsi="Garamond"/>
          <w:bCs/>
          <w:lang w:val="en-AU"/>
        </w:rPr>
      </w:pPr>
      <w:r w:rsidRPr="002A33AF">
        <w:rPr>
          <w:rFonts w:ascii="Garamond" w:hAnsi="Garamond"/>
          <w:bCs/>
          <w:lang w:val="en-AU"/>
        </w:rPr>
        <w:t>The curious case of the 100-fold overdose</w:t>
      </w:r>
    </w:p>
    <w:p w14:paraId="4A5A0A4B" w14:textId="4FF9C532" w:rsidR="002A33AF" w:rsidRDefault="002A33AF" w:rsidP="002A33AF">
      <w:pPr>
        <w:pStyle w:val="ListParagraph"/>
        <w:numPr>
          <w:ilvl w:val="0"/>
          <w:numId w:val="31"/>
        </w:numPr>
        <w:rPr>
          <w:rFonts w:ascii="Garamond" w:hAnsi="Garamond"/>
          <w:bCs/>
          <w:lang w:val="en-AU"/>
        </w:rPr>
      </w:pPr>
      <w:r w:rsidRPr="002A33AF">
        <w:rPr>
          <w:rFonts w:ascii="Garamond" w:hAnsi="Garamond"/>
          <w:bCs/>
          <w:lang w:val="en-AU"/>
        </w:rPr>
        <w:t>The dangers of copying a previous order. Don’t be a copycat</w:t>
      </w:r>
      <w:r w:rsidR="000E1B6E">
        <w:rPr>
          <w:rFonts w:ascii="Garamond" w:hAnsi="Garamond"/>
          <w:bCs/>
          <w:lang w:val="en-AU"/>
        </w:rPr>
        <w:t>.</w:t>
      </w:r>
    </w:p>
    <w:p w14:paraId="3EA7ABCE" w14:textId="77777777" w:rsidR="002A33AF" w:rsidRDefault="002A33AF" w:rsidP="00F9255C">
      <w:pPr>
        <w:keepNext/>
        <w:rPr>
          <w:rFonts w:ascii="Garamond" w:hAnsi="Garamond"/>
          <w:iCs/>
          <w:lang w:val="en-AU"/>
        </w:rPr>
      </w:pPr>
    </w:p>
    <w:p w14:paraId="322691BA" w14:textId="2C795BA2" w:rsidR="009D56F1" w:rsidRPr="009D56F1" w:rsidRDefault="009D56F1" w:rsidP="00F9255C">
      <w:pPr>
        <w:keepNext/>
        <w:rPr>
          <w:rFonts w:ascii="Garamond" w:hAnsi="Garamond"/>
          <w:b/>
          <w:bCs/>
          <w:i/>
          <w:lang w:val="en-AU"/>
        </w:rPr>
      </w:pPr>
      <w:r>
        <w:rPr>
          <w:rFonts w:ascii="Garamond" w:hAnsi="Garamond"/>
          <w:b/>
          <w:bCs/>
          <w:i/>
          <w:lang w:val="en-AU"/>
        </w:rPr>
        <w:t xml:space="preserve">[Canada] </w:t>
      </w:r>
      <w:r w:rsidRPr="009D56F1">
        <w:rPr>
          <w:rFonts w:ascii="Garamond" w:hAnsi="Garamond"/>
          <w:b/>
          <w:bCs/>
          <w:i/>
          <w:lang w:val="en-AU"/>
        </w:rPr>
        <w:t>Health Workforce Innovation Challenge</w:t>
      </w:r>
    </w:p>
    <w:p w14:paraId="202F9FC2" w14:textId="26BC886C" w:rsidR="009D56F1" w:rsidRDefault="009D56F1" w:rsidP="00F9255C">
      <w:pPr>
        <w:keepNext/>
        <w:rPr>
          <w:rFonts w:ascii="Garamond" w:hAnsi="Garamond"/>
          <w:iCs/>
          <w:lang w:val="en-AU"/>
        </w:rPr>
      </w:pPr>
      <w:hyperlink r:id="rId40" w:history="1">
        <w:r w:rsidRPr="005B3CF7">
          <w:rPr>
            <w:rStyle w:val="Hyperlink"/>
            <w:rFonts w:ascii="Garamond" w:hAnsi="Garamond"/>
            <w:iCs/>
            <w:lang w:val="en-AU"/>
          </w:rPr>
          <w:t>https://www.healthcareexcellence.ca/en/what-we-do/all-programs/health-workforce-innovation-challenge/</w:t>
        </w:r>
      </w:hyperlink>
    </w:p>
    <w:p w14:paraId="6F1F55D9" w14:textId="45DDA335" w:rsidR="00EE445C" w:rsidRDefault="00EE445C" w:rsidP="00F9255C">
      <w:pPr>
        <w:keepNext/>
        <w:rPr>
          <w:rFonts w:ascii="Garamond" w:hAnsi="Garamond"/>
          <w:lang w:val="en-AU"/>
        </w:rPr>
      </w:pPr>
      <w:r w:rsidRPr="00EE445C">
        <w:rPr>
          <w:rFonts w:ascii="Garamond" w:hAnsi="Garamond"/>
          <w:lang w:val="en-AU"/>
        </w:rPr>
        <w:t>Healthcare Excellence Canada</w:t>
      </w:r>
      <w:r>
        <w:rPr>
          <w:rFonts w:ascii="Garamond" w:hAnsi="Garamond"/>
          <w:lang w:val="en-AU"/>
        </w:rPr>
        <w:t xml:space="preserve"> conducted their</w:t>
      </w:r>
      <w:r w:rsidRPr="00EE445C">
        <w:rPr>
          <w:rFonts w:ascii="Garamond" w:hAnsi="Garamond"/>
          <w:lang w:val="en-AU"/>
        </w:rPr>
        <w:t xml:space="preserve"> Health Workforce Innovation Challenge</w:t>
      </w:r>
      <w:r>
        <w:rPr>
          <w:rFonts w:ascii="Garamond" w:hAnsi="Garamond"/>
          <w:lang w:val="en-AU"/>
        </w:rPr>
        <w:t xml:space="preserve"> to healthcare organisations across Canada in 2023 to 2024. The webpage includes information on how h</w:t>
      </w:r>
      <w:r w:rsidRPr="00EE445C">
        <w:rPr>
          <w:rFonts w:ascii="Garamond" w:hAnsi="Garamond"/>
          <w:lang w:val="en-AU"/>
        </w:rPr>
        <w:t>ealthcare organizations are addressing workforce challenge</w:t>
      </w:r>
      <w:r>
        <w:rPr>
          <w:rFonts w:ascii="Garamond" w:hAnsi="Garamond"/>
          <w:lang w:val="en-AU"/>
        </w:rPr>
        <w:t>s including details on strategies and success stories.</w:t>
      </w:r>
    </w:p>
    <w:p w14:paraId="23AE66C7" w14:textId="77777777" w:rsidR="00EE445C" w:rsidRDefault="00EE445C" w:rsidP="00F9255C">
      <w:pPr>
        <w:keepNext/>
        <w:rPr>
          <w:rFonts w:ascii="Garamond" w:hAnsi="Garamond"/>
          <w:highlight w:val="yellow"/>
          <w:lang w:val="en-AU"/>
        </w:rPr>
      </w:pPr>
    </w:p>
    <w:p w14:paraId="7E5ADD34" w14:textId="0DE0062E" w:rsidR="00F9255C" w:rsidRPr="00A72B35" w:rsidRDefault="00F9255C" w:rsidP="00F9255C">
      <w:pPr>
        <w:keepNext/>
        <w:rPr>
          <w:rFonts w:ascii="Garamond" w:hAnsi="Garamond"/>
          <w:b/>
          <w:bCs/>
          <w:i/>
          <w:lang w:val="en-AU"/>
        </w:rPr>
      </w:pPr>
      <w:r w:rsidRPr="00A72B35">
        <w:rPr>
          <w:rFonts w:ascii="Garamond" w:hAnsi="Garamond"/>
          <w:b/>
          <w:bCs/>
          <w:i/>
          <w:lang w:val="en-AU"/>
        </w:rPr>
        <w:t>[UK] NICE Guidelines and Quality Standards</w:t>
      </w:r>
    </w:p>
    <w:p w14:paraId="7EE50D7F" w14:textId="77777777" w:rsidR="00F9255C" w:rsidRPr="00A72B35" w:rsidRDefault="00F9255C" w:rsidP="00F9255C">
      <w:pPr>
        <w:keepNext/>
        <w:rPr>
          <w:rFonts w:ascii="Garamond" w:hAnsi="Garamond"/>
          <w:lang w:val="en-AU"/>
        </w:rPr>
      </w:pPr>
      <w:hyperlink r:id="rId41" w:history="1">
        <w:r w:rsidRPr="00A72B35">
          <w:rPr>
            <w:rStyle w:val="Hyperlink"/>
            <w:rFonts w:ascii="Garamond" w:hAnsi="Garamond"/>
            <w:lang w:val="en-AU"/>
          </w:rPr>
          <w:t>https://www.nice.org.uk/guidance</w:t>
        </w:r>
      </w:hyperlink>
    </w:p>
    <w:p w14:paraId="3443B9D9" w14:textId="77777777" w:rsidR="00F9255C" w:rsidRPr="00A72B35" w:rsidRDefault="00F9255C" w:rsidP="00F9255C">
      <w:pPr>
        <w:keepNext/>
        <w:rPr>
          <w:rFonts w:ascii="Garamond" w:hAnsi="Garamond"/>
          <w:lang w:val="en-AU"/>
        </w:rPr>
      </w:pPr>
      <w:r w:rsidRPr="00A72B35">
        <w:rPr>
          <w:rFonts w:ascii="Garamond" w:hAnsi="Garamond"/>
          <w:lang w:val="en-AU"/>
        </w:rPr>
        <w:t>The UK’s National Institute for Health and Care Excellence (NICE) has published new (or updated) guidelines and quality standards The latest reviews or updates include:</w:t>
      </w:r>
    </w:p>
    <w:p w14:paraId="5CD03638" w14:textId="2CFCB91D" w:rsidR="00DB6DD3" w:rsidRPr="00A72B35" w:rsidRDefault="00DB6DD3" w:rsidP="00DB6DD3">
      <w:pPr>
        <w:pStyle w:val="ListParagraph"/>
        <w:numPr>
          <w:ilvl w:val="0"/>
          <w:numId w:val="14"/>
        </w:numPr>
        <w:rPr>
          <w:rFonts w:ascii="Garamond" w:hAnsi="Garamond"/>
          <w:iCs/>
          <w:lang w:val="en-AU"/>
        </w:rPr>
      </w:pPr>
      <w:r w:rsidRPr="00A72B35">
        <w:rPr>
          <w:rFonts w:ascii="Garamond" w:hAnsi="Garamond"/>
          <w:iCs/>
          <w:lang w:val="en-AU"/>
        </w:rPr>
        <w:t>Quality Standard QS</w:t>
      </w:r>
      <w:r>
        <w:rPr>
          <w:rFonts w:ascii="Garamond" w:hAnsi="Garamond"/>
          <w:iCs/>
          <w:lang w:val="en-AU"/>
        </w:rPr>
        <w:t>19</w:t>
      </w:r>
      <w:r w:rsidRPr="00A72B35">
        <w:rPr>
          <w:rFonts w:ascii="Garamond" w:hAnsi="Garamond"/>
          <w:iCs/>
          <w:lang w:val="en-AU"/>
        </w:rPr>
        <w:t xml:space="preserve"> </w:t>
      </w:r>
      <w:r w:rsidRPr="00DB6DD3">
        <w:rPr>
          <w:rFonts w:ascii="Garamond" w:hAnsi="Garamond"/>
          <w:b/>
          <w:bCs/>
          <w:i/>
          <w:lang w:val="en-AU"/>
        </w:rPr>
        <w:t>Meningitis</w:t>
      </w:r>
      <w:r w:rsidRPr="00DB6DD3">
        <w:rPr>
          <w:rFonts w:ascii="Garamond" w:hAnsi="Garamond"/>
          <w:i/>
          <w:lang w:val="en-AU"/>
        </w:rPr>
        <w:t xml:space="preserve"> (bacterial) and </w:t>
      </w:r>
      <w:r w:rsidRPr="00DB6DD3">
        <w:rPr>
          <w:rFonts w:ascii="Garamond" w:hAnsi="Garamond"/>
          <w:b/>
          <w:bCs/>
          <w:i/>
          <w:lang w:val="en-AU"/>
        </w:rPr>
        <w:t>meningococcal disease</w:t>
      </w:r>
      <w:r>
        <w:rPr>
          <w:rFonts w:ascii="Garamond" w:hAnsi="Garamond"/>
          <w:iCs/>
          <w:lang w:val="en-AU"/>
        </w:rPr>
        <w:t xml:space="preserve"> </w:t>
      </w:r>
      <w:hyperlink r:id="rId42" w:history="1">
        <w:r w:rsidRPr="00E372E4">
          <w:rPr>
            <w:rStyle w:val="Hyperlink"/>
            <w:rFonts w:ascii="Garamond" w:hAnsi="Garamond"/>
            <w:iCs/>
            <w:lang w:val="en-AU"/>
          </w:rPr>
          <w:t>https://www.nice.org.uk/guidance/qs19</w:t>
        </w:r>
      </w:hyperlink>
    </w:p>
    <w:p w14:paraId="40E28B46" w14:textId="77777777" w:rsidR="00F9255C" w:rsidRPr="00A72B35" w:rsidRDefault="00F9255C" w:rsidP="00F9255C">
      <w:pPr>
        <w:rPr>
          <w:rFonts w:ascii="Garamond" w:hAnsi="Garamond"/>
          <w:b/>
          <w:lang w:val="en-AU"/>
        </w:rPr>
      </w:pPr>
    </w:p>
    <w:p w14:paraId="4E05CD47" w14:textId="77777777" w:rsidR="00F9255C" w:rsidRPr="00A72B35" w:rsidRDefault="00F9255C" w:rsidP="00F9255C">
      <w:pPr>
        <w:keepNext/>
        <w:keepLines/>
        <w:rPr>
          <w:rFonts w:ascii="Garamond" w:hAnsi="Garamond"/>
          <w:b/>
          <w:bCs/>
          <w:i/>
          <w:lang w:val="en-AU"/>
        </w:rPr>
      </w:pPr>
      <w:r w:rsidRPr="00A72B35">
        <w:rPr>
          <w:rFonts w:ascii="Garamond" w:hAnsi="Garamond"/>
          <w:b/>
          <w:bCs/>
          <w:i/>
          <w:lang w:val="en-AU"/>
        </w:rPr>
        <w:t>[USA] Effective Health Care Program reports</w:t>
      </w:r>
    </w:p>
    <w:p w14:paraId="4FA0F642" w14:textId="77777777" w:rsidR="00F9255C" w:rsidRPr="00A72B35" w:rsidRDefault="00F9255C" w:rsidP="00F9255C">
      <w:pPr>
        <w:keepNext/>
        <w:keepLines/>
        <w:rPr>
          <w:rFonts w:ascii="Garamond" w:hAnsi="Garamond"/>
          <w:u w:val="single"/>
          <w:lang w:val="en-AU"/>
        </w:rPr>
      </w:pPr>
      <w:hyperlink r:id="rId43" w:history="1">
        <w:r w:rsidRPr="00A72B35">
          <w:rPr>
            <w:rStyle w:val="Hyperlink"/>
            <w:rFonts w:ascii="Garamond" w:hAnsi="Garamond"/>
            <w:lang w:val="en-AU"/>
          </w:rPr>
          <w:t>https://effectivehealthcare.ahrq.gov/</w:t>
        </w:r>
      </w:hyperlink>
    </w:p>
    <w:p w14:paraId="6D14172B" w14:textId="77777777" w:rsidR="00F9255C" w:rsidRPr="00A72B35" w:rsidRDefault="00F9255C" w:rsidP="00F9255C">
      <w:pPr>
        <w:keepNext/>
        <w:keepLines/>
        <w:rPr>
          <w:rFonts w:ascii="Garamond" w:hAnsi="Garamond"/>
          <w:lang w:val="en-AU"/>
        </w:rPr>
      </w:pPr>
      <w:r w:rsidRPr="00A72B35">
        <w:rPr>
          <w:rFonts w:ascii="Garamond" w:hAnsi="Garamond"/>
          <w:lang w:val="en-AU"/>
        </w:rPr>
        <w:t>The US Agency for Healthcare Research and Quality (AHRQ) has an Effective Health Care (EHC) Program The EHC has released the following final reports and updates:</w:t>
      </w:r>
    </w:p>
    <w:p w14:paraId="305F364C" w14:textId="08AA2903" w:rsidR="00353140" w:rsidRPr="00353140" w:rsidRDefault="00353140" w:rsidP="000247D2">
      <w:pPr>
        <w:pStyle w:val="ListParagraph"/>
        <w:keepNext/>
        <w:numPr>
          <w:ilvl w:val="0"/>
          <w:numId w:val="14"/>
        </w:numPr>
        <w:rPr>
          <w:rFonts w:ascii="Garamond" w:hAnsi="Garamond"/>
          <w:iCs/>
          <w:lang w:val="en-AU"/>
        </w:rPr>
      </w:pPr>
      <w:r w:rsidRPr="00353140">
        <w:rPr>
          <w:rFonts w:ascii="Garamond" w:hAnsi="Garamond"/>
          <w:iCs/>
          <w:lang w:val="en-AU"/>
        </w:rPr>
        <w:t xml:space="preserve">Research Protocol: Misuse of </w:t>
      </w:r>
      <w:r w:rsidRPr="004C3C9C">
        <w:rPr>
          <w:rFonts w:ascii="Garamond" w:hAnsi="Garamond"/>
          <w:b/>
          <w:bCs/>
          <w:iCs/>
          <w:lang w:val="en-AU"/>
        </w:rPr>
        <w:t>Prescription Stimulants</w:t>
      </w:r>
      <w:r w:rsidRPr="00353140">
        <w:rPr>
          <w:rFonts w:ascii="Garamond" w:hAnsi="Garamond"/>
          <w:iCs/>
          <w:lang w:val="en-AU"/>
        </w:rPr>
        <w:t xml:space="preserve"> in Adults</w:t>
      </w:r>
      <w:r>
        <w:rPr>
          <w:rFonts w:ascii="Garamond" w:hAnsi="Garamond"/>
          <w:iCs/>
          <w:lang w:val="en-AU"/>
        </w:rPr>
        <w:t xml:space="preserve"> </w:t>
      </w:r>
      <w:hyperlink r:id="rId44" w:history="1">
        <w:r w:rsidRPr="005B3CF7">
          <w:rPr>
            <w:rStyle w:val="Hyperlink"/>
            <w:rFonts w:ascii="Garamond" w:hAnsi="Garamond"/>
            <w:iCs/>
            <w:lang w:val="en-AU"/>
          </w:rPr>
          <w:t>https://effectivehealthcare.ahrq.gov/products/misuse-prescription</w:t>
        </w:r>
      </w:hyperlink>
    </w:p>
    <w:p w14:paraId="6F1E1A20" w14:textId="77777777" w:rsidR="00600698" w:rsidRDefault="00600698">
      <w:pPr>
        <w:rPr>
          <w:rFonts w:ascii="Garamond" w:hAnsi="Garamond"/>
          <w:b/>
          <w:lang w:val="en-AU"/>
        </w:rPr>
      </w:pPr>
      <w:r>
        <w:rPr>
          <w:rFonts w:ascii="Garamond" w:hAnsi="Garamond"/>
          <w:b/>
          <w:lang w:val="en-AU"/>
        </w:rPr>
        <w:br w:type="page"/>
      </w:r>
    </w:p>
    <w:p w14:paraId="12E7A6B9" w14:textId="022C0DE7" w:rsidR="00B419AC" w:rsidRPr="00A72B35" w:rsidRDefault="00B419AC" w:rsidP="00B419AC">
      <w:pPr>
        <w:keepNext/>
        <w:tabs>
          <w:tab w:val="left" w:pos="0"/>
        </w:tabs>
        <w:rPr>
          <w:rFonts w:ascii="Garamond" w:hAnsi="Garamond"/>
          <w:b/>
          <w:lang w:val="en-AU"/>
        </w:rPr>
      </w:pPr>
      <w:r w:rsidRPr="00A72B35">
        <w:rPr>
          <w:rFonts w:ascii="Garamond" w:hAnsi="Garamond"/>
          <w:b/>
          <w:lang w:val="en-AU"/>
        </w:rPr>
        <w:lastRenderedPageBreak/>
        <w:t>COVID-19 resources</w:t>
      </w:r>
    </w:p>
    <w:p w14:paraId="5BF3C552" w14:textId="77777777" w:rsidR="00D574D3" w:rsidRPr="00A72B35" w:rsidRDefault="00D574D3" w:rsidP="00D574D3">
      <w:pPr>
        <w:keepNext/>
        <w:tabs>
          <w:tab w:val="left" w:pos="0"/>
        </w:tabs>
        <w:rPr>
          <w:rStyle w:val="Hyperlink"/>
          <w:rFonts w:ascii="Garamond" w:hAnsi="Garamond"/>
          <w:lang w:val="en-AU"/>
        </w:rPr>
      </w:pPr>
      <w:r w:rsidRPr="00A72B35">
        <w:rPr>
          <w:rStyle w:val="Hyperlink"/>
          <w:rFonts w:ascii="Garamond" w:hAnsi="Garamond"/>
          <w:lang w:val="en-AU"/>
        </w:rPr>
        <w:t>https://www.safetyandquality.gov.au/covid-19</w:t>
      </w:r>
    </w:p>
    <w:p w14:paraId="31E5CAE2" w14:textId="6ECC6D15" w:rsidR="00D574D3" w:rsidRPr="00A72B35" w:rsidRDefault="00D574D3" w:rsidP="00D574D3">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and other material on COVID-19 are available at </w:t>
      </w:r>
      <w:hyperlink r:id="rId45" w:history="1">
        <w:r w:rsidRPr="00A72B35">
          <w:rPr>
            <w:rStyle w:val="Hyperlink"/>
            <w:rFonts w:ascii="Garamond" w:hAnsi="Garamond"/>
            <w:lang w:val="en-AU"/>
          </w:rPr>
          <w:t>https://www.safetyandquality.gov.au/covid-19</w:t>
        </w:r>
      </w:hyperlink>
    </w:p>
    <w:p w14:paraId="57A50FC0" w14:textId="46157D43" w:rsidR="00D574D3" w:rsidRPr="00A72B35" w:rsidRDefault="00376EAE" w:rsidP="00F44658">
      <w:pPr>
        <w:tabs>
          <w:tab w:val="left" w:pos="0"/>
        </w:tabs>
        <w:rPr>
          <w:rFonts w:ascii="Garamond" w:hAnsi="Garamond"/>
          <w:lang w:val="en-AU"/>
        </w:rPr>
      </w:pPr>
      <w:r w:rsidRPr="00A72B35">
        <w:rPr>
          <w:rFonts w:ascii="Garamond" w:hAnsi="Garamond"/>
          <w:lang w:val="en-AU"/>
        </w:rPr>
        <w:t>These resources</w:t>
      </w:r>
      <w:r w:rsidR="00D574D3" w:rsidRPr="00A72B35">
        <w:rPr>
          <w:rFonts w:ascii="Garamond" w:hAnsi="Garamond"/>
          <w:lang w:val="en-AU"/>
        </w:rPr>
        <w:t xml:space="preserve"> include:</w:t>
      </w:r>
    </w:p>
    <w:p w14:paraId="64BEE923" w14:textId="2FF5A558" w:rsidR="008612B9" w:rsidRPr="00A72B35" w:rsidRDefault="008612B9" w:rsidP="0074739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46" w:history="1">
        <w:r w:rsidR="008F5912"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008F5912" w:rsidRPr="00A72B35">
        <w:rPr>
          <w:rFonts w:ascii="Garamond" w:hAnsi="Garamond"/>
          <w:noProof/>
          <w:lang w:val="en-AU" w:eastAsia="en-AU"/>
        </w:rPr>
        <w:drawing>
          <wp:inline distT="0" distB="0" distL="0" distR="0" wp14:anchorId="1C18E84F" wp14:editId="34A219E9">
            <wp:extent cx="5068389" cy="7151584"/>
            <wp:effectExtent l="0" t="0" r="0" b="0"/>
            <wp:docPr id="8" name="Picture 8" descr="COVID-19 poster - combined contact and droplet precautions.">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0B02D3BC" w14:textId="0F1BA62E" w:rsidR="008612B9" w:rsidRPr="00A72B35" w:rsidRDefault="008612B9" w:rsidP="009E0D71">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00A61E9C" w:rsidRPr="00A72B35">
        <w:rPr>
          <w:rFonts w:ascii="Garamond" w:hAnsi="Garamond"/>
          <w:b/>
          <w:i/>
          <w:lang w:val="en-AU"/>
        </w:rPr>
        <w:br/>
      </w:r>
      <w:hyperlink r:id="rId48" w:history="1">
        <w:r w:rsidR="009B6ED5" w:rsidRPr="00A72B35">
          <w:rPr>
            <w:rStyle w:val="Hyperlink"/>
            <w:rFonts w:ascii="Garamond" w:hAnsi="Garamond"/>
            <w:lang w:val="en-AU"/>
          </w:rPr>
          <w:t>https://www.safetyandquality.gov.au/publications-and-resources/resource-library/infection-prevention-and-control-poster-combined-airborne-and-contact-precautions</w:t>
        </w:r>
      </w:hyperlink>
      <w:r w:rsidR="009B6ED5" w:rsidRPr="00A72B35">
        <w:rPr>
          <w:rFonts w:ascii="Garamond" w:hAnsi="Garamond"/>
          <w:lang w:val="en-AU"/>
        </w:rPr>
        <w:br/>
      </w:r>
      <w:r w:rsidR="00A61E9C" w:rsidRPr="00A72B35">
        <w:rPr>
          <w:rFonts w:ascii="Garamond" w:hAnsi="Garamond"/>
          <w:lang w:val="en-AU"/>
        </w:rPr>
        <w:t xml:space="preserve"> </w:t>
      </w:r>
      <w:r w:rsidRPr="00A72B35">
        <w:rPr>
          <w:rFonts w:ascii="Garamond" w:hAnsi="Garamond"/>
          <w:lang w:val="en-AU"/>
        </w:rPr>
        <w:br/>
      </w:r>
      <w:r w:rsidR="0006163D" w:rsidRPr="00A72B35">
        <w:rPr>
          <w:rFonts w:ascii="Garamond" w:hAnsi="Garamond"/>
          <w:noProof/>
          <w:lang w:val="en-AU"/>
        </w:rPr>
        <w:drawing>
          <wp:inline distT="0" distB="0" distL="0" distR="0" wp14:anchorId="61882031" wp14:editId="654F661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49">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06819BFB" w14:textId="77777777" w:rsidR="00D574D3" w:rsidRPr="00A72B35" w:rsidRDefault="00D574D3" w:rsidP="009E0D71">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50" w:history="1">
        <w:r w:rsidRPr="00A72B35">
          <w:rPr>
            <w:rStyle w:val="Hyperlink"/>
            <w:rFonts w:ascii="Garamond" w:hAnsi="Garamond"/>
            <w:lang w:val="en-AU"/>
          </w:rPr>
          <w:t>www.safetyandquality.gov.au/environmental-cleaning</w:t>
        </w:r>
      </w:hyperlink>
    </w:p>
    <w:p w14:paraId="3549A701"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Style w:val="Hyperlink"/>
          <w:rFonts w:ascii="Garamond" w:hAnsi="Garamond"/>
          <w:b/>
          <w:i/>
          <w:color w:val="auto"/>
          <w:u w:val="none"/>
          <w:lang w:val="en-AU"/>
        </w:rPr>
        <w:t xml:space="preserve">COVID-19 infection prevention and control risk management – Guidance </w:t>
      </w:r>
      <w:hyperlink r:id="rId51" w:history="1">
        <w:r w:rsidRPr="00A72B35">
          <w:rPr>
            <w:rStyle w:val="Hyperlink"/>
            <w:rFonts w:ascii="Garamond" w:hAnsi="Garamond"/>
            <w:lang w:val="en-AU"/>
          </w:rPr>
          <w:t>https://www.safetyandquality.gov.au/publications-and-resources/resource-library/covid-19-infection-prevention-and-control-risk-management-guidance</w:t>
        </w:r>
      </w:hyperlink>
    </w:p>
    <w:p w14:paraId="65989B64"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Style w:val="Hyperlink"/>
          <w:rFonts w:ascii="Garamond" w:hAnsi="Garamond"/>
          <w:b/>
          <w:i/>
          <w:color w:val="auto"/>
          <w:u w:val="none"/>
          <w:lang w:val="en-AU"/>
        </w:rPr>
        <w:t>Safe care for people with cognitive impairment during COVID-19</w:t>
      </w:r>
      <w:r w:rsidRPr="00A72B35">
        <w:rPr>
          <w:rStyle w:val="Hyperlink"/>
          <w:rFonts w:ascii="Garamond" w:hAnsi="Garamond"/>
          <w:b/>
          <w:i/>
          <w:color w:val="auto"/>
          <w:u w:val="none"/>
          <w:lang w:val="en-AU"/>
        </w:rPr>
        <w:br/>
      </w:r>
      <w:hyperlink r:id="rId52" w:history="1">
        <w:r w:rsidRPr="00A72B35">
          <w:rPr>
            <w:rStyle w:val="Hyperlink"/>
            <w:rFonts w:ascii="Garamond" w:hAnsi="Garamond"/>
            <w:lang w:val="en-AU"/>
          </w:rPr>
          <w:t>https://www.safetyandquality.gov.au/our-work/cognitive-impairment/cognitive-impairment-and-covid-19</w:t>
        </w:r>
      </w:hyperlink>
    </w:p>
    <w:p w14:paraId="2A8E36DA" w14:textId="4AB8B3AF" w:rsidR="00D574D3" w:rsidRPr="00A72B35" w:rsidRDefault="00D574D3" w:rsidP="009E0D71">
      <w:pPr>
        <w:pStyle w:val="ListParagraph"/>
        <w:numPr>
          <w:ilvl w:val="0"/>
          <w:numId w:val="15"/>
        </w:numPr>
        <w:tabs>
          <w:tab w:val="left" w:pos="0"/>
        </w:tabs>
        <w:rPr>
          <w:rFonts w:ascii="Garamond" w:hAnsi="Garamond"/>
          <w:lang w:val="en-AU"/>
        </w:rPr>
      </w:pPr>
      <w:r w:rsidRPr="00A72B35">
        <w:rPr>
          <w:rFonts w:ascii="Garamond" w:hAnsi="Garamond"/>
          <w:b/>
          <w:i/>
          <w:lang w:val="en-AU"/>
        </w:rPr>
        <w:t>Break the chain of infection</w:t>
      </w:r>
      <w:r w:rsidR="00A56354" w:rsidRPr="00A72B35">
        <w:rPr>
          <w:rFonts w:ascii="Garamond" w:hAnsi="Garamond"/>
          <w:b/>
          <w:i/>
          <w:lang w:val="en-AU"/>
        </w:rPr>
        <w:t xml:space="preserve"> </w:t>
      </w:r>
      <w:r w:rsidRPr="00A72B35">
        <w:rPr>
          <w:rFonts w:ascii="Garamond" w:hAnsi="Garamond"/>
          <w:lang w:val="en-AU"/>
        </w:rPr>
        <w:t>poster</w:t>
      </w:r>
      <w:r w:rsidRPr="00A72B35">
        <w:rPr>
          <w:rFonts w:ascii="Garamond" w:hAnsi="Garamond"/>
          <w:b/>
          <w:i/>
          <w:lang w:val="en-AU"/>
        </w:rPr>
        <w:t xml:space="preserve"> </w:t>
      </w:r>
      <w:r w:rsidR="00D15BF5" w:rsidRPr="00A72B35">
        <w:rPr>
          <w:rStyle w:val="Hyperlink"/>
          <w:rFonts w:ascii="Garamond" w:hAnsi="Garamond"/>
          <w:lang w:val="en-AU"/>
        </w:rPr>
        <w:br/>
      </w:r>
      <w:hyperlink r:id="rId53" w:history="1">
        <w:r w:rsidR="00C275B7" w:rsidRPr="00A72B35">
          <w:rPr>
            <w:rStyle w:val="Hyperlink"/>
            <w:rFonts w:ascii="Garamond" w:hAnsi="Garamond"/>
            <w:lang w:val="en-AU"/>
          </w:rPr>
          <w:t>https://www.safetyandquality.gov.au/publications-and-resources/resource-library/break-chain-infection-poster</w:t>
        </w:r>
      </w:hyperlink>
      <w:r w:rsidR="00C275B7" w:rsidRPr="00A72B35">
        <w:rPr>
          <w:rStyle w:val="Hyperlink"/>
          <w:rFonts w:ascii="Garamond" w:hAnsi="Garamond"/>
          <w:lang w:val="en-AU"/>
        </w:rPr>
        <w:br/>
      </w:r>
      <w:r w:rsidR="00716904" w:rsidRPr="00A72B35">
        <w:rPr>
          <w:rStyle w:val="Hyperlink"/>
          <w:rFonts w:ascii="Garamond" w:hAnsi="Garamond"/>
          <w:lang w:val="en-AU"/>
        </w:rPr>
        <w:br/>
      </w:r>
      <w:r w:rsidRPr="00A72B35">
        <w:rPr>
          <w:rFonts w:ascii="Garamond" w:hAnsi="Garamond"/>
          <w:b/>
          <w:noProof/>
          <w:lang w:val="en-AU" w:eastAsia="en-AU"/>
        </w:rPr>
        <w:drawing>
          <wp:inline distT="0" distB="0" distL="0" distR="0" wp14:anchorId="0BED90FA" wp14:editId="1722D3CB">
            <wp:extent cx="4722767" cy="6757191"/>
            <wp:effectExtent l="19050" t="19050" r="20955" b="24765"/>
            <wp:docPr id="1" name="Picture 1" descr="Break the chain of infection poster">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68C87D4A"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Fonts w:ascii="Garamond" w:hAnsi="Garamond"/>
          <w:b/>
          <w:i/>
          <w:lang w:val="en-AU"/>
        </w:rPr>
        <w:lastRenderedPageBreak/>
        <w:t xml:space="preserve">COVID-19 and face masks – Information for consumers </w:t>
      </w:r>
      <w:hyperlink r:id="rId56" w:history="1">
        <w:r w:rsidRPr="00A72B35">
          <w:rPr>
            <w:rStyle w:val="Hyperlink"/>
            <w:rFonts w:ascii="Garamond" w:hAnsi="Garamond"/>
            <w:lang w:val="en-AU"/>
          </w:rPr>
          <w:t>https://www.safetyandquality.gov.au/publications-and-resources/resource-library/covid-19-and-face-masks-information-consumers</w:t>
        </w:r>
      </w:hyperlink>
      <w:r w:rsidRPr="00A72B35">
        <w:rPr>
          <w:rStyle w:val="Hyperlink"/>
          <w:rFonts w:ascii="Garamond" w:hAnsi="Garamond"/>
          <w:lang w:val="en-AU"/>
        </w:rPr>
        <w:br/>
      </w:r>
    </w:p>
    <w:p w14:paraId="6E7B7EE2" w14:textId="77777777" w:rsidR="00D574D3" w:rsidRPr="00A72B35" w:rsidRDefault="00D574D3" w:rsidP="00D574D3">
      <w:pPr>
        <w:tabs>
          <w:tab w:val="left" w:pos="0"/>
        </w:tabs>
        <w:ind w:left="360"/>
        <w:jc w:val="center"/>
        <w:rPr>
          <w:rFonts w:ascii="Garamond" w:hAnsi="Garamond"/>
          <w:lang w:val="en-AU"/>
        </w:rPr>
      </w:pPr>
      <w:r w:rsidRPr="00A72B35">
        <w:rPr>
          <w:noProof/>
          <w:lang w:val="en-AU" w:eastAsia="en-AU"/>
        </w:rPr>
        <w:drawing>
          <wp:inline distT="0" distB="0" distL="0" distR="0" wp14:anchorId="20971972" wp14:editId="268A4D88">
            <wp:extent cx="5561480" cy="8191040"/>
            <wp:effectExtent l="19050" t="19050" r="20320" b="19685"/>
            <wp:docPr id="2" name="Picture 2" descr="COVID-19 and face masks information for consumers poster image.">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ID-19 and face masks information for consumers poster image.">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52958" cy="8620333"/>
                    </a:xfrm>
                    <a:prstGeom prst="rect">
                      <a:avLst/>
                    </a:prstGeom>
                    <a:noFill/>
                    <a:ln>
                      <a:solidFill>
                        <a:schemeClr val="accent1"/>
                      </a:solidFill>
                    </a:ln>
                  </pic:spPr>
                </pic:pic>
              </a:graphicData>
            </a:graphic>
          </wp:inline>
        </w:drawing>
      </w:r>
    </w:p>
    <w:p w14:paraId="46EBDC9D" w14:textId="77777777" w:rsidR="00C1168D" w:rsidRPr="00A72B35" w:rsidRDefault="00C1168D" w:rsidP="009C6AF9">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t>Disclaimer</w:t>
      </w:r>
    </w:p>
    <w:p w14:paraId="1D459A38" w14:textId="3CB72EE8"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59"/>
      <w:footerReference w:type="default" r:id="rId6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81D9A" w14:textId="77777777" w:rsidR="00F51B93" w:rsidRDefault="00F51B93">
      <w:r>
        <w:separator/>
      </w:r>
    </w:p>
  </w:endnote>
  <w:endnote w:type="continuationSeparator" w:id="0">
    <w:p w14:paraId="75971630" w14:textId="77777777" w:rsidR="00F51B93" w:rsidRDefault="00F5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2884B780"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353140">
      <w:rPr>
        <w:rFonts w:ascii="Garamond" w:hAnsi="Garamond"/>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77ED12BA"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353140">
      <w:rPr>
        <w:rFonts w:ascii="Garamond" w:hAnsi="Garamond"/>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703DB" w14:textId="77777777" w:rsidR="00F51B93" w:rsidRDefault="00F51B93">
      <w:r>
        <w:separator/>
      </w:r>
    </w:p>
  </w:footnote>
  <w:footnote w:type="continuationSeparator" w:id="0">
    <w:p w14:paraId="287779B7" w14:textId="77777777" w:rsidR="00F51B93" w:rsidRDefault="00F5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BF63F5"/>
    <w:multiLevelType w:val="hybridMultilevel"/>
    <w:tmpl w:val="5DA6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7"/>
  </w:num>
  <w:num w:numId="2" w16cid:durableId="1683386478">
    <w:abstractNumId w:val="25"/>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0"/>
  </w:num>
  <w:num w:numId="14" w16cid:durableId="28579523">
    <w:abstractNumId w:val="18"/>
  </w:num>
  <w:num w:numId="15" w16cid:durableId="1756245841">
    <w:abstractNumId w:val="19"/>
  </w:num>
  <w:num w:numId="16" w16cid:durableId="1878159678">
    <w:abstractNumId w:val="13"/>
  </w:num>
  <w:num w:numId="17" w16cid:durableId="1406414453">
    <w:abstractNumId w:val="16"/>
  </w:num>
  <w:num w:numId="18" w16cid:durableId="1376396157">
    <w:abstractNumId w:val="14"/>
  </w:num>
  <w:num w:numId="19" w16cid:durableId="1255164626">
    <w:abstractNumId w:val="12"/>
  </w:num>
  <w:num w:numId="20" w16cid:durableId="999193016">
    <w:abstractNumId w:val="24"/>
  </w:num>
  <w:num w:numId="21" w16cid:durableId="1537621405">
    <w:abstractNumId w:val="28"/>
  </w:num>
  <w:num w:numId="22" w16cid:durableId="37824898">
    <w:abstractNumId w:val="27"/>
  </w:num>
  <w:num w:numId="23" w16cid:durableId="1048650847">
    <w:abstractNumId w:val="10"/>
  </w:num>
  <w:num w:numId="24" w16cid:durableId="1693875927">
    <w:abstractNumId w:val="23"/>
  </w:num>
  <w:num w:numId="25" w16cid:durableId="1351640752">
    <w:abstractNumId w:val="30"/>
  </w:num>
  <w:num w:numId="26" w16cid:durableId="1228149564">
    <w:abstractNumId w:val="21"/>
  </w:num>
  <w:num w:numId="27" w16cid:durableId="1801922802">
    <w:abstractNumId w:val="29"/>
  </w:num>
  <w:num w:numId="28" w16cid:durableId="1713310128">
    <w:abstractNumId w:val="22"/>
  </w:num>
  <w:num w:numId="29" w16cid:durableId="2093894947">
    <w:abstractNumId w:val="31"/>
  </w:num>
  <w:num w:numId="30" w16cid:durableId="735475228">
    <w:abstractNumId w:val="26"/>
  </w:num>
  <w:num w:numId="31" w16cid:durableId="283344196">
    <w:abstractNumId w:val="11"/>
  </w:num>
  <w:num w:numId="32" w16cid:durableId="138479000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21"/>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0DE"/>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B38"/>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6D4B"/>
    <w:rsid w:val="000870A1"/>
    <w:rsid w:val="000870BC"/>
    <w:rsid w:val="00087157"/>
    <w:rsid w:val="0008715F"/>
    <w:rsid w:val="0008716F"/>
    <w:rsid w:val="000873DC"/>
    <w:rsid w:val="00087600"/>
    <w:rsid w:val="000877CA"/>
    <w:rsid w:val="00087948"/>
    <w:rsid w:val="00087A2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B0206"/>
    <w:rsid w:val="000B034D"/>
    <w:rsid w:val="000B0482"/>
    <w:rsid w:val="000B056E"/>
    <w:rsid w:val="000B0627"/>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806"/>
    <w:rsid w:val="000E1B6E"/>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CD"/>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66"/>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083"/>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EDF"/>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2A"/>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132"/>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D0"/>
    <w:rsid w:val="00270888"/>
    <w:rsid w:val="002708D1"/>
    <w:rsid w:val="0027095D"/>
    <w:rsid w:val="00270B9B"/>
    <w:rsid w:val="00270ECC"/>
    <w:rsid w:val="002710DB"/>
    <w:rsid w:val="00271423"/>
    <w:rsid w:val="00271718"/>
    <w:rsid w:val="00271733"/>
    <w:rsid w:val="00271D2F"/>
    <w:rsid w:val="00271D3B"/>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AFD"/>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AB2"/>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C9C"/>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698"/>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784"/>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30"/>
    <w:rsid w:val="00694BA6"/>
    <w:rsid w:val="00694EF2"/>
    <w:rsid w:val="00694F87"/>
    <w:rsid w:val="00695093"/>
    <w:rsid w:val="0069558C"/>
    <w:rsid w:val="0069560B"/>
    <w:rsid w:val="00695616"/>
    <w:rsid w:val="0069578D"/>
    <w:rsid w:val="006957C0"/>
    <w:rsid w:val="0069593D"/>
    <w:rsid w:val="00695AE9"/>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D53"/>
    <w:rsid w:val="006E6DE9"/>
    <w:rsid w:val="006E6F0C"/>
    <w:rsid w:val="006E70A4"/>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00"/>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0C5"/>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7104"/>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8D"/>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AC9"/>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02F"/>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D4"/>
    <w:rsid w:val="009D5532"/>
    <w:rsid w:val="009D55E6"/>
    <w:rsid w:val="009D5646"/>
    <w:rsid w:val="009D56C7"/>
    <w:rsid w:val="009D56F1"/>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1F30"/>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5067"/>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687"/>
    <w:rsid w:val="00B1391F"/>
    <w:rsid w:val="00B13A10"/>
    <w:rsid w:val="00B13A76"/>
    <w:rsid w:val="00B13AA8"/>
    <w:rsid w:val="00B13B2B"/>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C"/>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E0C"/>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5EAE"/>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26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08"/>
    <w:rsid w:val="00D618D3"/>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42"/>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B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74B"/>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4B6"/>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1C"/>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5C"/>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6E"/>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B93"/>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612"/>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F49"/>
    <w:rsid w:val="00FC6098"/>
    <w:rsid w:val="00FC60E1"/>
    <w:rsid w:val="00FC60F0"/>
    <w:rsid w:val="00FC6103"/>
    <w:rsid w:val="00FC61E7"/>
    <w:rsid w:val="00FC627B"/>
    <w:rsid w:val="00FC6295"/>
    <w:rsid w:val="00FC634F"/>
    <w:rsid w:val="00FC647A"/>
    <w:rsid w:val="00FC6567"/>
    <w:rsid w:val="00FC65D5"/>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1C4"/>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9E3"/>
    <w:rsid w:val="00FD5B1D"/>
    <w:rsid w:val="00FD6180"/>
    <w:rsid w:val="00FD6440"/>
    <w:rsid w:val="00FD66A8"/>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26853515">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19519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image" Target="media/image2.PNG"/><Relationship Id="rId26" Type="http://schemas.openxmlformats.org/officeDocument/2006/relationships/hyperlink" Target="https://www.safetyandquality.gov.au/our-work/antimicrobial-resistance" TargetMode="External"/><Relationship Id="rId39" Type="http://schemas.openxmlformats.org/officeDocument/2006/relationships/hyperlink" Target="https://www.mq.edu.au/research/research-centres-groups-and-facilities/healthy-people/centres/australian-institute-of-health-innovation/our-projects/Health-Innovation-Series/health-innovation-series-e-medication-safety" TargetMode="External"/><Relationship Id="rId21" Type="http://schemas.openxmlformats.org/officeDocument/2006/relationships/image" Target="media/image3.PNG"/><Relationship Id="rId34" Type="http://schemas.openxmlformats.org/officeDocument/2006/relationships/hyperlink" Target="https://www.ahcwa.org.au/2024/11/21/climate-health-resources/" TargetMode="External"/><Relationship Id="rId42" Type="http://schemas.openxmlformats.org/officeDocument/2006/relationships/hyperlink" Target="https://www.nice.org.uk/guidance/qs19" TargetMode="External"/><Relationship Id="rId47" Type="http://schemas.openxmlformats.org/officeDocument/2006/relationships/image" Target="media/image5.PNG"/><Relationship Id="rId50" Type="http://schemas.openxmlformats.org/officeDocument/2006/relationships/hyperlink" Target="http://www.safetyandquality.gov.au/environmental-cleaning" TargetMode="External"/><Relationship Id="rId55"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ecd.org/en/publications/health-at-a-glance-asia-pacific-2024_51fed7e9-en/full-report.html" TargetMode="External"/><Relationship Id="rId20" Type="http://schemas.openxmlformats.org/officeDocument/2006/relationships/hyperlink" Target="https://www.who.int/publications/i/item/9789240093362" TargetMode="External"/><Relationship Id="rId29" Type="http://schemas.openxmlformats.org/officeDocument/2006/relationships/hyperlink" Target="https://www.sciencedirect.com/journal/the-joint-commission-journal-on-quality-and-patient-safety/vol/50/issue/12" TargetMode="External"/><Relationship Id="rId41" Type="http://schemas.openxmlformats.org/officeDocument/2006/relationships/hyperlink" Target="https://www.nice.org.uk/guidance" TargetMode="External"/><Relationship Id="rId54"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image" Target="media/image4.PNG"/><Relationship Id="rId32" Type="http://schemas.openxmlformats.org/officeDocument/2006/relationships/hyperlink" Target="https://qualitysafety.bmj.com/content/early/recent" TargetMode="External"/><Relationship Id="rId37" Type="http://schemas.openxmlformats.org/officeDocument/2006/relationships/hyperlink" Target="https://medcast.com.au/qhub" TargetMode="External"/><Relationship Id="rId40" Type="http://schemas.openxmlformats.org/officeDocument/2006/relationships/hyperlink" Target="https://www.healthcareexcellence.ca/en/what-we-do/all-programs/health-workforce-innovation-challenge/" TargetMode="External"/><Relationship Id="rId45" Type="http://schemas.openxmlformats.org/officeDocument/2006/relationships/hyperlink" Target="https://www.safetyandquality.gov.au/covid-19" TargetMode="External"/><Relationship Id="rId53" Type="http://schemas.openxmlformats.org/officeDocument/2006/relationships/hyperlink" Target="https://www.safetyandquality.gov.au/publications-and-resources/resource-library/break-chain-infection-poster" TargetMode="External"/><Relationship Id="rId58"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www.safercare.vic.gov.au/best-practice-improvement/quality-improvement/toolkit" TargetMode="External"/><Relationship Id="rId23" Type="http://schemas.openxmlformats.org/officeDocument/2006/relationships/hyperlink" Target="https://doi.org/10.26099/tgjb-1m67" TargetMode="External"/><Relationship Id="rId28" Type="http://schemas.openxmlformats.org/officeDocument/2006/relationships/hyperlink" Target="https://www.safetyandquality.gov.au/standards/clinical-care-standards/opioid-analgesic-stewardship-acute-pain-clinical-care-standard" TargetMode="External"/><Relationship Id="rId36" Type="http://schemas.openxmlformats.org/officeDocument/2006/relationships/hyperlink" Target="https://qum.hcca.org.au/" TargetMode="External"/><Relationship Id="rId49" Type="http://schemas.openxmlformats.org/officeDocument/2006/relationships/image" Target="media/image6.PNG"/><Relationship Id="rId57" Type="http://schemas.openxmlformats.org/officeDocument/2006/relationships/hyperlink" Target="https://www.safetyandquality.gov.au/sites/default/files/2020-07/covid-19_and_face_masks_-_information_for_consumers.pdf" TargetMode="External"/><Relationship Id="rId61" Type="http://schemas.openxmlformats.org/officeDocument/2006/relationships/fontTable" Target="fontTable.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our-work/infection-prevention-and-control" TargetMode="External"/><Relationship Id="rId31" Type="http://schemas.openxmlformats.org/officeDocument/2006/relationships/hyperlink" Target="https://www.healthaffairs.org/toc/hlthaff/43/12" TargetMode="External"/><Relationship Id="rId44" Type="http://schemas.openxmlformats.org/officeDocument/2006/relationships/hyperlink" Target="https://effectivehealthcare.ahrq.gov/products/misuse-prescription" TargetMode="External"/><Relationship Id="rId52" Type="http://schemas.openxmlformats.org/officeDocument/2006/relationships/hyperlink" Target="https://www.safetyandquality.gov.au/our-work/cognitive-impairment/cognitive-impairment-and-covid-19"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racgp.org.au/clinical-resources/clinical-guidelines/key-racgp-guidelines/national-guide" TargetMode="External"/><Relationship Id="rId22" Type="http://schemas.openxmlformats.org/officeDocument/2006/relationships/hyperlink" Target="https://www.hssib.org.uk/patient-safety-investigations/healthcare-provision-in-prisons/second-investigation-report/" TargetMode="External"/><Relationship Id="rId27" Type="http://schemas.openxmlformats.org/officeDocument/2006/relationships/hyperlink" Target="https://doi.org/10.1016/j.hlpt.2024.100936" TargetMode="External"/><Relationship Id="rId30" Type="http://schemas.openxmlformats.org/officeDocument/2006/relationships/hyperlink" Target="https://www.publish.csiro.au/ah/issue/11615" TargetMode="External"/><Relationship Id="rId35" Type="http://schemas.openxmlformats.org/officeDocument/2006/relationships/hyperlink" Target="https://medcast.com.au/qhub" TargetMode="External"/><Relationship Id="rId43" Type="http://schemas.openxmlformats.org/officeDocument/2006/relationships/hyperlink" Target="https://effectivehealthcare.ahrq.gov/" TargetMode="External"/><Relationship Id="rId48" Type="http://schemas.openxmlformats.org/officeDocument/2006/relationships/hyperlink" Target="https://www.safetyandquality.gov.au/publications-and-resources/resource-library/infection-prevention-and-control-poster-combined-airborne-and-contact-precautions" TargetMode="External"/><Relationship Id="rId56" Type="http://schemas.openxmlformats.org/officeDocument/2006/relationships/hyperlink" Target="https://www.safetyandquality.gov.au/publications-and-resources/resource-library/covid-19-and-face-masks-information-consumers" TargetMode="External"/><Relationship Id="rId8" Type="http://schemas.openxmlformats.org/officeDocument/2006/relationships/image" Target="media/image1.jpg"/><Relationship Id="rId51" Type="http://schemas.openxmlformats.org/officeDocument/2006/relationships/hyperlink" Target="https://www.safetyandquality.gov.au/publications-and-resources/resource-library/covid-19-infection-prevention-and-control-risk-management-guidance" TargetMode="Externa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who.int/publications/i/item/9789240103986" TargetMode="External"/><Relationship Id="rId25" Type="http://schemas.openxmlformats.org/officeDocument/2006/relationships/hyperlink" Target="https://www.thelancet.com/series/AMR-and-digital-approaches" TargetMode="External"/><Relationship Id="rId33" Type="http://schemas.openxmlformats.org/officeDocument/2006/relationships/hyperlink" Target="https://livingevidence.org.au/" TargetMode="External"/><Relationship Id="rId38" Type="http://schemas.openxmlformats.org/officeDocument/2006/relationships/hyperlink" Target="https://qum.hcca.org.au/" TargetMode="External"/><Relationship Id="rId46" Type="http://schemas.openxmlformats.org/officeDocument/2006/relationships/hyperlink" Target="https://www.safetyandquality.gov.au/publications-and-resources/resource-library/infection-prevention-and-control-poster-combined-contact-and-droplet-precaution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14</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Draft On the Radar Issue 678</vt:lpstr>
    </vt:vector>
  </TitlesOfParts>
  <Company>ACSQHC</Company>
  <LinksUpToDate>false</LinksUpToDate>
  <CharactersWithSpaces>27096</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678</dc:title>
  <dc:subject/>
  <dc:creator>Dr Niall Johnson</dc:creator>
  <cp:keywords>On the Radar</cp:keywords>
  <dc:description/>
  <cp:lastModifiedBy>JOHNSON, Niall</cp:lastModifiedBy>
  <cp:revision>22</cp:revision>
  <cp:lastPrinted>2018-03-02T02:34:00Z</cp:lastPrinted>
  <dcterms:created xsi:type="dcterms:W3CDTF">2024-12-01T20:50:00Z</dcterms:created>
  <dcterms:modified xsi:type="dcterms:W3CDTF">2024-12-05T22:49:00Z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