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544FAC02" w:rsidR="009932E9" w:rsidRPr="00A72B35" w:rsidRDefault="009932E9" w:rsidP="00F738B5">
      <w:pPr>
        <w:rPr>
          <w:rFonts w:ascii="Garamond" w:hAnsi="Garamond"/>
          <w:lang w:val="en-AU"/>
        </w:rPr>
      </w:pPr>
      <w:r w:rsidRPr="00A72B35">
        <w:rPr>
          <w:rFonts w:ascii="Garamond" w:hAnsi="Garamond"/>
          <w:lang w:val="en-AU"/>
        </w:rPr>
        <w:t>Issue 6</w:t>
      </w:r>
      <w:r w:rsidR="0089237C">
        <w:rPr>
          <w:rFonts w:ascii="Garamond" w:hAnsi="Garamond"/>
          <w:lang w:val="en-AU"/>
        </w:rPr>
        <w:t>8</w:t>
      </w:r>
      <w:r w:rsidR="00BE373A">
        <w:rPr>
          <w:rFonts w:ascii="Garamond" w:hAnsi="Garamond"/>
          <w:lang w:val="en-AU"/>
        </w:rPr>
        <w:t>5</w:t>
      </w:r>
    </w:p>
    <w:p w14:paraId="61605C05" w14:textId="3EC35C0F" w:rsidR="000E6619" w:rsidRDefault="00F63F21" w:rsidP="00F738B5">
      <w:pPr>
        <w:rPr>
          <w:rFonts w:ascii="Garamond" w:hAnsi="Garamond"/>
          <w:lang w:val="en-AU"/>
        </w:rPr>
      </w:pPr>
      <w:r>
        <w:rPr>
          <w:rFonts w:ascii="Garamond" w:hAnsi="Garamond"/>
          <w:lang w:val="en-AU"/>
        </w:rPr>
        <w:t>1</w:t>
      </w:r>
      <w:r w:rsidR="00BE373A">
        <w:rPr>
          <w:rFonts w:ascii="Garamond" w:hAnsi="Garamond"/>
          <w:lang w:val="en-AU"/>
        </w:rPr>
        <w:t>7</w:t>
      </w:r>
      <w:r w:rsidR="006E6BB1">
        <w:rPr>
          <w:rFonts w:ascii="Garamond" w:hAnsi="Garamond"/>
          <w:lang w:val="en-AU"/>
        </w:rPr>
        <w:t xml:space="preserve"> Febr</w:t>
      </w:r>
      <w:r w:rsidR="000E6619">
        <w:rPr>
          <w:rFonts w:ascii="Garamond" w:hAnsi="Garamond"/>
          <w:lang w:val="en-AU"/>
        </w:rPr>
        <w:t>uary 2025</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285CBDE1" w:rsidR="00357B50" w:rsidRPr="00A72B35"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p>
    <w:p w14:paraId="0D17A847" w14:textId="7526F734" w:rsidR="00764AC3" w:rsidRDefault="00764AC3" w:rsidP="00764AC3">
      <w:pPr>
        <w:rPr>
          <w:rFonts w:ascii="Garamond" w:hAnsi="Garamond"/>
          <w:lang w:val="en-AU"/>
        </w:rPr>
      </w:pPr>
    </w:p>
    <w:p w14:paraId="3AB0EE22" w14:textId="77777777" w:rsidR="0089237C" w:rsidRPr="00A72B35" w:rsidRDefault="0089237C" w:rsidP="00764AC3">
      <w:pPr>
        <w:rPr>
          <w:rFonts w:ascii="Garamond" w:hAnsi="Garamond"/>
          <w:lang w:val="en-AU"/>
        </w:rPr>
      </w:pPr>
    </w:p>
    <w:p w14:paraId="25D502EB" w14:textId="7378D50D"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4A690FA4" w14:textId="77777777" w:rsidR="0097225A" w:rsidRDefault="0097225A" w:rsidP="00F9255C">
      <w:pPr>
        <w:keepLines/>
        <w:autoSpaceDE w:val="0"/>
        <w:autoSpaceDN w:val="0"/>
        <w:adjustRightInd w:val="0"/>
        <w:rPr>
          <w:rFonts w:ascii="Garamond" w:hAnsi="Garamond"/>
          <w:lang w:val="en-AU"/>
        </w:rPr>
      </w:pPr>
    </w:p>
    <w:p w14:paraId="64D74824" w14:textId="7F3C44B1" w:rsidR="00524A22" w:rsidRPr="00492486" w:rsidRDefault="00492486" w:rsidP="00524A22">
      <w:pPr>
        <w:keepNext/>
        <w:keepLines/>
        <w:autoSpaceDE w:val="0"/>
        <w:autoSpaceDN w:val="0"/>
        <w:adjustRightInd w:val="0"/>
        <w:rPr>
          <w:rFonts w:ascii="Garamond" w:hAnsi="Garamond"/>
          <w:i/>
          <w:iCs/>
          <w:lang w:val="en-AU"/>
        </w:rPr>
      </w:pPr>
      <w:r w:rsidRPr="00492486">
        <w:rPr>
          <w:rFonts w:ascii="Garamond" w:hAnsi="Garamond"/>
          <w:i/>
          <w:iCs/>
          <w:lang w:val="en-AU"/>
        </w:rPr>
        <w:t>Safety management: accountability across organisational boundaries</w:t>
      </w:r>
    </w:p>
    <w:p w14:paraId="7A292006" w14:textId="77777777" w:rsidR="008E76A8" w:rsidRPr="008519D5" w:rsidRDefault="008E76A8" w:rsidP="008E76A8">
      <w:pPr>
        <w:keepNext/>
        <w:keepLines/>
        <w:autoSpaceDE w:val="0"/>
        <w:autoSpaceDN w:val="0"/>
        <w:adjustRightInd w:val="0"/>
        <w:rPr>
          <w:rFonts w:ascii="Garamond" w:hAnsi="Garamond"/>
          <w:lang w:val="en-AU"/>
        </w:rPr>
      </w:pPr>
      <w:r w:rsidRPr="008519D5">
        <w:rPr>
          <w:rFonts w:ascii="Garamond" w:hAnsi="Garamond"/>
          <w:lang w:val="en-AU"/>
        </w:rPr>
        <w:t>Investigation report</w:t>
      </w:r>
    </w:p>
    <w:p w14:paraId="16BE7AB2" w14:textId="77777777" w:rsidR="008E76A8" w:rsidRPr="008519D5" w:rsidRDefault="008E76A8" w:rsidP="008E76A8">
      <w:pPr>
        <w:keepNext/>
        <w:keepLines/>
        <w:autoSpaceDE w:val="0"/>
        <w:autoSpaceDN w:val="0"/>
        <w:adjustRightInd w:val="0"/>
        <w:rPr>
          <w:rFonts w:ascii="Garamond" w:hAnsi="Garamond"/>
          <w:lang w:val="en-AU"/>
        </w:rPr>
      </w:pPr>
      <w:r w:rsidRPr="008519D5">
        <w:rPr>
          <w:rFonts w:ascii="Garamond" w:hAnsi="Garamond"/>
          <w:lang w:val="en-AU"/>
        </w:rPr>
        <w:t>Health Services Safety Investigation Body</w:t>
      </w:r>
    </w:p>
    <w:p w14:paraId="2475C386" w14:textId="77777777" w:rsidR="008E76A8" w:rsidRPr="008519D5" w:rsidRDefault="008E76A8" w:rsidP="008E76A8">
      <w:pPr>
        <w:keepNext/>
        <w:keepLines/>
        <w:autoSpaceDE w:val="0"/>
        <w:autoSpaceDN w:val="0"/>
        <w:adjustRightInd w:val="0"/>
        <w:rPr>
          <w:rFonts w:ascii="Garamond" w:hAnsi="Garamond"/>
          <w:lang w:val="en-AU"/>
        </w:rPr>
      </w:pPr>
      <w:r w:rsidRPr="008519D5">
        <w:rPr>
          <w:rFonts w:ascii="Garamond" w:hAnsi="Garamond"/>
          <w:lang w:val="en-AU"/>
        </w:rPr>
        <w:t>Poole: HSSIB; 202</w:t>
      </w:r>
      <w:r>
        <w:rPr>
          <w:rFonts w:ascii="Garamond" w:hAnsi="Garamond"/>
          <w:lang w:val="en-AU"/>
        </w:rPr>
        <w:t>5</w:t>
      </w:r>
      <w:r w:rsidRPr="008519D5">
        <w:rPr>
          <w:rFonts w:ascii="Garamond" w:hAnsi="Garamond"/>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7E35E845"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31F77E4C" w14:textId="77777777" w:rsidR="00524A22" w:rsidRPr="00A72B35" w:rsidRDefault="00524A22" w:rsidP="00927D86">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EB4EEB1" w14:textId="53BADE67" w:rsidR="00524A22" w:rsidRPr="00A72B35" w:rsidRDefault="00316944" w:rsidP="00927D86">
            <w:pPr>
              <w:keepNext/>
              <w:jc w:val="both"/>
              <w:rPr>
                <w:rStyle w:val="Hyperlink"/>
                <w:rFonts w:ascii="Garamond" w:hAnsi="Garamond"/>
                <w:color w:val="auto"/>
                <w:u w:val="none"/>
                <w:lang w:val="en-AU"/>
              </w:rPr>
            </w:pPr>
            <w:hyperlink r:id="rId14" w:history="1">
              <w:r w:rsidRPr="005B3705">
                <w:rPr>
                  <w:rStyle w:val="Hyperlink"/>
                  <w:rFonts w:ascii="Garamond" w:hAnsi="Garamond"/>
                  <w:lang w:val="en-AU"/>
                </w:rPr>
                <w:t>https://www.hssib.org.uk/patient-safety-investigations/safety-management/investigation-report/</w:t>
              </w:r>
            </w:hyperlink>
          </w:p>
        </w:tc>
      </w:tr>
      <w:tr w:rsidR="00524A22" w:rsidRPr="00A72B35" w14:paraId="189FA536"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751C9586"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4A13CA0" w14:textId="087CB698" w:rsidR="00524A22" w:rsidRPr="00A72B35" w:rsidRDefault="008E76A8" w:rsidP="008E76A8">
            <w:pPr>
              <w:keepLines/>
              <w:autoSpaceDE w:val="0"/>
              <w:autoSpaceDN w:val="0"/>
              <w:adjustRightInd w:val="0"/>
              <w:rPr>
                <w:rFonts w:ascii="Garamond" w:hAnsi="Garamond"/>
                <w:lang w:val="en-AU"/>
              </w:rPr>
            </w:pPr>
            <w:r w:rsidRPr="008519D5">
              <w:rPr>
                <w:rFonts w:ascii="Garamond" w:hAnsi="Garamond"/>
                <w:lang w:val="en-AU"/>
              </w:rPr>
              <w:t>This latest report from the Health Services Safety Investigation Body (HSSIB)</w:t>
            </w:r>
            <w:r>
              <w:rPr>
                <w:rFonts w:ascii="Garamond" w:hAnsi="Garamond"/>
                <w:lang w:val="en-AU"/>
              </w:rPr>
              <w:t xml:space="preserve"> in the UK ‘</w:t>
            </w:r>
            <w:r w:rsidRPr="008E76A8">
              <w:rPr>
                <w:rFonts w:ascii="Garamond" w:hAnsi="Garamond"/>
                <w:lang w:val="en-AU"/>
              </w:rPr>
              <w:t>explores how patient safety is managed across different organisational boundaries, such as multiple providers within an integrated care system.</w:t>
            </w:r>
            <w:r>
              <w:rPr>
                <w:rFonts w:ascii="Garamond" w:hAnsi="Garamond"/>
                <w:lang w:val="en-AU"/>
              </w:rPr>
              <w:t>’ The report observes that ‘</w:t>
            </w:r>
            <w:r w:rsidRPr="008E76A8">
              <w:rPr>
                <w:rFonts w:ascii="Garamond" w:hAnsi="Garamond"/>
                <w:lang w:val="en-AU"/>
              </w:rPr>
              <w:t>Everyone working in health and care has some measure of responsibility for patient safety. When an organisation is accountable for patient safety, it should ensure that systems and processes are in place to effectively manage safety.</w:t>
            </w:r>
            <w:r>
              <w:rPr>
                <w:rFonts w:ascii="Garamond" w:hAnsi="Garamond"/>
                <w:lang w:val="en-AU"/>
              </w:rPr>
              <w:t xml:space="preserve"> </w:t>
            </w:r>
            <w:r w:rsidRPr="008E76A8">
              <w:rPr>
                <w:rFonts w:ascii="Garamond" w:hAnsi="Garamond"/>
                <w:lang w:val="en-AU"/>
              </w:rPr>
              <w:t xml:space="preserve">Organisations should be able to proactively manage recurring or emerging safety risks and should not rely on waiting for harm to occur before </w:t>
            </w:r>
            <w:proofErr w:type="gramStart"/>
            <w:r w:rsidRPr="008E76A8">
              <w:rPr>
                <w:rFonts w:ascii="Garamond" w:hAnsi="Garamond"/>
                <w:lang w:val="en-AU"/>
              </w:rPr>
              <w:t>taking action</w:t>
            </w:r>
            <w:proofErr w:type="gramEnd"/>
            <w:r w:rsidRPr="008E76A8">
              <w:rPr>
                <w:rFonts w:ascii="Garamond" w:hAnsi="Garamond"/>
                <w:lang w:val="en-AU"/>
              </w:rPr>
              <w:t>.</w:t>
            </w:r>
            <w:r>
              <w:rPr>
                <w:rFonts w:ascii="Garamond" w:hAnsi="Garamond"/>
                <w:lang w:val="en-AU"/>
              </w:rPr>
              <w:t xml:space="preserve">’ This investigation looked particularly at the issues for the UK’s integrated care boards (ICBs). HSSIB reports include </w:t>
            </w:r>
            <w:proofErr w:type="gramStart"/>
            <w:r>
              <w:rPr>
                <w:rFonts w:ascii="Garamond" w:hAnsi="Garamond"/>
                <w:lang w:val="en-AU"/>
              </w:rPr>
              <w:t>a number of</w:t>
            </w:r>
            <w:proofErr w:type="gramEnd"/>
            <w:r>
              <w:rPr>
                <w:rFonts w:ascii="Garamond" w:hAnsi="Garamond"/>
                <w:lang w:val="en-AU"/>
              </w:rPr>
              <w:t xml:space="preserve"> recommendations, observations and suggestions.</w:t>
            </w:r>
          </w:p>
        </w:tc>
      </w:tr>
    </w:tbl>
    <w:p w14:paraId="604EB9F1" w14:textId="285933DE" w:rsidR="00E02472" w:rsidRPr="00A72B35" w:rsidRDefault="00E02472" w:rsidP="000A3862">
      <w:pPr>
        <w:keepNext/>
        <w:keepLines/>
        <w:autoSpaceDE w:val="0"/>
        <w:autoSpaceDN w:val="0"/>
        <w:adjustRightInd w:val="0"/>
        <w:rPr>
          <w:rFonts w:ascii="Garamond" w:hAnsi="Garamond"/>
          <w:b/>
          <w:lang w:val="en-AU"/>
        </w:rPr>
      </w:pPr>
      <w:r w:rsidRPr="00A72B35">
        <w:rPr>
          <w:rFonts w:ascii="Garamond" w:hAnsi="Garamond"/>
          <w:b/>
          <w:lang w:val="en-AU"/>
        </w:rPr>
        <w:lastRenderedPageBreak/>
        <w:t>Journal articles</w:t>
      </w:r>
    </w:p>
    <w:p w14:paraId="3EFD87A1" w14:textId="77777777" w:rsidR="00B1347B" w:rsidRDefault="00B1347B" w:rsidP="00B1347B">
      <w:pPr>
        <w:keepLines/>
        <w:autoSpaceDE w:val="0"/>
        <w:autoSpaceDN w:val="0"/>
        <w:adjustRightInd w:val="0"/>
        <w:rPr>
          <w:rFonts w:ascii="Garamond" w:hAnsi="Garamond"/>
          <w:lang w:val="en-AU"/>
        </w:rPr>
      </w:pPr>
      <w:bookmarkStart w:id="1" w:name="_Hlk167708489"/>
    </w:p>
    <w:p w14:paraId="49AAAB55" w14:textId="77777777" w:rsidR="00F477A8" w:rsidRPr="00F477A8" w:rsidRDefault="00F477A8" w:rsidP="00F477A8">
      <w:pPr>
        <w:keepLines/>
        <w:autoSpaceDE w:val="0"/>
        <w:autoSpaceDN w:val="0"/>
        <w:adjustRightInd w:val="0"/>
        <w:rPr>
          <w:rFonts w:ascii="Garamond" w:hAnsi="Garamond"/>
          <w:i/>
          <w:iCs/>
          <w:lang w:val="en-AU"/>
        </w:rPr>
      </w:pPr>
      <w:r w:rsidRPr="00F477A8">
        <w:rPr>
          <w:rFonts w:ascii="Garamond" w:hAnsi="Garamond"/>
          <w:i/>
          <w:iCs/>
          <w:lang w:val="en-AU"/>
        </w:rPr>
        <w:t>FUTURE-AI: international consensus guideline for trustworthy and deployable artificial intelligence in healthcare</w:t>
      </w:r>
    </w:p>
    <w:p w14:paraId="0683FF19" w14:textId="77777777" w:rsidR="00F477A8" w:rsidRDefault="00F477A8" w:rsidP="00B1347B">
      <w:pPr>
        <w:keepLines/>
        <w:autoSpaceDE w:val="0"/>
        <w:autoSpaceDN w:val="0"/>
        <w:adjustRightInd w:val="0"/>
        <w:rPr>
          <w:rFonts w:ascii="Garamond" w:hAnsi="Garamond"/>
          <w:lang w:val="fr-FR"/>
        </w:rPr>
      </w:pPr>
      <w:r w:rsidRPr="00F477A8">
        <w:rPr>
          <w:rFonts w:ascii="Garamond" w:hAnsi="Garamond"/>
          <w:lang w:val="fr-FR"/>
        </w:rPr>
        <w:t xml:space="preserve">Lekadir K, Frangi AF, Porras AR, Glocker B, Cintas C, Langlotz CP, et al. </w:t>
      </w:r>
    </w:p>
    <w:p w14:paraId="33A374F8" w14:textId="211747DB" w:rsidR="006E6BB1" w:rsidRDefault="00F477A8" w:rsidP="00B1347B">
      <w:pPr>
        <w:keepLines/>
        <w:autoSpaceDE w:val="0"/>
        <w:autoSpaceDN w:val="0"/>
        <w:adjustRightInd w:val="0"/>
        <w:rPr>
          <w:rFonts w:ascii="Garamond" w:hAnsi="Garamond"/>
          <w:lang w:val="en-AU"/>
        </w:rPr>
      </w:pPr>
      <w:r w:rsidRPr="00F477A8">
        <w:rPr>
          <w:rFonts w:ascii="Garamond" w:hAnsi="Garamond"/>
          <w:lang w:val="en-AU"/>
        </w:rPr>
        <w:t>BMJ. 2025;388:e081554.</w:t>
      </w:r>
    </w:p>
    <w:p w14:paraId="1CD0CD36" w14:textId="77777777" w:rsidR="00A05806" w:rsidRDefault="00A05806" w:rsidP="00B1347B">
      <w:pPr>
        <w:keepLines/>
        <w:autoSpaceDE w:val="0"/>
        <w:autoSpaceDN w:val="0"/>
        <w:adjustRightInd w:val="0"/>
        <w:rPr>
          <w:rFonts w:ascii="Garamond" w:hAnsi="Garamond"/>
          <w:lang w:val="en-AU"/>
        </w:rPr>
      </w:pPr>
    </w:p>
    <w:p w14:paraId="0A26A614" w14:textId="77777777" w:rsidR="00A05806" w:rsidRPr="00A05806" w:rsidRDefault="00A05806" w:rsidP="00A05806">
      <w:pPr>
        <w:keepLines/>
        <w:autoSpaceDE w:val="0"/>
        <w:autoSpaceDN w:val="0"/>
        <w:adjustRightInd w:val="0"/>
        <w:rPr>
          <w:rFonts w:ascii="Garamond" w:hAnsi="Garamond"/>
          <w:i/>
          <w:iCs/>
          <w:lang w:val="en-AU"/>
        </w:rPr>
      </w:pPr>
      <w:r w:rsidRPr="00A05806">
        <w:rPr>
          <w:rFonts w:ascii="Garamond" w:hAnsi="Garamond"/>
          <w:i/>
          <w:iCs/>
          <w:lang w:val="en-AU"/>
        </w:rPr>
        <w:t>AI in the Health Sector: Systematic Review of Key Skills for Future Health Professionals</w:t>
      </w:r>
    </w:p>
    <w:p w14:paraId="7818D517" w14:textId="77777777" w:rsidR="00A05806" w:rsidRDefault="00A05806" w:rsidP="00B1347B">
      <w:pPr>
        <w:keepLines/>
        <w:autoSpaceDE w:val="0"/>
        <w:autoSpaceDN w:val="0"/>
        <w:adjustRightInd w:val="0"/>
        <w:rPr>
          <w:rFonts w:ascii="Garamond" w:hAnsi="Garamond"/>
          <w:lang w:val="fr-FR"/>
        </w:rPr>
      </w:pPr>
      <w:r w:rsidRPr="00A05806">
        <w:rPr>
          <w:rFonts w:ascii="Garamond" w:hAnsi="Garamond"/>
          <w:lang w:val="fr-FR"/>
        </w:rPr>
        <w:t>Gazquez-Garcia J, Sánchez-Bocanegra CL, Sevillano JL</w:t>
      </w:r>
    </w:p>
    <w:p w14:paraId="46B028D9" w14:textId="6F0748E7" w:rsidR="00A05806" w:rsidRPr="00A72B35" w:rsidRDefault="00A05806" w:rsidP="00B1347B">
      <w:pPr>
        <w:keepLines/>
        <w:autoSpaceDE w:val="0"/>
        <w:autoSpaceDN w:val="0"/>
        <w:adjustRightInd w:val="0"/>
        <w:rPr>
          <w:rFonts w:ascii="Garamond" w:hAnsi="Garamond"/>
          <w:lang w:val="en-AU"/>
        </w:rPr>
      </w:pPr>
      <w:r w:rsidRPr="00A05806">
        <w:rPr>
          <w:rFonts w:ascii="Garamond" w:hAnsi="Garamond"/>
          <w:lang w:val="en-AU"/>
        </w:rPr>
        <w:t>JMIR Med Educ. 2025;11:e58161.</w:t>
      </w:r>
    </w:p>
    <w:tbl>
      <w:tblPr>
        <w:tblStyle w:val="TableGrid"/>
        <w:tblW w:w="9360" w:type="dxa"/>
        <w:tblInd w:w="288" w:type="dxa"/>
        <w:tblLayout w:type="fixed"/>
        <w:tblLook w:val="01E0" w:firstRow="1" w:lastRow="1" w:firstColumn="1" w:lastColumn="1" w:noHBand="0" w:noVBand="0"/>
      </w:tblPr>
      <w:tblGrid>
        <w:gridCol w:w="1080"/>
        <w:gridCol w:w="8280"/>
      </w:tblGrid>
      <w:tr w:rsidR="00B1347B" w:rsidRPr="00C200D6" w14:paraId="0639034D" w14:textId="77777777" w:rsidTr="00E468A7">
        <w:tc>
          <w:tcPr>
            <w:tcW w:w="1080" w:type="dxa"/>
            <w:tcBorders>
              <w:top w:val="single" w:sz="4" w:space="0" w:color="auto"/>
              <w:left w:val="single" w:sz="4" w:space="0" w:color="auto"/>
              <w:bottom w:val="single" w:sz="4" w:space="0" w:color="auto"/>
              <w:right w:val="single" w:sz="4" w:space="0" w:color="auto"/>
            </w:tcBorders>
            <w:vAlign w:val="center"/>
          </w:tcPr>
          <w:p w14:paraId="1F490B2D" w14:textId="77777777" w:rsidR="00B1347B" w:rsidRPr="00A72B35" w:rsidRDefault="00B1347B" w:rsidP="00E468A7">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D527000" w14:textId="1541D9F0" w:rsidR="00B1347B" w:rsidRPr="00A05806" w:rsidRDefault="00A05806" w:rsidP="00E468A7">
            <w:pPr>
              <w:keepNext/>
              <w:jc w:val="both"/>
              <w:rPr>
                <w:rFonts w:ascii="Garamond" w:hAnsi="Garamond"/>
                <w:lang w:val="en-AU"/>
              </w:rPr>
            </w:pPr>
            <w:r w:rsidRPr="00A05806">
              <w:rPr>
                <w:rFonts w:ascii="Garamond" w:hAnsi="Garamond"/>
                <w:lang w:val="en-AU"/>
              </w:rPr>
              <w:t xml:space="preserve">Lekadir </w:t>
            </w:r>
            <w:hyperlink r:id="rId15" w:history="1">
              <w:r w:rsidRPr="005B3705">
                <w:rPr>
                  <w:rStyle w:val="Hyperlink"/>
                  <w:rFonts w:ascii="Garamond" w:hAnsi="Garamond"/>
                  <w:lang w:val="en-AU"/>
                </w:rPr>
                <w:t>https://doi.org/10.1136/bmj-2024-081554</w:t>
              </w:r>
            </w:hyperlink>
          </w:p>
          <w:p w14:paraId="503E6F19" w14:textId="1A528B81" w:rsidR="00A05806" w:rsidRPr="00A05806" w:rsidRDefault="00A05806" w:rsidP="00A05806">
            <w:pPr>
              <w:rPr>
                <w:rFonts w:ascii="Garamond" w:hAnsi="Garamond"/>
                <w:lang w:val="fr-FR"/>
              </w:rPr>
            </w:pPr>
            <w:r w:rsidRPr="00A05806">
              <w:rPr>
                <w:rFonts w:ascii="Garamond" w:hAnsi="Garamond"/>
                <w:lang w:val="fr-FR"/>
              </w:rPr>
              <w:t xml:space="preserve">Gazquez-Garcia et al </w:t>
            </w:r>
            <w:r>
              <w:fldChar w:fldCharType="begin"/>
            </w:r>
            <w:r w:rsidRPr="00C200D6">
              <w:rPr>
                <w:lang w:val="fr-FR"/>
              </w:rPr>
              <w:instrText>HYPERLINK "https://doi.org/10.2196/58161"</w:instrText>
            </w:r>
            <w:r>
              <w:fldChar w:fldCharType="separate"/>
            </w:r>
            <w:r w:rsidRPr="00A05806">
              <w:rPr>
                <w:rStyle w:val="Hyperlink"/>
                <w:rFonts w:ascii="Garamond" w:hAnsi="Garamond"/>
                <w:lang w:val="fr-FR"/>
              </w:rPr>
              <w:t>https://doi.org/10.2196/58161</w:t>
            </w:r>
            <w:r>
              <w:rPr>
                <w:rStyle w:val="Hyperlink"/>
                <w:rFonts w:ascii="Garamond" w:hAnsi="Garamond"/>
                <w:lang w:val="fr-FR"/>
              </w:rPr>
              <w:fldChar w:fldCharType="end"/>
            </w:r>
          </w:p>
        </w:tc>
      </w:tr>
      <w:tr w:rsidR="00B1347B" w:rsidRPr="00A72B35" w14:paraId="761FF678" w14:textId="77777777" w:rsidTr="00E468A7">
        <w:tc>
          <w:tcPr>
            <w:tcW w:w="1080" w:type="dxa"/>
            <w:tcBorders>
              <w:top w:val="single" w:sz="4" w:space="0" w:color="auto"/>
              <w:left w:val="single" w:sz="4" w:space="0" w:color="auto"/>
              <w:bottom w:val="single" w:sz="4" w:space="0" w:color="auto"/>
              <w:right w:val="single" w:sz="4" w:space="0" w:color="auto"/>
            </w:tcBorders>
            <w:vAlign w:val="center"/>
          </w:tcPr>
          <w:p w14:paraId="5440660E" w14:textId="77777777" w:rsidR="00B1347B" w:rsidRPr="00A72B35" w:rsidRDefault="00B1347B" w:rsidP="00E468A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B86B0B7" w14:textId="4F8A45D5" w:rsidR="00316944" w:rsidRDefault="00F477A8" w:rsidP="00E468A7">
            <w:pPr>
              <w:rPr>
                <w:rFonts w:ascii="Garamond" w:hAnsi="Garamond"/>
                <w:lang w:val="en-AU"/>
              </w:rPr>
            </w:pPr>
            <w:r>
              <w:rPr>
                <w:rFonts w:ascii="Garamond" w:hAnsi="Garamond"/>
                <w:lang w:val="en-AU"/>
              </w:rPr>
              <w:t>The potential uses of AI across health care are many.</w:t>
            </w:r>
            <w:r w:rsidR="00316944">
              <w:rPr>
                <w:rFonts w:ascii="Garamond" w:hAnsi="Garamond"/>
                <w:lang w:val="en-AU"/>
              </w:rPr>
              <w:t xml:space="preserve"> </w:t>
            </w:r>
            <w:r w:rsidR="00316944" w:rsidRPr="00316944">
              <w:rPr>
                <w:rFonts w:ascii="Garamond" w:hAnsi="Garamond"/>
                <w:lang w:val="en-AU"/>
              </w:rPr>
              <w:t>Some AI applications are already being widely used in health care. AI is used to assess images in areas such as dermatology and diagnostic imaging, in ambient scribes that document consultations, and in analysing patient satisfaction data. There are also many other uses that are being actively investigated and developed. Some of the potential uses engender less risk than others and the real and potential benefits of AI in health care is recognised. However, there are also potential risks in the use of AI in health care</w:t>
            </w:r>
            <w:r w:rsidR="00316944">
              <w:rPr>
                <w:rFonts w:ascii="Garamond" w:hAnsi="Garamond"/>
                <w:lang w:val="en-AU"/>
              </w:rPr>
              <w:t>.</w:t>
            </w:r>
          </w:p>
          <w:p w14:paraId="2503C293" w14:textId="54E50FB0" w:rsidR="00F477A8" w:rsidRDefault="00F477A8" w:rsidP="00E468A7">
            <w:pPr>
              <w:rPr>
                <w:rFonts w:ascii="Garamond" w:hAnsi="Garamond"/>
                <w:lang w:val="en-AU"/>
              </w:rPr>
            </w:pPr>
            <w:r>
              <w:rPr>
                <w:rFonts w:ascii="Garamond" w:hAnsi="Garamond"/>
                <w:lang w:val="en-AU"/>
              </w:rPr>
              <w:t>There are various efforts to shepherd the beneficial uses of AI in health, including the Australian Alliance for Artificial Intelligence in Healthcare (</w:t>
            </w:r>
            <w:hyperlink r:id="rId16" w:history="1">
              <w:r w:rsidRPr="00521FDF">
                <w:rPr>
                  <w:rStyle w:val="Hyperlink"/>
                  <w:rFonts w:ascii="Garamond" w:hAnsi="Garamond"/>
                  <w:lang w:val="en-AU"/>
                </w:rPr>
                <w:t>https://aihealthalliance.org/</w:t>
              </w:r>
            </w:hyperlink>
            <w:r>
              <w:rPr>
                <w:rFonts w:ascii="Garamond" w:hAnsi="Garamond"/>
                <w:lang w:val="en-AU"/>
              </w:rPr>
              <w:t>) the Trustworthy and Responsible AI Network (TRAIN) (</w:t>
            </w:r>
            <w:hyperlink r:id="rId17" w:history="1">
              <w:r w:rsidRPr="005B3705">
                <w:rPr>
                  <w:rStyle w:val="Hyperlink"/>
                  <w:rFonts w:ascii="Garamond" w:hAnsi="Garamond"/>
                  <w:lang w:val="en-AU"/>
                </w:rPr>
                <w:t>https://doi.org/10.1001/jama.2025.1331</w:t>
              </w:r>
            </w:hyperlink>
            <w:r>
              <w:rPr>
                <w:rFonts w:ascii="Garamond" w:hAnsi="Garamond"/>
                <w:lang w:val="en-AU"/>
              </w:rPr>
              <w:t>), the European TRAIN Initiative (</w:t>
            </w:r>
            <w:hyperlink r:id="rId18" w:history="1">
              <w:r w:rsidRPr="005B3705">
                <w:rPr>
                  <w:rStyle w:val="Hyperlink"/>
                  <w:rFonts w:ascii="Garamond" w:hAnsi="Garamond"/>
                  <w:lang w:val="en-AU"/>
                </w:rPr>
                <w:t>https://doi.org/10.1001/jama.2025.1335</w:t>
              </w:r>
            </w:hyperlink>
            <w:r>
              <w:rPr>
                <w:rFonts w:ascii="Garamond" w:hAnsi="Garamond"/>
                <w:lang w:val="en-AU"/>
              </w:rPr>
              <w:t>) and many others.</w:t>
            </w:r>
          </w:p>
          <w:p w14:paraId="5BEE114F" w14:textId="1F243008" w:rsidR="00A05806" w:rsidRPr="00A05806" w:rsidRDefault="00A05806" w:rsidP="00E468A7">
            <w:pPr>
              <w:rPr>
                <w:rFonts w:ascii="Garamond" w:hAnsi="Garamond"/>
                <w:lang w:val="en-AU"/>
              </w:rPr>
            </w:pPr>
            <w:r w:rsidRPr="00A05806">
              <w:rPr>
                <w:rFonts w:ascii="Garamond" w:hAnsi="Garamond"/>
                <w:lang w:val="en-AU"/>
              </w:rPr>
              <w:t>Gazquez-Garcia et al offer a review of</w:t>
            </w:r>
            <w:r>
              <w:rPr>
                <w:rFonts w:ascii="Garamond" w:hAnsi="Garamond"/>
                <w:lang w:val="en-AU"/>
              </w:rPr>
              <w:t xml:space="preserve"> the skills future health professionals may need to realise AI in health care (</w:t>
            </w:r>
            <w:hyperlink r:id="rId19" w:history="1">
              <w:r w:rsidRPr="005B3705">
                <w:rPr>
                  <w:rStyle w:val="Hyperlink"/>
                  <w:rFonts w:ascii="Garamond" w:hAnsi="Garamond"/>
                  <w:lang w:val="en-AU"/>
                </w:rPr>
                <w:t>https://doi.org/10.2196/58161</w:t>
              </w:r>
            </w:hyperlink>
            <w:r>
              <w:rPr>
                <w:rFonts w:ascii="Garamond" w:hAnsi="Garamond"/>
                <w:lang w:val="en-AU"/>
              </w:rPr>
              <w:t>)</w:t>
            </w:r>
          </w:p>
          <w:p w14:paraId="4598130F" w14:textId="1B8DEC39" w:rsidR="00F477A8" w:rsidRPr="00A72B35" w:rsidRDefault="00A05806" w:rsidP="00316944">
            <w:pPr>
              <w:rPr>
                <w:rFonts w:ascii="Garamond" w:hAnsi="Garamond"/>
                <w:lang w:val="en-AU"/>
              </w:rPr>
            </w:pPr>
            <w:r w:rsidRPr="00A05806">
              <w:rPr>
                <w:rFonts w:ascii="Garamond" w:hAnsi="Garamond"/>
                <w:lang w:val="en-AU"/>
              </w:rPr>
              <w:t xml:space="preserve">Lekadir </w:t>
            </w:r>
            <w:r>
              <w:rPr>
                <w:rFonts w:ascii="Garamond" w:hAnsi="Garamond"/>
                <w:lang w:val="en-AU"/>
              </w:rPr>
              <w:t xml:space="preserve">et al </w:t>
            </w:r>
            <w:r w:rsidR="00F477A8">
              <w:rPr>
                <w:rFonts w:ascii="Garamond" w:hAnsi="Garamond"/>
                <w:lang w:val="en-AU"/>
              </w:rPr>
              <w:t xml:space="preserve">present the output of a two-year effort of the FUTURE-AI Consortium. The Consortium </w:t>
            </w:r>
            <w:r w:rsidR="00316944">
              <w:rPr>
                <w:rFonts w:ascii="Garamond" w:hAnsi="Garamond"/>
                <w:lang w:val="en-AU"/>
              </w:rPr>
              <w:t>‘</w:t>
            </w:r>
            <w:r w:rsidR="00316944" w:rsidRPr="00316944">
              <w:rPr>
                <w:rFonts w:ascii="Garamond" w:hAnsi="Garamond"/>
                <w:lang w:val="en-AU"/>
              </w:rPr>
              <w:t>comprises 117 interdisciplinary experts from 50 countries</w:t>
            </w:r>
            <w:r w:rsidR="00316944">
              <w:rPr>
                <w:rFonts w:ascii="Garamond" w:hAnsi="Garamond"/>
                <w:lang w:val="en-AU"/>
              </w:rPr>
              <w:t xml:space="preserve">’. Through a process that has been </w:t>
            </w:r>
            <w:r w:rsidR="00316944" w:rsidRPr="00316944">
              <w:rPr>
                <w:rFonts w:ascii="Garamond" w:hAnsi="Garamond"/>
                <w:lang w:val="en-AU"/>
              </w:rPr>
              <w:t>based on six guiding principles—fairness, universality, traceability, usability, robustness, and explainability</w:t>
            </w:r>
            <w:r w:rsidR="00316944">
              <w:rPr>
                <w:rFonts w:ascii="Garamond" w:hAnsi="Garamond"/>
                <w:lang w:val="en-AU"/>
              </w:rPr>
              <w:t>’, the Consortium has defined ‘</w:t>
            </w:r>
            <w:r w:rsidR="00316944" w:rsidRPr="00316944">
              <w:rPr>
                <w:rFonts w:ascii="Garamond" w:hAnsi="Garamond"/>
                <w:lang w:val="en-AU"/>
              </w:rPr>
              <w:t>a set of 30 best practices</w:t>
            </w:r>
            <w:r w:rsidR="00316944">
              <w:rPr>
                <w:rFonts w:ascii="Garamond" w:hAnsi="Garamond"/>
                <w:lang w:val="en-AU"/>
              </w:rPr>
              <w:t>…</w:t>
            </w:r>
            <w:r w:rsidR="00316944" w:rsidRPr="00316944">
              <w:rPr>
                <w:rFonts w:ascii="Garamond" w:hAnsi="Garamond"/>
                <w:lang w:val="en-AU"/>
              </w:rPr>
              <w:t xml:space="preserve"> addressing technical, clinical, socioethical, and legal dimensions</w:t>
            </w:r>
            <w:r w:rsidR="00316944">
              <w:rPr>
                <w:rFonts w:ascii="Garamond" w:hAnsi="Garamond"/>
                <w:lang w:val="en-AU"/>
              </w:rPr>
              <w:t>’</w:t>
            </w:r>
            <w:r w:rsidR="00316944" w:rsidRPr="00316944">
              <w:rPr>
                <w:rFonts w:ascii="Garamond" w:hAnsi="Garamond"/>
                <w:lang w:val="en-AU"/>
              </w:rPr>
              <w:t>. The</w:t>
            </w:r>
            <w:r w:rsidR="00316944">
              <w:rPr>
                <w:rFonts w:ascii="Garamond" w:hAnsi="Garamond"/>
                <w:lang w:val="en-AU"/>
              </w:rPr>
              <w:t>se</w:t>
            </w:r>
            <w:r w:rsidR="00316944" w:rsidRPr="00316944">
              <w:rPr>
                <w:rFonts w:ascii="Garamond" w:hAnsi="Garamond"/>
                <w:lang w:val="en-AU"/>
              </w:rPr>
              <w:t xml:space="preserve"> </w:t>
            </w:r>
            <w:r w:rsidR="00316944">
              <w:rPr>
                <w:rFonts w:ascii="Garamond" w:hAnsi="Garamond"/>
                <w:lang w:val="en-AU"/>
              </w:rPr>
              <w:t>‘</w:t>
            </w:r>
            <w:r w:rsidR="00316944" w:rsidRPr="00316944">
              <w:rPr>
                <w:rFonts w:ascii="Garamond" w:hAnsi="Garamond"/>
                <w:lang w:val="en-AU"/>
              </w:rPr>
              <w:t>recommendations cover the entire lifecycle of healthcare AI, from design, development, and validation to regulation, deployment, and monitoring.</w:t>
            </w:r>
            <w:r w:rsidR="00316944">
              <w:rPr>
                <w:rFonts w:ascii="Garamond" w:hAnsi="Garamond"/>
                <w:lang w:val="en-AU"/>
              </w:rPr>
              <w:t>’</w:t>
            </w:r>
          </w:p>
        </w:tc>
      </w:tr>
    </w:tbl>
    <w:p w14:paraId="433F597F" w14:textId="77777777" w:rsidR="00B1347B" w:rsidRDefault="00B1347B" w:rsidP="00B1347B">
      <w:pPr>
        <w:keepLines/>
        <w:autoSpaceDE w:val="0"/>
        <w:autoSpaceDN w:val="0"/>
        <w:adjustRightInd w:val="0"/>
        <w:rPr>
          <w:rFonts w:ascii="Garamond" w:hAnsi="Garamond"/>
          <w:lang w:val="en-AU"/>
        </w:rPr>
      </w:pPr>
    </w:p>
    <w:bookmarkEnd w:id="1"/>
    <w:p w14:paraId="6CF4E2CA" w14:textId="77777777" w:rsidR="00B577F8" w:rsidRPr="0058334F" w:rsidRDefault="00B577F8" w:rsidP="00B577F8">
      <w:pPr>
        <w:keepNext/>
        <w:rPr>
          <w:rFonts w:ascii="Garamond" w:hAnsi="Garamond"/>
          <w:i/>
          <w:lang w:val="en-AU"/>
        </w:rPr>
      </w:pPr>
      <w:r>
        <w:rPr>
          <w:rFonts w:ascii="Garamond" w:hAnsi="Garamond"/>
          <w:i/>
          <w:lang w:val="en-AU"/>
        </w:rPr>
        <w:t>JBI Evidence Synthesis</w:t>
      </w:r>
    </w:p>
    <w:p w14:paraId="09AD4C7B" w14:textId="15B4F6A5" w:rsidR="00B577F8" w:rsidRPr="0058334F" w:rsidRDefault="00B577F8" w:rsidP="00B577F8">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2</w:t>
      </w:r>
      <w:r>
        <w:rPr>
          <w:rFonts w:ascii="Garamond" w:hAnsi="Garamond"/>
          <w:iCs/>
          <w:lang w:val="en-AU"/>
        </w:rPr>
        <w:t>3</w:t>
      </w:r>
      <w:r w:rsidRPr="0058334F">
        <w:rPr>
          <w:rFonts w:ascii="Garamond" w:hAnsi="Garamond"/>
          <w:iCs/>
          <w:lang w:val="en-AU"/>
        </w:rPr>
        <w:t xml:space="preserve">, </w:t>
      </w:r>
      <w:r>
        <w:rPr>
          <w:rFonts w:ascii="Garamond" w:hAnsi="Garamond"/>
          <w:iCs/>
          <w:lang w:val="en-AU"/>
        </w:rPr>
        <w:t>Issue 2</w:t>
      </w:r>
      <w:r w:rsidRPr="0058334F">
        <w:rPr>
          <w:rFonts w:ascii="Garamond" w:hAnsi="Garamond"/>
          <w:iCs/>
          <w:lang w:val="en-AU"/>
        </w:rPr>
        <w:t>,</w:t>
      </w:r>
      <w:r>
        <w:rPr>
          <w:rFonts w:ascii="Garamond" w:hAnsi="Garamond"/>
          <w:iCs/>
          <w:lang w:val="en-AU"/>
        </w:rPr>
        <w:t xml:space="preserve"> 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B577F8" w14:paraId="00DB65D4" w14:textId="77777777" w:rsidTr="000A3489">
        <w:tc>
          <w:tcPr>
            <w:tcW w:w="1080" w:type="dxa"/>
            <w:tcBorders>
              <w:top w:val="single" w:sz="4" w:space="0" w:color="auto"/>
              <w:left w:val="single" w:sz="4" w:space="0" w:color="auto"/>
              <w:bottom w:val="single" w:sz="4" w:space="0" w:color="auto"/>
              <w:right w:val="single" w:sz="4" w:space="0" w:color="auto"/>
            </w:tcBorders>
            <w:vAlign w:val="center"/>
            <w:hideMark/>
          </w:tcPr>
          <w:p w14:paraId="585BD024" w14:textId="77777777" w:rsidR="00B577F8" w:rsidRDefault="00B577F8" w:rsidP="000A3489">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54CDD87" w14:textId="49704274" w:rsidR="00B577F8" w:rsidRDefault="00B577F8" w:rsidP="000A3489">
            <w:pPr>
              <w:rPr>
                <w:rStyle w:val="Hyperlink"/>
                <w:rFonts w:ascii="Garamond" w:hAnsi="Garamond"/>
                <w:color w:val="auto"/>
                <w:u w:val="none"/>
                <w:lang w:val="en-AU"/>
              </w:rPr>
            </w:pPr>
            <w:hyperlink r:id="rId20" w:history="1">
              <w:r w:rsidRPr="00C764D6">
                <w:rPr>
                  <w:rStyle w:val="Hyperlink"/>
                  <w:rFonts w:ascii="Garamond" w:hAnsi="Garamond"/>
                  <w:lang w:val="en-AU"/>
                </w:rPr>
                <w:t>https://journals.lww.com/jbisrir/toc/2025/02000</w:t>
              </w:r>
            </w:hyperlink>
          </w:p>
        </w:tc>
      </w:tr>
      <w:tr w:rsidR="00B577F8" w14:paraId="7BC25E5C" w14:textId="77777777" w:rsidTr="000A3489">
        <w:tc>
          <w:tcPr>
            <w:tcW w:w="1080" w:type="dxa"/>
            <w:tcBorders>
              <w:top w:val="single" w:sz="4" w:space="0" w:color="auto"/>
              <w:left w:val="single" w:sz="4" w:space="0" w:color="auto"/>
              <w:bottom w:val="single" w:sz="4" w:space="0" w:color="auto"/>
              <w:right w:val="single" w:sz="4" w:space="0" w:color="auto"/>
            </w:tcBorders>
            <w:vAlign w:val="center"/>
            <w:hideMark/>
          </w:tcPr>
          <w:p w14:paraId="7BDE2B10" w14:textId="77777777" w:rsidR="00B577F8" w:rsidRDefault="00B577F8" w:rsidP="000A3489">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526F5BC" w14:textId="77777777" w:rsidR="00B577F8" w:rsidRDefault="00B577F8" w:rsidP="000A3489">
            <w:pPr>
              <w:rPr>
                <w:rFonts w:ascii="Garamond" w:hAnsi="Garamond"/>
                <w:lang w:val="en-AU"/>
              </w:rPr>
            </w:pPr>
            <w:r>
              <w:rPr>
                <w:rFonts w:ascii="Garamond" w:hAnsi="Garamond"/>
                <w:lang w:val="en-AU"/>
              </w:rPr>
              <w:t xml:space="preserve">A new issue of </w:t>
            </w:r>
            <w:r>
              <w:rPr>
                <w:rFonts w:ascii="Garamond" w:hAnsi="Garamond"/>
                <w:i/>
                <w:lang w:val="en-AU"/>
              </w:rPr>
              <w:t xml:space="preserve">JBI Evidence Synthesis </w:t>
            </w:r>
            <w:r>
              <w:rPr>
                <w:rFonts w:ascii="Garamond" w:hAnsi="Garamond"/>
                <w:lang w:val="en-AU"/>
              </w:rPr>
              <w:t xml:space="preserve">has been published. Articles in this issue of </w:t>
            </w:r>
            <w:r>
              <w:rPr>
                <w:rFonts w:ascii="Garamond" w:hAnsi="Garamond"/>
                <w:i/>
                <w:lang w:val="en-AU"/>
              </w:rPr>
              <w:t>JBI Evidence Synthesis</w:t>
            </w:r>
            <w:r>
              <w:rPr>
                <w:rFonts w:ascii="Garamond" w:hAnsi="Garamond"/>
                <w:lang w:val="en-AU"/>
              </w:rPr>
              <w:t xml:space="preserve"> include:</w:t>
            </w:r>
          </w:p>
          <w:p w14:paraId="4F9F9F95" w14:textId="7012AF99" w:rsidR="00B577F8" w:rsidRPr="00B577F8" w:rsidRDefault="00B577F8" w:rsidP="000415A0">
            <w:pPr>
              <w:pStyle w:val="ListParagraph"/>
              <w:numPr>
                <w:ilvl w:val="0"/>
                <w:numId w:val="18"/>
              </w:numPr>
              <w:rPr>
                <w:rFonts w:ascii="Garamond" w:hAnsi="Garamond"/>
                <w:lang w:val="en-AU"/>
              </w:rPr>
            </w:pPr>
            <w:r w:rsidRPr="00B577F8">
              <w:rPr>
                <w:rFonts w:ascii="Garamond" w:hAnsi="Garamond"/>
                <w:lang w:val="en-AU"/>
              </w:rPr>
              <w:t xml:space="preserve">Prophylactic embolization vs observation for high-grade </w:t>
            </w:r>
            <w:r w:rsidRPr="00B577F8">
              <w:rPr>
                <w:rFonts w:ascii="Garamond" w:hAnsi="Garamond"/>
                <w:b/>
                <w:bCs/>
                <w:lang w:val="en-AU"/>
              </w:rPr>
              <w:t>blunt trauma splenic injury</w:t>
            </w:r>
            <w:r w:rsidRPr="00B577F8">
              <w:rPr>
                <w:rFonts w:ascii="Garamond" w:hAnsi="Garamond"/>
                <w:lang w:val="en-AU"/>
              </w:rPr>
              <w:t>: a systematic review with meta-analysis (Silas Nann, Molly Clark, Joshua Kovoor, Shivangi Jog, Edoardo Aromataris</w:t>
            </w:r>
            <w:r>
              <w:rPr>
                <w:rFonts w:ascii="Garamond" w:hAnsi="Garamond"/>
                <w:lang w:val="en-AU"/>
              </w:rPr>
              <w:t>)</w:t>
            </w:r>
          </w:p>
          <w:p w14:paraId="2CE57133" w14:textId="7345E156" w:rsidR="00B577F8" w:rsidRPr="00B577F8" w:rsidRDefault="00B577F8" w:rsidP="006A2739">
            <w:pPr>
              <w:pStyle w:val="ListParagraph"/>
              <w:numPr>
                <w:ilvl w:val="0"/>
                <w:numId w:val="18"/>
              </w:numPr>
              <w:rPr>
                <w:rFonts w:ascii="Garamond" w:hAnsi="Garamond"/>
                <w:lang w:val="en-AU"/>
              </w:rPr>
            </w:pPr>
            <w:r w:rsidRPr="00B577F8">
              <w:rPr>
                <w:rFonts w:ascii="Garamond" w:hAnsi="Garamond"/>
                <w:lang w:val="en-AU"/>
              </w:rPr>
              <w:t xml:space="preserve">Parental experiences of caring for their </w:t>
            </w:r>
            <w:r w:rsidRPr="00B577F8">
              <w:rPr>
                <w:rFonts w:ascii="Garamond" w:hAnsi="Garamond"/>
                <w:b/>
                <w:bCs/>
                <w:lang w:val="en-AU"/>
              </w:rPr>
              <w:t>preschool children after declining vaccines</w:t>
            </w:r>
            <w:r w:rsidRPr="00B577F8">
              <w:rPr>
                <w:rFonts w:ascii="Garamond" w:hAnsi="Garamond"/>
                <w:lang w:val="en-AU"/>
              </w:rPr>
              <w:t>: a qualitative systematic review (Christine Huel, Karen MacKinnon, Jillian Harding, Roya Haghiri-Vijeh, Carol Gordon, Shannon E. MacDonald</w:t>
            </w:r>
            <w:r>
              <w:rPr>
                <w:rFonts w:ascii="Garamond" w:hAnsi="Garamond"/>
                <w:lang w:val="en-AU"/>
              </w:rPr>
              <w:t>)</w:t>
            </w:r>
          </w:p>
          <w:p w14:paraId="6CF387ED" w14:textId="1F5E18E9" w:rsidR="00B577F8" w:rsidRPr="00B577F8" w:rsidRDefault="00B577F8" w:rsidP="00813D9E">
            <w:pPr>
              <w:pStyle w:val="ListParagraph"/>
              <w:numPr>
                <w:ilvl w:val="0"/>
                <w:numId w:val="18"/>
              </w:numPr>
              <w:rPr>
                <w:rFonts w:ascii="Garamond" w:hAnsi="Garamond"/>
                <w:lang w:val="en-AU"/>
              </w:rPr>
            </w:pPr>
            <w:r w:rsidRPr="00B577F8">
              <w:rPr>
                <w:rFonts w:ascii="Garamond" w:hAnsi="Garamond"/>
                <w:lang w:val="en-AU"/>
              </w:rPr>
              <w:t xml:space="preserve">Experiences of African women who migrate to a developed country and encounter </w:t>
            </w:r>
            <w:r w:rsidRPr="00B577F8">
              <w:rPr>
                <w:rFonts w:ascii="Garamond" w:hAnsi="Garamond"/>
                <w:b/>
                <w:bCs/>
                <w:lang w:val="en-AU"/>
              </w:rPr>
              <w:t>intimate partner violence</w:t>
            </w:r>
            <w:r w:rsidRPr="00B577F8">
              <w:rPr>
                <w:rFonts w:ascii="Garamond" w:hAnsi="Garamond"/>
                <w:lang w:val="en-AU"/>
              </w:rPr>
              <w:t>: a systematic review of qualitative evidence (Olayide Ogunsiji, Jann Foster, Heidi Green, Nqobile Sikhosana, Patricia Gauci, Naomi Kayesa, Ritin Fernandez</w:t>
            </w:r>
            <w:r>
              <w:rPr>
                <w:rFonts w:ascii="Garamond" w:hAnsi="Garamond"/>
                <w:lang w:val="en-AU"/>
              </w:rPr>
              <w:t>)</w:t>
            </w:r>
          </w:p>
          <w:p w14:paraId="24325156" w14:textId="16BECD11" w:rsidR="00B577F8" w:rsidRPr="00B577F8" w:rsidRDefault="00B577F8" w:rsidP="009156D9">
            <w:pPr>
              <w:pStyle w:val="ListParagraph"/>
              <w:numPr>
                <w:ilvl w:val="0"/>
                <w:numId w:val="18"/>
              </w:numPr>
              <w:rPr>
                <w:rFonts w:ascii="Garamond" w:hAnsi="Garamond"/>
                <w:lang w:val="en-AU"/>
              </w:rPr>
            </w:pPr>
            <w:r w:rsidRPr="00B577F8">
              <w:rPr>
                <w:rFonts w:ascii="Garamond" w:hAnsi="Garamond"/>
                <w:lang w:val="en-AU"/>
              </w:rPr>
              <w:t xml:space="preserve">Effectiveness of cognitive behavioral therapy vs conservative pain management for occupational performance in patients with </w:t>
            </w:r>
            <w:r w:rsidRPr="00B577F8">
              <w:rPr>
                <w:rFonts w:ascii="Garamond" w:hAnsi="Garamond"/>
                <w:b/>
                <w:bCs/>
                <w:lang w:val="en-AU"/>
              </w:rPr>
              <w:t>low back pain</w:t>
            </w:r>
            <w:r w:rsidRPr="00B577F8">
              <w:rPr>
                <w:rFonts w:ascii="Garamond" w:hAnsi="Garamond"/>
                <w:lang w:val="en-AU"/>
              </w:rPr>
              <w:t xml:space="preserve">: a </w:t>
            </w:r>
            <w:r w:rsidRPr="00B577F8">
              <w:rPr>
                <w:rFonts w:ascii="Garamond" w:hAnsi="Garamond"/>
                <w:lang w:val="en-AU"/>
              </w:rPr>
              <w:lastRenderedPageBreak/>
              <w:t>systematic review protocol (Gemiele Elaine Delasas, Ninfa Mae Delgado, Isabelle Kezia Mojica, Stepanie Ragasa, Valentin Dones III, D Manlapaz</w:t>
            </w:r>
            <w:r>
              <w:rPr>
                <w:rFonts w:ascii="Garamond" w:hAnsi="Garamond"/>
                <w:lang w:val="en-AU"/>
              </w:rPr>
              <w:t>)</w:t>
            </w:r>
          </w:p>
          <w:p w14:paraId="41F7C524" w14:textId="7BEE4B39" w:rsidR="00B577F8" w:rsidRPr="00B577F8" w:rsidRDefault="00B577F8" w:rsidP="00324108">
            <w:pPr>
              <w:pStyle w:val="ListParagraph"/>
              <w:numPr>
                <w:ilvl w:val="0"/>
                <w:numId w:val="18"/>
              </w:numPr>
              <w:rPr>
                <w:rFonts w:ascii="Garamond" w:hAnsi="Garamond"/>
                <w:lang w:val="en-AU"/>
              </w:rPr>
            </w:pPr>
            <w:r w:rsidRPr="00B577F8">
              <w:rPr>
                <w:rFonts w:ascii="Garamond" w:hAnsi="Garamond"/>
                <w:lang w:val="en-AU"/>
              </w:rPr>
              <w:t xml:space="preserve">Early introduction of oral feeding and its impact on </w:t>
            </w:r>
            <w:r w:rsidRPr="00B577F8">
              <w:rPr>
                <w:rFonts w:ascii="Garamond" w:hAnsi="Garamond"/>
                <w:b/>
                <w:bCs/>
                <w:lang w:val="en-AU"/>
              </w:rPr>
              <w:t>full oral feeding and discharge in preterm infants</w:t>
            </w:r>
            <w:r w:rsidRPr="00B577F8">
              <w:rPr>
                <w:rFonts w:ascii="Garamond" w:hAnsi="Garamond"/>
                <w:lang w:val="en-AU"/>
              </w:rPr>
              <w:t>: a systematic review protocol (Maki Fujitsuka, Kenji Takao, Shingo Ueki, Seiichi Morokuma</w:t>
            </w:r>
            <w:r>
              <w:rPr>
                <w:rFonts w:ascii="Garamond" w:hAnsi="Garamond"/>
                <w:lang w:val="en-AU"/>
              </w:rPr>
              <w:t>)</w:t>
            </w:r>
          </w:p>
          <w:p w14:paraId="5B524145" w14:textId="2FD6FBF9" w:rsidR="00B577F8" w:rsidRPr="00B577F8" w:rsidRDefault="00B577F8" w:rsidP="00AD7001">
            <w:pPr>
              <w:pStyle w:val="ListParagraph"/>
              <w:numPr>
                <w:ilvl w:val="0"/>
                <w:numId w:val="18"/>
              </w:numPr>
              <w:rPr>
                <w:rFonts w:ascii="Garamond" w:hAnsi="Garamond"/>
                <w:lang w:val="en-AU"/>
              </w:rPr>
            </w:pPr>
            <w:r w:rsidRPr="00B577F8">
              <w:rPr>
                <w:rFonts w:ascii="Garamond" w:hAnsi="Garamond"/>
                <w:lang w:val="en-AU"/>
              </w:rPr>
              <w:t xml:space="preserve">Effect of aspiration during </w:t>
            </w:r>
            <w:r w:rsidRPr="00B577F8">
              <w:rPr>
                <w:rFonts w:ascii="Garamond" w:hAnsi="Garamond"/>
                <w:b/>
                <w:bCs/>
                <w:lang w:val="en-AU"/>
              </w:rPr>
              <w:t>intramuscular injection</w:t>
            </w:r>
            <w:r w:rsidRPr="00B577F8">
              <w:rPr>
                <w:rFonts w:ascii="Garamond" w:hAnsi="Garamond"/>
                <w:lang w:val="en-AU"/>
              </w:rPr>
              <w:t xml:space="preserve"> on the occurrence of adverse effects in adults: a systematic review protocol (Marluce Rodrigues Godinho, Fábio da Costa Carbogim, Angélica da Conceição Oliveira Coelho, Gabriela Do Nascimento Martins de Araujo, Amanda Damasceno de Souza, Helen Vaz da Silva Gomes, Alice Maria Das Graças de Sousa, Herlander Jesus Borges Tomás Rodrigues, Kelli Borges Dos Santos, Rui Pedro Gomes Pereira</w:t>
            </w:r>
            <w:r>
              <w:rPr>
                <w:rFonts w:ascii="Garamond" w:hAnsi="Garamond"/>
                <w:lang w:val="en-AU"/>
              </w:rPr>
              <w:t>)</w:t>
            </w:r>
          </w:p>
          <w:p w14:paraId="54A0BD29" w14:textId="185D4475" w:rsidR="00B577F8" w:rsidRPr="00B577F8" w:rsidRDefault="00B577F8" w:rsidP="00FE63D5">
            <w:pPr>
              <w:pStyle w:val="ListParagraph"/>
              <w:numPr>
                <w:ilvl w:val="0"/>
                <w:numId w:val="18"/>
              </w:numPr>
              <w:rPr>
                <w:rFonts w:ascii="Garamond" w:hAnsi="Garamond"/>
                <w:lang w:val="en-AU"/>
              </w:rPr>
            </w:pPr>
            <w:r w:rsidRPr="00B577F8">
              <w:rPr>
                <w:rFonts w:ascii="Garamond" w:hAnsi="Garamond"/>
                <w:lang w:val="en-AU"/>
              </w:rPr>
              <w:t xml:space="preserve">Fathers’ </w:t>
            </w:r>
            <w:r w:rsidRPr="00B577F8">
              <w:rPr>
                <w:rFonts w:ascii="Garamond" w:hAnsi="Garamond"/>
                <w:b/>
                <w:bCs/>
                <w:lang w:val="en-AU"/>
              </w:rPr>
              <w:t>lived experiences of fatherhood</w:t>
            </w:r>
            <w:r w:rsidRPr="00B577F8">
              <w:rPr>
                <w:rFonts w:ascii="Garamond" w:hAnsi="Garamond"/>
                <w:lang w:val="en-AU"/>
              </w:rPr>
              <w:t xml:space="preserve"> during the child’s first 1000 days: a qualitative systematic review protocol (Telma Vidinha, Diana Santos, Daniela Pinto, Filipa Margarida Duque, Daniela Cardoso, Ana Filipa Cardoso, Maria José Magalhães, Tatiana Moura, Maria Neto</w:t>
            </w:r>
            <w:r>
              <w:rPr>
                <w:rFonts w:ascii="Garamond" w:hAnsi="Garamond"/>
                <w:lang w:val="en-AU"/>
              </w:rPr>
              <w:t>)</w:t>
            </w:r>
          </w:p>
          <w:p w14:paraId="71FF76BC" w14:textId="645F5B2C" w:rsidR="00B577F8" w:rsidRPr="00B577F8" w:rsidRDefault="00B577F8" w:rsidP="00385865">
            <w:pPr>
              <w:pStyle w:val="ListParagraph"/>
              <w:numPr>
                <w:ilvl w:val="0"/>
                <w:numId w:val="18"/>
              </w:numPr>
              <w:rPr>
                <w:rFonts w:ascii="Garamond" w:hAnsi="Garamond"/>
                <w:lang w:val="en-AU"/>
              </w:rPr>
            </w:pPr>
            <w:r w:rsidRPr="00B577F8">
              <w:rPr>
                <w:rFonts w:ascii="Garamond" w:hAnsi="Garamond"/>
                <w:lang w:val="en-AU"/>
              </w:rPr>
              <w:t xml:space="preserve">Online peer-to-peer health communities for individuals affected by </w:t>
            </w:r>
            <w:r w:rsidRPr="00B577F8">
              <w:rPr>
                <w:rFonts w:ascii="Garamond" w:hAnsi="Garamond"/>
                <w:b/>
                <w:bCs/>
                <w:lang w:val="en-AU"/>
              </w:rPr>
              <w:t>chronic kidney disease</w:t>
            </w:r>
            <w:r w:rsidRPr="00B577F8">
              <w:rPr>
                <w:rFonts w:ascii="Garamond" w:hAnsi="Garamond"/>
                <w:lang w:val="en-AU"/>
              </w:rPr>
              <w:t>: a scoping review protocol (Neil Coulson, Sarah Beach, Heather Buchanan</w:t>
            </w:r>
            <w:r>
              <w:rPr>
                <w:rFonts w:ascii="Garamond" w:hAnsi="Garamond"/>
                <w:lang w:val="en-AU"/>
              </w:rPr>
              <w:t>)</w:t>
            </w:r>
          </w:p>
          <w:p w14:paraId="39185BCD" w14:textId="17BE1E33" w:rsidR="00B577F8" w:rsidRPr="00B577F8" w:rsidRDefault="00B577F8" w:rsidP="002B4AF5">
            <w:pPr>
              <w:pStyle w:val="ListParagraph"/>
              <w:numPr>
                <w:ilvl w:val="0"/>
                <w:numId w:val="18"/>
              </w:numPr>
              <w:rPr>
                <w:rFonts w:ascii="Garamond" w:hAnsi="Garamond"/>
                <w:lang w:val="en-AU"/>
              </w:rPr>
            </w:pPr>
            <w:r w:rsidRPr="00B577F8">
              <w:rPr>
                <w:rFonts w:ascii="Garamond" w:hAnsi="Garamond"/>
                <w:lang w:val="en-AU"/>
              </w:rPr>
              <w:t>Characteristics of a</w:t>
            </w:r>
            <w:r w:rsidRPr="00B577F8">
              <w:rPr>
                <w:rFonts w:ascii="Garamond" w:hAnsi="Garamond"/>
                <w:b/>
                <w:bCs/>
                <w:lang w:val="en-AU"/>
              </w:rPr>
              <w:t>dvanced practice nurses’ clinical competence</w:t>
            </w:r>
            <w:r w:rsidRPr="00B577F8">
              <w:rPr>
                <w:rFonts w:ascii="Garamond" w:hAnsi="Garamond"/>
                <w:lang w:val="en-AU"/>
              </w:rPr>
              <w:t xml:space="preserve"> in primary health care settings: a scoping review protocol (Bernardita Troncoso-Valenzuela, Diná de Almeida Lopes Monteiro da Cruz, Natalia Quiroga Toledo)</w:t>
            </w:r>
          </w:p>
          <w:p w14:paraId="231E6BCF" w14:textId="2827AE88" w:rsidR="00B577F8" w:rsidRPr="00B577F8" w:rsidRDefault="00B577F8" w:rsidP="00E74B6B">
            <w:pPr>
              <w:pStyle w:val="ListParagraph"/>
              <w:numPr>
                <w:ilvl w:val="0"/>
                <w:numId w:val="18"/>
              </w:numPr>
              <w:rPr>
                <w:rFonts w:ascii="Garamond" w:hAnsi="Garamond"/>
                <w:lang w:val="en-AU"/>
              </w:rPr>
            </w:pPr>
            <w:r w:rsidRPr="00B577F8">
              <w:rPr>
                <w:rFonts w:ascii="Garamond" w:hAnsi="Garamond"/>
                <w:b/>
                <w:bCs/>
                <w:lang w:val="en-AU"/>
              </w:rPr>
              <w:t>Growth curve models</w:t>
            </w:r>
            <w:r w:rsidRPr="00B577F8">
              <w:rPr>
                <w:rFonts w:ascii="Garamond" w:hAnsi="Garamond"/>
                <w:lang w:val="en-AU"/>
              </w:rPr>
              <w:t xml:space="preserve"> for weight among infants: a scoping review protocol (Marta Alves, Sofia Serra, Teresa Costa, Carlos Brás-Geraldes, Ana Luisa Papoila, Bruno Heleno)</w:t>
            </w:r>
          </w:p>
          <w:p w14:paraId="7D2B289F" w14:textId="4CB47110" w:rsidR="00B577F8" w:rsidRDefault="00B577F8" w:rsidP="00B577F8">
            <w:pPr>
              <w:pStyle w:val="ListParagraph"/>
              <w:numPr>
                <w:ilvl w:val="0"/>
                <w:numId w:val="18"/>
              </w:numPr>
              <w:rPr>
                <w:rFonts w:ascii="Garamond" w:hAnsi="Garamond"/>
                <w:lang w:val="en-AU"/>
              </w:rPr>
            </w:pPr>
            <w:r w:rsidRPr="00B577F8">
              <w:rPr>
                <w:rFonts w:ascii="Garamond" w:hAnsi="Garamond"/>
                <w:lang w:val="en-AU"/>
              </w:rPr>
              <w:t xml:space="preserve">Children’s involvement in the development and evaluation of </w:t>
            </w:r>
            <w:r w:rsidRPr="00B577F8">
              <w:rPr>
                <w:rFonts w:ascii="Garamond" w:hAnsi="Garamond"/>
                <w:b/>
                <w:bCs/>
                <w:lang w:val="en-AU"/>
              </w:rPr>
              <w:t>parent-focused mental health interventions</w:t>
            </w:r>
            <w:r w:rsidRPr="00B577F8">
              <w:rPr>
                <w:rFonts w:ascii="Garamond" w:hAnsi="Garamond"/>
                <w:lang w:val="en-AU"/>
              </w:rPr>
              <w:t>: a scoping review protocol (Rebecca Nowland, Danielle L. Christian, Georgia Aspinall, Kathryn Berzins, Sundus Khalid, Shalini Ahuja, Lucy Gallagher, Brioney Gee, Ella Mickleburgh, Blossom Fernandes, Afra Kelsall, Becca Randell, Daniel Michelson)</w:t>
            </w:r>
          </w:p>
        </w:tc>
      </w:tr>
    </w:tbl>
    <w:p w14:paraId="1F53CD3A" w14:textId="77777777" w:rsidR="00B577F8" w:rsidRPr="00A72B35" w:rsidRDefault="00B577F8" w:rsidP="00353140">
      <w:pPr>
        <w:keepLines/>
        <w:autoSpaceDE w:val="0"/>
        <w:autoSpaceDN w:val="0"/>
        <w:adjustRightInd w:val="0"/>
        <w:rPr>
          <w:rFonts w:ascii="Garamond" w:hAnsi="Garamond"/>
          <w:lang w:val="en-AU"/>
        </w:rPr>
      </w:pPr>
    </w:p>
    <w:p w14:paraId="31A22402" w14:textId="77777777" w:rsidR="00F9255C" w:rsidRPr="00A72B35" w:rsidRDefault="00F9255C" w:rsidP="00F9255C">
      <w:pPr>
        <w:keepNext/>
        <w:rPr>
          <w:rFonts w:ascii="Garamond" w:hAnsi="Garamond"/>
          <w:lang w:val="en-AU"/>
        </w:rPr>
      </w:pPr>
      <w:r w:rsidRPr="00A72B35">
        <w:rPr>
          <w:rFonts w:ascii="Garamond" w:hAnsi="Garamond"/>
          <w:i/>
          <w:lang w:val="en-AU"/>
        </w:rPr>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rsidP="007F7A70">
            <w:pPr>
              <w:keepNext/>
              <w:rPr>
                <w:rFonts w:ascii="Garamond" w:hAnsi="Garamond"/>
                <w:lang w:val="en-AU"/>
              </w:rPr>
            </w:pPr>
            <w:hyperlink r:id="rId21" w:history="1">
              <w:r w:rsidRPr="00A72B35">
                <w:rPr>
                  <w:rStyle w:val="Hyperlink"/>
                  <w:rFonts w:ascii="Garamond" w:hAnsi="Garamond"/>
                  <w:lang w:val="en-AU"/>
                </w:rPr>
                <w:t>https://qualitysafety.bmj.com/content/early/recent</w:t>
              </w:r>
            </w:hyperlink>
          </w:p>
        </w:tc>
      </w:tr>
      <w:tr w:rsidR="00F9255C" w:rsidRPr="00A72B35"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rsidP="007F7A70">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0413347A" w14:textId="3FE29F28" w:rsidR="0024560C" w:rsidRPr="0024560C" w:rsidRDefault="0024560C" w:rsidP="00DE0465">
            <w:pPr>
              <w:pStyle w:val="ListParagraph"/>
              <w:numPr>
                <w:ilvl w:val="0"/>
                <w:numId w:val="16"/>
              </w:numPr>
              <w:rPr>
                <w:rFonts w:ascii="Garamond" w:hAnsi="Garamond"/>
                <w:lang w:val="en-AU"/>
              </w:rPr>
            </w:pPr>
            <w:r w:rsidRPr="0024560C">
              <w:rPr>
                <w:rFonts w:ascii="Garamond" w:hAnsi="Garamond"/>
                <w:lang w:val="en-AU"/>
              </w:rPr>
              <w:t xml:space="preserve">Problem with the existing </w:t>
            </w:r>
            <w:r w:rsidRPr="0024560C">
              <w:rPr>
                <w:rFonts w:ascii="Garamond" w:hAnsi="Garamond"/>
                <w:b/>
                <w:bCs/>
                <w:lang w:val="en-AU"/>
              </w:rPr>
              <w:t>reporting standards for adverse event and medical error research</w:t>
            </w:r>
            <w:r w:rsidRPr="0024560C">
              <w:rPr>
                <w:rFonts w:ascii="Garamond" w:hAnsi="Garamond"/>
                <w:lang w:val="en-AU"/>
              </w:rPr>
              <w:t xml:space="preserve"> (Christopher R Carpenter, Richard T. Griffey, Anne W S Rutjes, Maria Unbeck, Lee M Adler, David C Stockwell, David Classen SESAME Statement Development Team</w:t>
            </w:r>
            <w:r>
              <w:rPr>
                <w:rFonts w:ascii="Garamond" w:hAnsi="Garamond"/>
                <w:lang w:val="en-AU"/>
              </w:rPr>
              <w:t>)</w:t>
            </w:r>
          </w:p>
          <w:p w14:paraId="2F15730C" w14:textId="4493817C" w:rsidR="000B683D" w:rsidRPr="00A72B35" w:rsidRDefault="0024560C" w:rsidP="00EF7368">
            <w:pPr>
              <w:pStyle w:val="ListParagraph"/>
              <w:numPr>
                <w:ilvl w:val="0"/>
                <w:numId w:val="16"/>
              </w:numPr>
              <w:rPr>
                <w:rFonts w:ascii="Garamond" w:hAnsi="Garamond"/>
                <w:lang w:val="en-AU"/>
              </w:rPr>
            </w:pPr>
            <w:r w:rsidRPr="0024560C">
              <w:rPr>
                <w:rFonts w:ascii="Garamond" w:hAnsi="Garamond"/>
                <w:b/>
                <w:bCs/>
                <w:lang w:val="en-AU"/>
              </w:rPr>
              <w:t>Investigators are human too</w:t>
            </w:r>
            <w:r w:rsidRPr="0024560C">
              <w:rPr>
                <w:rFonts w:ascii="Garamond" w:hAnsi="Garamond"/>
                <w:lang w:val="en-AU"/>
              </w:rPr>
              <w:t>: outcome bias and perceptions of individual culpability in patient safety incident investigations (William Lea, Luke Budworth, Jane O'Hara, Charles Vincent, Rebecca Lawton</w:t>
            </w:r>
            <w:r>
              <w:rPr>
                <w:rFonts w:ascii="Garamond" w:hAnsi="Garamond"/>
                <w:lang w:val="en-AU"/>
              </w:rPr>
              <w:t>)</w:t>
            </w:r>
          </w:p>
        </w:tc>
      </w:tr>
    </w:tbl>
    <w:p w14:paraId="33F1CFEB" w14:textId="77777777" w:rsidR="00F9255C" w:rsidRPr="00A72B35" w:rsidRDefault="00F9255C" w:rsidP="00F9255C">
      <w:pPr>
        <w:keepLines/>
        <w:autoSpaceDE w:val="0"/>
        <w:autoSpaceDN w:val="0"/>
        <w:adjustRightInd w:val="0"/>
        <w:rPr>
          <w:rFonts w:ascii="Garamond" w:hAnsi="Garamond"/>
          <w:i/>
          <w:lang w:val="en-AU"/>
        </w:rPr>
      </w:pPr>
    </w:p>
    <w:p w14:paraId="5EC24A94" w14:textId="77777777" w:rsidR="00F9255C" w:rsidRPr="00A72B35" w:rsidRDefault="00F9255C" w:rsidP="00F9255C">
      <w:pPr>
        <w:keepNext/>
        <w:rPr>
          <w:rFonts w:ascii="Garamond" w:hAnsi="Garamond"/>
          <w:lang w:val="en-AU"/>
        </w:rPr>
      </w:pPr>
      <w:r w:rsidRPr="00A72B35">
        <w:rPr>
          <w:rFonts w:ascii="Garamond" w:hAnsi="Garamond"/>
          <w:i/>
          <w:lang w:val="en-AU"/>
        </w:rPr>
        <w:t xml:space="preserve">International Journal for Quality in Health Care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A72B35"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A72B35" w:rsidRDefault="00F9255C" w:rsidP="007F7A70">
            <w:pPr>
              <w:keepNext/>
              <w:rPr>
                <w:rFonts w:ascii="Garamond" w:hAnsi="Garamond"/>
                <w:lang w:val="en-AU"/>
              </w:rPr>
            </w:pPr>
            <w:hyperlink r:id="rId22" w:history="1">
              <w:r w:rsidRPr="00A72B35">
                <w:rPr>
                  <w:rStyle w:val="Hyperlink"/>
                  <w:rFonts w:ascii="Garamond" w:hAnsi="Garamond"/>
                  <w:lang w:val="en-AU"/>
                </w:rPr>
                <w:t>https://academic.oup.com/intqhc/advance-articles</w:t>
              </w:r>
            </w:hyperlink>
          </w:p>
        </w:tc>
      </w:tr>
      <w:tr w:rsidR="00F9255C" w:rsidRPr="00A72B35"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Pr="00A72B35" w:rsidRDefault="00F9255C" w:rsidP="007F7A70">
            <w:pPr>
              <w:rPr>
                <w:rFonts w:ascii="Garamond" w:hAnsi="Garamond"/>
                <w:lang w:val="en-AU"/>
              </w:rPr>
            </w:pPr>
            <w:r w:rsidRPr="00A72B35">
              <w:rPr>
                <w:rFonts w:ascii="Garamond" w:hAnsi="Garamond"/>
                <w:i/>
                <w:iCs/>
                <w:lang w:val="en-AU"/>
              </w:rPr>
              <w:t>International Journal for Quality in Health Care</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16DD043C" w14:textId="77777777" w:rsidR="006E78E0" w:rsidRDefault="006E78E0" w:rsidP="00950673">
            <w:pPr>
              <w:pStyle w:val="ListParagraph"/>
              <w:numPr>
                <w:ilvl w:val="0"/>
                <w:numId w:val="16"/>
              </w:numPr>
              <w:rPr>
                <w:rFonts w:ascii="Garamond" w:hAnsi="Garamond"/>
                <w:lang w:val="en-AU"/>
              </w:rPr>
            </w:pPr>
            <w:r w:rsidRPr="006E78E0">
              <w:rPr>
                <w:rFonts w:ascii="Garamond" w:hAnsi="Garamond"/>
                <w:b/>
                <w:bCs/>
                <w:lang w:val="en-AU"/>
              </w:rPr>
              <w:t>Indirect Effects of the COVID-19 Pandemic</w:t>
            </w:r>
            <w:r w:rsidRPr="006E78E0">
              <w:rPr>
                <w:rFonts w:ascii="Garamond" w:hAnsi="Garamond"/>
                <w:lang w:val="en-AU"/>
              </w:rPr>
              <w:t xml:space="preserve"> on Healthcare Contacts, Quality of Care, and Social Disparities Across Essential Healthcare Domains (Søren Valgreen Knudsen </w:t>
            </w:r>
            <w:r>
              <w:rPr>
                <w:rFonts w:ascii="Garamond" w:hAnsi="Garamond"/>
                <w:lang w:val="en-AU"/>
              </w:rPr>
              <w:t>et al)</w:t>
            </w:r>
          </w:p>
          <w:p w14:paraId="577FFB11" w14:textId="14436BA2" w:rsidR="006E78E0" w:rsidRPr="006E78E0" w:rsidRDefault="006E78E0" w:rsidP="00F948B4">
            <w:pPr>
              <w:pStyle w:val="ListParagraph"/>
              <w:numPr>
                <w:ilvl w:val="0"/>
                <w:numId w:val="16"/>
              </w:numPr>
              <w:rPr>
                <w:rFonts w:ascii="Garamond" w:hAnsi="Garamond"/>
                <w:lang w:val="en-AU"/>
              </w:rPr>
            </w:pPr>
            <w:r w:rsidRPr="006E78E0">
              <w:rPr>
                <w:rFonts w:ascii="Garamond" w:hAnsi="Garamond"/>
                <w:lang w:val="en-AU"/>
              </w:rPr>
              <w:lastRenderedPageBreak/>
              <w:t xml:space="preserve">Applying the </w:t>
            </w:r>
            <w:r w:rsidRPr="006E78E0">
              <w:rPr>
                <w:rFonts w:ascii="Garamond" w:hAnsi="Garamond"/>
                <w:b/>
                <w:bCs/>
                <w:lang w:val="en-AU"/>
              </w:rPr>
              <w:t>Human Factors Analysis and Classification System (HFACS) within Root Cause Analysis (RCA)</w:t>
            </w:r>
            <w:r w:rsidRPr="006E78E0">
              <w:rPr>
                <w:rFonts w:ascii="Garamond" w:hAnsi="Garamond"/>
                <w:lang w:val="en-AU"/>
              </w:rPr>
              <w:t xml:space="preserve"> to Prevent Medical Errors and Enhancing Patient Safety Culture: Insights from a Medical Center </w:t>
            </w:r>
            <w:r>
              <w:rPr>
                <w:rFonts w:ascii="Garamond" w:hAnsi="Garamond"/>
                <w:lang w:val="en-AU"/>
              </w:rPr>
              <w:t>(</w:t>
            </w:r>
            <w:r w:rsidRPr="006E78E0">
              <w:rPr>
                <w:rFonts w:ascii="Garamond" w:hAnsi="Garamond"/>
                <w:lang w:val="en-AU"/>
              </w:rPr>
              <w:t xml:space="preserve">Jiun-Yih Lee </w:t>
            </w:r>
            <w:r>
              <w:rPr>
                <w:rFonts w:ascii="Garamond" w:hAnsi="Garamond"/>
                <w:lang w:val="en-AU"/>
              </w:rPr>
              <w:t>et al)</w:t>
            </w:r>
          </w:p>
          <w:p w14:paraId="4020DA4D" w14:textId="04A20AAB" w:rsidR="00EC601F" w:rsidRPr="00A72B35" w:rsidRDefault="008C4B11" w:rsidP="00E2038D">
            <w:pPr>
              <w:pStyle w:val="ListParagraph"/>
              <w:numPr>
                <w:ilvl w:val="0"/>
                <w:numId w:val="16"/>
              </w:numPr>
              <w:rPr>
                <w:rFonts w:ascii="Garamond" w:hAnsi="Garamond"/>
                <w:lang w:val="en-AU"/>
              </w:rPr>
            </w:pPr>
            <w:r>
              <w:rPr>
                <w:rFonts w:ascii="Garamond" w:hAnsi="Garamond"/>
                <w:lang w:val="en-AU"/>
              </w:rPr>
              <w:t xml:space="preserve">Factors associated with harm in reported patient safety incidents and characteristics during </w:t>
            </w:r>
            <w:r w:rsidRPr="008C4B11">
              <w:rPr>
                <w:rFonts w:ascii="Garamond" w:hAnsi="Garamond"/>
                <w:b/>
                <w:bCs/>
                <w:lang w:val="en-AU"/>
              </w:rPr>
              <w:t>health screenings</w:t>
            </w:r>
            <w:r>
              <w:rPr>
                <w:rFonts w:ascii="Garamond" w:hAnsi="Garamond"/>
                <w:lang w:val="en-AU"/>
              </w:rPr>
              <w:t xml:space="preserve"> in Korea: a secondary data analysis (Jeongin Choe and Kyungmi Woo)</w:t>
            </w:r>
          </w:p>
        </w:tc>
      </w:tr>
    </w:tbl>
    <w:p w14:paraId="71F30B2F" w14:textId="77777777" w:rsidR="00E24A43" w:rsidRPr="00A72B35" w:rsidRDefault="00E24A43" w:rsidP="00C62C05">
      <w:pPr>
        <w:keepLines/>
        <w:autoSpaceDE w:val="0"/>
        <w:autoSpaceDN w:val="0"/>
        <w:adjustRightInd w:val="0"/>
        <w:rPr>
          <w:rFonts w:ascii="Garamond" w:hAnsi="Garamond"/>
          <w:lang w:val="en-AU"/>
        </w:rPr>
      </w:pPr>
    </w:p>
    <w:p w14:paraId="215605E9" w14:textId="77777777" w:rsidR="008528C8" w:rsidRPr="00A72B35" w:rsidRDefault="008528C8" w:rsidP="00C62C05">
      <w:pPr>
        <w:keepLines/>
        <w:autoSpaceDE w:val="0"/>
        <w:autoSpaceDN w:val="0"/>
        <w:adjustRightInd w:val="0"/>
        <w:rPr>
          <w:rFonts w:ascii="Garamond" w:hAnsi="Garamond"/>
          <w:lang w:val="en-AU"/>
        </w:rPr>
      </w:pPr>
    </w:p>
    <w:p w14:paraId="77461BD6" w14:textId="77777777" w:rsidR="008528C8" w:rsidRPr="00A72B35" w:rsidRDefault="008528C8" w:rsidP="00C62C05">
      <w:pPr>
        <w:keepLines/>
        <w:autoSpaceDE w:val="0"/>
        <w:autoSpaceDN w:val="0"/>
        <w:adjustRightInd w:val="0"/>
        <w:rPr>
          <w:rFonts w:ascii="Garamond" w:hAnsi="Garamond"/>
          <w:lang w:val="en-AU"/>
        </w:rPr>
      </w:pPr>
    </w:p>
    <w:p w14:paraId="536302D7" w14:textId="51D506DE" w:rsidR="005C6930" w:rsidRPr="00A72B35" w:rsidRDefault="005C6930" w:rsidP="005C6930">
      <w:pPr>
        <w:keepNext/>
        <w:keepLines/>
        <w:rPr>
          <w:rFonts w:ascii="Garamond" w:hAnsi="Garamond"/>
          <w:b/>
          <w:lang w:val="en-AU"/>
        </w:rPr>
      </w:pPr>
      <w:r w:rsidRPr="00A72B35">
        <w:rPr>
          <w:rFonts w:ascii="Garamond" w:hAnsi="Garamond"/>
          <w:b/>
          <w:lang w:val="en-AU"/>
        </w:rPr>
        <w:t>Online resources</w:t>
      </w:r>
    </w:p>
    <w:p w14:paraId="6A6500D8" w14:textId="588E9649" w:rsidR="006C3151" w:rsidRDefault="006C3151"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23" w:history="1">
        <w:r w:rsidRPr="00A72B35">
          <w:rPr>
            <w:rStyle w:val="Hyperlink"/>
            <w:rFonts w:ascii="Garamond" w:hAnsi="Garamond"/>
            <w:lang w:val="en-AU"/>
          </w:rPr>
          <w:t>https://livingevidence.org.au/</w:t>
        </w:r>
      </w:hyperlink>
    </w:p>
    <w:p w14:paraId="3EA7ABCE" w14:textId="77777777" w:rsidR="002A33AF" w:rsidRDefault="002A33AF" w:rsidP="00F9255C">
      <w:pPr>
        <w:keepNext/>
        <w:rPr>
          <w:rFonts w:ascii="Garamond" w:hAnsi="Garamond"/>
          <w:iCs/>
          <w:lang w:val="en-AU"/>
        </w:rPr>
      </w:pPr>
    </w:p>
    <w:p w14:paraId="6B0984E4" w14:textId="692F86EA" w:rsidR="00EF7368" w:rsidRDefault="008E76A8" w:rsidP="00F9255C">
      <w:pPr>
        <w:keepNext/>
        <w:rPr>
          <w:rFonts w:ascii="Garamond" w:hAnsi="Garamond"/>
          <w:b/>
          <w:bCs/>
          <w:i/>
          <w:lang w:val="en-AU"/>
        </w:rPr>
      </w:pPr>
      <w:r>
        <w:rPr>
          <w:rFonts w:ascii="Garamond" w:hAnsi="Garamond"/>
          <w:b/>
          <w:bCs/>
          <w:i/>
          <w:lang w:val="en-AU"/>
        </w:rPr>
        <w:t>Guidance</w:t>
      </w:r>
    </w:p>
    <w:p w14:paraId="3F814C95" w14:textId="2958F159" w:rsidR="008E76A8" w:rsidRPr="008E76A8" w:rsidRDefault="008E76A8" w:rsidP="00F9255C">
      <w:pPr>
        <w:keepNext/>
        <w:rPr>
          <w:rFonts w:ascii="Garamond" w:hAnsi="Garamond"/>
          <w:iCs/>
          <w:lang w:val="en-AU"/>
        </w:rPr>
      </w:pPr>
      <w:proofErr w:type="gramStart"/>
      <w:r w:rsidRPr="008E76A8">
        <w:rPr>
          <w:rFonts w:ascii="Garamond" w:hAnsi="Garamond"/>
          <w:iCs/>
          <w:lang w:val="en-AU"/>
        </w:rPr>
        <w:t>A number of</w:t>
      </w:r>
      <w:proofErr w:type="gramEnd"/>
      <w:r w:rsidRPr="008E76A8">
        <w:rPr>
          <w:rFonts w:ascii="Garamond" w:hAnsi="Garamond"/>
          <w:iCs/>
          <w:lang w:val="en-AU"/>
        </w:rPr>
        <w:t xml:space="preserve"> guidelines </w:t>
      </w:r>
      <w:r>
        <w:rPr>
          <w:rFonts w:ascii="Garamond" w:hAnsi="Garamond"/>
          <w:iCs/>
          <w:lang w:val="en-AU"/>
        </w:rPr>
        <w:t>or guidance have recently been published or updated. These include:</w:t>
      </w:r>
    </w:p>
    <w:p w14:paraId="451D6FA0" w14:textId="64AD6079" w:rsidR="008E76A8" w:rsidRPr="008E76A8" w:rsidRDefault="008E76A8" w:rsidP="008E76A8">
      <w:pPr>
        <w:pStyle w:val="ListParagraph"/>
        <w:keepNext/>
        <w:numPr>
          <w:ilvl w:val="0"/>
          <w:numId w:val="38"/>
        </w:numPr>
        <w:rPr>
          <w:rFonts w:ascii="Garamond" w:hAnsi="Garamond"/>
          <w:iCs/>
          <w:lang w:val="en-AU"/>
        </w:rPr>
      </w:pPr>
      <w:r w:rsidRPr="008E76A8">
        <w:rPr>
          <w:rFonts w:ascii="Garamond" w:hAnsi="Garamond"/>
          <w:i/>
          <w:lang w:val="en-AU"/>
        </w:rPr>
        <w:t>Australian and New Zealand Living Clinical Guidelines for Stroke Management</w:t>
      </w:r>
      <w:r w:rsidRPr="008E76A8">
        <w:rPr>
          <w:rFonts w:ascii="Garamond" w:hAnsi="Garamond"/>
          <w:iCs/>
          <w:lang w:val="en-AU"/>
        </w:rPr>
        <w:t xml:space="preserve"> </w:t>
      </w:r>
      <w:hyperlink r:id="rId24" w:history="1">
        <w:r w:rsidR="006424F9" w:rsidRPr="005B3705">
          <w:rPr>
            <w:rStyle w:val="Hyperlink"/>
            <w:rFonts w:ascii="Garamond" w:hAnsi="Garamond"/>
            <w:iCs/>
            <w:lang w:val="en-AU"/>
          </w:rPr>
          <w:t>https://informme.org.au/guidelines/living-clinical-guidelines-for-stroke-management</w:t>
        </w:r>
      </w:hyperlink>
    </w:p>
    <w:p w14:paraId="6D7E8D43" w14:textId="642B2CEF" w:rsidR="008E76A8" w:rsidRPr="008E76A8" w:rsidRDefault="008E76A8" w:rsidP="00EA5D24">
      <w:pPr>
        <w:pStyle w:val="ListParagraph"/>
        <w:keepNext/>
        <w:numPr>
          <w:ilvl w:val="0"/>
          <w:numId w:val="38"/>
        </w:numPr>
        <w:rPr>
          <w:rFonts w:ascii="Garamond" w:hAnsi="Garamond"/>
          <w:i/>
          <w:lang w:val="en-AU"/>
        </w:rPr>
      </w:pPr>
      <w:r w:rsidRPr="008E76A8">
        <w:rPr>
          <w:rFonts w:ascii="Garamond" w:hAnsi="Garamond"/>
          <w:i/>
          <w:lang w:val="en-AU"/>
        </w:rPr>
        <w:t xml:space="preserve">Australian Pregnancy Care Guidelines </w:t>
      </w:r>
      <w:hyperlink r:id="rId25" w:anchor="/guideline/9584" w:history="1">
        <w:r w:rsidR="006424F9" w:rsidRPr="005B3705">
          <w:rPr>
            <w:rStyle w:val="Hyperlink"/>
            <w:rFonts w:ascii="Garamond" w:hAnsi="Garamond"/>
            <w:iCs/>
            <w:lang w:val="en-AU"/>
          </w:rPr>
          <w:t>https://app.magicapp.org/#/guideline/9584</w:t>
        </w:r>
      </w:hyperlink>
    </w:p>
    <w:p w14:paraId="360DFF19" w14:textId="03402ABC" w:rsidR="008E76A8" w:rsidRPr="008E76A8" w:rsidRDefault="008E76A8" w:rsidP="00EA5D24">
      <w:pPr>
        <w:pStyle w:val="ListParagraph"/>
        <w:keepNext/>
        <w:numPr>
          <w:ilvl w:val="0"/>
          <w:numId w:val="38"/>
        </w:numPr>
        <w:rPr>
          <w:rFonts w:ascii="Garamond" w:hAnsi="Garamond"/>
          <w:i/>
          <w:lang w:val="en-AU"/>
        </w:rPr>
      </w:pPr>
      <w:r w:rsidRPr="008E76A8">
        <w:rPr>
          <w:rFonts w:ascii="Garamond" w:hAnsi="Garamond"/>
          <w:i/>
          <w:lang w:val="en-AU"/>
        </w:rPr>
        <w:t xml:space="preserve">Australian Postnatal Care Guidelines </w:t>
      </w:r>
      <w:hyperlink r:id="rId26" w:anchor="/guideline/9582" w:history="1">
        <w:r w:rsidR="006424F9" w:rsidRPr="006424F9">
          <w:rPr>
            <w:rStyle w:val="Hyperlink"/>
            <w:rFonts w:ascii="Garamond" w:hAnsi="Garamond"/>
            <w:iCs/>
            <w:lang w:val="en-AU"/>
          </w:rPr>
          <w:t>https://app.magicapp.org/#/guideline/9582</w:t>
        </w:r>
      </w:hyperlink>
    </w:p>
    <w:p w14:paraId="185C0F1E" w14:textId="12FE04E2" w:rsidR="00F477A8" w:rsidRPr="008E76A8" w:rsidRDefault="00F477A8" w:rsidP="008E76A8">
      <w:pPr>
        <w:pStyle w:val="ListParagraph"/>
        <w:keepNext/>
        <w:numPr>
          <w:ilvl w:val="0"/>
          <w:numId w:val="38"/>
        </w:numPr>
        <w:rPr>
          <w:rFonts w:ascii="Garamond" w:hAnsi="Garamond"/>
          <w:iCs/>
          <w:lang w:val="en-AU"/>
        </w:rPr>
      </w:pPr>
      <w:r w:rsidRPr="008E76A8">
        <w:rPr>
          <w:rFonts w:ascii="Garamond" w:hAnsi="Garamond"/>
          <w:i/>
          <w:lang w:val="en-AU"/>
        </w:rPr>
        <w:t>Consensus recommendations on multiple sclerosis management in Australia and New Zealand: part 1</w:t>
      </w:r>
      <w:r w:rsidR="008E76A8" w:rsidRPr="008E76A8">
        <w:rPr>
          <w:rFonts w:ascii="Garamond" w:hAnsi="Garamond"/>
          <w:i/>
          <w:lang w:val="en-AU"/>
        </w:rPr>
        <w:t xml:space="preserve"> </w:t>
      </w:r>
      <w:hyperlink r:id="rId27" w:history="1">
        <w:r w:rsidRPr="008E76A8">
          <w:rPr>
            <w:rStyle w:val="Hyperlink"/>
            <w:rFonts w:ascii="Garamond" w:hAnsi="Garamond"/>
            <w:iCs/>
            <w:lang w:val="en-AU"/>
          </w:rPr>
          <w:t>https://doi.org/10.5694/mja2.52578</w:t>
        </w:r>
      </w:hyperlink>
    </w:p>
    <w:p w14:paraId="53A7660E" w14:textId="77777777" w:rsidR="00F477A8" w:rsidRDefault="00F477A8" w:rsidP="00F9255C">
      <w:pPr>
        <w:keepNext/>
        <w:rPr>
          <w:rFonts w:ascii="Garamond" w:hAnsi="Garamond"/>
          <w:iCs/>
          <w:lang w:val="en-AU"/>
        </w:rPr>
      </w:pPr>
    </w:p>
    <w:p w14:paraId="69ABDB1C" w14:textId="77777777" w:rsidR="006E78E0" w:rsidRPr="00244C0A" w:rsidRDefault="006E78E0" w:rsidP="006E78E0">
      <w:pPr>
        <w:rPr>
          <w:rFonts w:ascii="Garamond" w:hAnsi="Garamond"/>
          <w:b/>
          <w:i/>
          <w:iCs/>
          <w:lang w:val="en-AU"/>
        </w:rPr>
      </w:pPr>
      <w:r w:rsidRPr="00244C0A">
        <w:rPr>
          <w:rFonts w:ascii="Garamond" w:hAnsi="Garamond"/>
          <w:b/>
          <w:i/>
          <w:iCs/>
          <w:lang w:val="en-AU"/>
        </w:rPr>
        <w:t>[USA] AHRQ PSNet Curated libraries</w:t>
      </w:r>
    </w:p>
    <w:p w14:paraId="0101A86D" w14:textId="77777777" w:rsidR="006E78E0" w:rsidRDefault="006E78E0" w:rsidP="006E78E0">
      <w:pPr>
        <w:rPr>
          <w:rFonts w:ascii="Garamond" w:hAnsi="Garamond"/>
          <w:bCs/>
          <w:lang w:val="en-AU"/>
        </w:rPr>
      </w:pPr>
      <w:hyperlink r:id="rId28" w:history="1">
        <w:r w:rsidRPr="00CA1240">
          <w:rPr>
            <w:rStyle w:val="Hyperlink"/>
            <w:rFonts w:ascii="Garamond" w:hAnsi="Garamond"/>
            <w:bCs/>
            <w:lang w:val="en-AU"/>
          </w:rPr>
          <w:t>https://psnet.ahrq.gov/curated-article-libraries</w:t>
        </w:r>
      </w:hyperlink>
    </w:p>
    <w:p w14:paraId="37A71C9D" w14:textId="77777777" w:rsidR="006E78E0" w:rsidRDefault="006E78E0" w:rsidP="006E78E0">
      <w:pPr>
        <w:rPr>
          <w:rFonts w:ascii="Garamond" w:hAnsi="Garamond"/>
          <w:lang w:val="en-AU"/>
        </w:rPr>
      </w:pPr>
      <w:r w:rsidRPr="000170DA">
        <w:rPr>
          <w:rFonts w:ascii="Garamond" w:hAnsi="Garamond"/>
          <w:lang w:val="en-AU"/>
        </w:rPr>
        <w:t>The US Agency for Healthcare Research and Quality (AHRQ)</w:t>
      </w:r>
      <w:r>
        <w:rPr>
          <w:rFonts w:ascii="Garamond" w:hAnsi="Garamond"/>
          <w:lang w:val="en-AU"/>
        </w:rPr>
        <w:t xml:space="preserve"> PSNet (Patient Safety Network) has created a number of ‘curated libraries’ on various topics. More recent additions include:</w:t>
      </w:r>
    </w:p>
    <w:p w14:paraId="296D3501" w14:textId="47E44A5D" w:rsidR="006E78E0" w:rsidRDefault="006E78E0" w:rsidP="006E78E0">
      <w:pPr>
        <w:pStyle w:val="ListParagraph"/>
        <w:numPr>
          <w:ilvl w:val="0"/>
          <w:numId w:val="17"/>
        </w:numPr>
        <w:rPr>
          <w:rFonts w:ascii="Garamond" w:hAnsi="Garamond"/>
          <w:bCs/>
          <w:lang w:val="en-AU"/>
        </w:rPr>
      </w:pPr>
      <w:r w:rsidRPr="006E78E0">
        <w:rPr>
          <w:rFonts w:ascii="Garamond" w:hAnsi="Garamond"/>
          <w:bCs/>
          <w:lang w:val="en-AU"/>
        </w:rPr>
        <w:t>National Pharmacist Day 2025 (9 articles)</w:t>
      </w:r>
    </w:p>
    <w:p w14:paraId="1EC71F9F" w14:textId="71D5E586" w:rsidR="006E78E0" w:rsidRDefault="006E78E0" w:rsidP="006E78E0">
      <w:pPr>
        <w:pStyle w:val="ListParagraph"/>
        <w:numPr>
          <w:ilvl w:val="0"/>
          <w:numId w:val="17"/>
        </w:numPr>
        <w:rPr>
          <w:rFonts w:ascii="Garamond" w:hAnsi="Garamond"/>
          <w:bCs/>
          <w:lang w:val="en-AU"/>
        </w:rPr>
      </w:pPr>
      <w:r w:rsidRPr="006E78E0">
        <w:rPr>
          <w:rFonts w:ascii="Garamond" w:hAnsi="Garamond"/>
          <w:bCs/>
          <w:lang w:val="en-AU"/>
        </w:rPr>
        <w:t>Patient as a Team Member in Clinical Care (19 articles)</w:t>
      </w:r>
    </w:p>
    <w:p w14:paraId="32402515" w14:textId="77777777" w:rsidR="006E78E0" w:rsidRDefault="006E78E0">
      <w:pPr>
        <w:rPr>
          <w:rFonts w:ascii="Garamond" w:hAnsi="Garamond"/>
          <w:b/>
          <w:lang w:val="en-AU"/>
        </w:rPr>
      </w:pPr>
    </w:p>
    <w:p w14:paraId="3CF3A154" w14:textId="5814D51A" w:rsidR="00EC601F" w:rsidRDefault="00EC601F">
      <w:pPr>
        <w:rPr>
          <w:rFonts w:ascii="Garamond" w:hAnsi="Garamond"/>
          <w:b/>
          <w:lang w:val="en-AU"/>
        </w:rPr>
      </w:pPr>
      <w:r>
        <w:rPr>
          <w:rFonts w:ascii="Garamond" w:hAnsi="Garamond"/>
          <w:b/>
          <w:lang w:val="en-AU"/>
        </w:rPr>
        <w:br w:type="page"/>
      </w:r>
    </w:p>
    <w:p w14:paraId="6F204B20" w14:textId="77777777" w:rsidR="00087550" w:rsidRPr="00A72B35" w:rsidRDefault="00087550" w:rsidP="00087550">
      <w:pPr>
        <w:keepNext/>
        <w:tabs>
          <w:tab w:val="left" w:pos="0"/>
        </w:tabs>
        <w:rPr>
          <w:rFonts w:ascii="Garamond" w:hAnsi="Garamond"/>
          <w:b/>
          <w:lang w:val="en-AU"/>
        </w:rPr>
      </w:pPr>
      <w:r>
        <w:rPr>
          <w:rFonts w:ascii="Garamond" w:hAnsi="Garamond"/>
          <w:b/>
          <w:lang w:val="en-AU"/>
        </w:rPr>
        <w:lastRenderedPageBreak/>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The Australian Commission on Safety and Quality in Health Care has developed a number of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29"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43607A7C">
            <wp:extent cx="5068389" cy="7151584"/>
            <wp:effectExtent l="0" t="0" r="0" b="0"/>
            <wp:docPr id="8" name="Picture 8" descr="COVID-19 poster - combined contact and droplet precaution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31"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4946590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32">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33"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34"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E70D5A7">
            <wp:extent cx="4722767" cy="6757191"/>
            <wp:effectExtent l="19050" t="19050" r="20955" b="24765"/>
            <wp:docPr id="1" name="Picture 1" descr="Break the chain of infection poste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2B5AEDD8"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37"/>
      <w:footerReference w:type="default" r:id="rId38"/>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3F9B" w14:textId="77777777" w:rsidR="00326A82" w:rsidRDefault="00326A82">
      <w:r>
        <w:separator/>
      </w:r>
    </w:p>
  </w:endnote>
  <w:endnote w:type="continuationSeparator" w:id="0">
    <w:p w14:paraId="112A7551" w14:textId="77777777" w:rsidR="00326A82" w:rsidRDefault="0032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0AE93355"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BE373A">
      <w:rPr>
        <w:rFonts w:ascii="Garamond" w:hAnsi="Garamond"/>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75B5F7B8"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BE373A">
      <w:rPr>
        <w:rFonts w:ascii="Garamond" w:hAnsi="Garamond"/>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F659" w14:textId="77777777" w:rsidR="00326A82" w:rsidRDefault="00326A82">
      <w:r>
        <w:separator/>
      </w:r>
    </w:p>
  </w:footnote>
  <w:footnote w:type="continuationSeparator" w:id="0">
    <w:p w14:paraId="5D0DABAF" w14:textId="77777777" w:rsidR="00326A82" w:rsidRDefault="00326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0"/>
  </w:num>
  <w:num w:numId="2" w16cid:durableId="1683386478">
    <w:abstractNumId w:val="30"/>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5"/>
  </w:num>
  <w:num w:numId="14" w16cid:durableId="28579523">
    <w:abstractNumId w:val="21"/>
  </w:num>
  <w:num w:numId="15" w16cid:durableId="1756245841">
    <w:abstractNumId w:val="24"/>
  </w:num>
  <w:num w:numId="16" w16cid:durableId="1878159678">
    <w:abstractNumId w:val="15"/>
  </w:num>
  <w:num w:numId="17" w16cid:durableId="1406414453">
    <w:abstractNumId w:val="19"/>
  </w:num>
  <w:num w:numId="18" w16cid:durableId="1376396157">
    <w:abstractNumId w:val="16"/>
  </w:num>
  <w:num w:numId="19" w16cid:durableId="1255164626">
    <w:abstractNumId w:val="14"/>
  </w:num>
  <w:num w:numId="20" w16cid:durableId="999193016">
    <w:abstractNumId w:val="29"/>
  </w:num>
  <w:num w:numId="21" w16cid:durableId="1537621405">
    <w:abstractNumId w:val="34"/>
  </w:num>
  <w:num w:numId="22" w16cid:durableId="37824898">
    <w:abstractNumId w:val="32"/>
  </w:num>
  <w:num w:numId="23" w16cid:durableId="1048650847">
    <w:abstractNumId w:val="11"/>
  </w:num>
  <w:num w:numId="24" w16cid:durableId="1693875927">
    <w:abstractNumId w:val="28"/>
  </w:num>
  <w:num w:numId="25" w16cid:durableId="1351640752">
    <w:abstractNumId w:val="36"/>
  </w:num>
  <w:num w:numId="26" w16cid:durableId="1228149564">
    <w:abstractNumId w:val="26"/>
  </w:num>
  <w:num w:numId="27" w16cid:durableId="1801922802">
    <w:abstractNumId w:val="35"/>
  </w:num>
  <w:num w:numId="28" w16cid:durableId="1713310128">
    <w:abstractNumId w:val="27"/>
  </w:num>
  <w:num w:numId="29" w16cid:durableId="2093894947">
    <w:abstractNumId w:val="37"/>
  </w:num>
  <w:num w:numId="30" w16cid:durableId="735475228">
    <w:abstractNumId w:val="31"/>
  </w:num>
  <w:num w:numId="31" w16cid:durableId="283344196">
    <w:abstractNumId w:val="13"/>
  </w:num>
  <w:num w:numId="32" w16cid:durableId="1384790002">
    <w:abstractNumId w:val="18"/>
  </w:num>
  <w:num w:numId="33" w16cid:durableId="1452749858">
    <w:abstractNumId w:val="22"/>
  </w:num>
  <w:num w:numId="34" w16cid:durableId="1330675483">
    <w:abstractNumId w:val="33"/>
  </w:num>
  <w:num w:numId="35" w16cid:durableId="1894923229">
    <w:abstractNumId w:val="23"/>
  </w:num>
  <w:num w:numId="36" w16cid:durableId="1830902966">
    <w:abstractNumId w:val="10"/>
  </w:num>
  <w:num w:numId="37" w16cid:durableId="1547838929">
    <w:abstractNumId w:val="12"/>
  </w:num>
  <w:num w:numId="38" w16cid:durableId="69589041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116"/>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557"/>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44"/>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A82"/>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468"/>
    <w:rsid w:val="003D660E"/>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486"/>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3B"/>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4F9"/>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8E0"/>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5FF6"/>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6A8"/>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A4"/>
    <w:rsid w:val="009D54D4"/>
    <w:rsid w:val="009D5532"/>
    <w:rsid w:val="009D55E6"/>
    <w:rsid w:val="009D5646"/>
    <w:rsid w:val="009D56C7"/>
    <w:rsid w:val="009D56F1"/>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06"/>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08"/>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7F8"/>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3A"/>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0D6"/>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5D33"/>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BAC"/>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68"/>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7A8"/>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6180"/>
    <w:rsid w:val="00FD6440"/>
    <w:rsid w:val="00FD66A8"/>
    <w:rsid w:val="00FD66AB"/>
    <w:rsid w:val="00FD67A1"/>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0941507">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74588692">
      <w:bodyDiv w:val="1"/>
      <w:marLeft w:val="0"/>
      <w:marRight w:val="0"/>
      <w:marTop w:val="0"/>
      <w:marBottom w:val="0"/>
      <w:divBdr>
        <w:top w:val="none" w:sz="0" w:space="0" w:color="auto"/>
        <w:left w:val="none" w:sz="0" w:space="0" w:color="auto"/>
        <w:bottom w:val="none" w:sz="0" w:space="0" w:color="auto"/>
        <w:right w:val="none" w:sz="0" w:space="0" w:color="auto"/>
      </w:divBdr>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717165471">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1602032481">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39860539">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doi.org/10.1001/jama.2025.1335" TargetMode="External"/><Relationship Id="rId26" Type="http://schemas.openxmlformats.org/officeDocument/2006/relationships/hyperlink" Target="https://app.magicapp.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qualitysafety.bmj.com/content/early/recent" TargetMode="External"/><Relationship Id="rId34" Type="http://schemas.openxmlformats.org/officeDocument/2006/relationships/hyperlink" Target="https://www.safetyandquality.gov.au/publications-and-resources/resource-library/break-chain-infection-poster" TargetMode="Externa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doi.org/10.1001/jama.2025.1331" TargetMode="External"/><Relationship Id="rId25" Type="http://schemas.openxmlformats.org/officeDocument/2006/relationships/hyperlink" Target="https://app.magicapp.org/" TargetMode="External"/><Relationship Id="rId33" Type="http://schemas.openxmlformats.org/officeDocument/2006/relationships/hyperlink" Target="http://www.safetyandquality.gov.au/environmental-cleanin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ihealthalliance.org/" TargetMode="External"/><Relationship Id="rId20" Type="http://schemas.openxmlformats.org/officeDocument/2006/relationships/hyperlink" Target="https://journals.lww.com/jbisrir/toc/2025/02000" TargetMode="External"/><Relationship Id="rId29" Type="http://schemas.openxmlformats.org/officeDocument/2006/relationships/hyperlink" Target="https://www.safetyandquality.gov.au/publications-and-resources/resource-library/infection-prevention-and-control-poster-combined-contact-and-drople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informme.org.au/guidelines/living-clinical-guidelines-for-stroke-management" TargetMode="External"/><Relationship Id="rId32" Type="http://schemas.openxmlformats.org/officeDocument/2006/relationships/image" Target="media/image3.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36/bmj-2024-081554" TargetMode="External"/><Relationship Id="rId23" Type="http://schemas.openxmlformats.org/officeDocument/2006/relationships/hyperlink" Target="https://livingevidence.org.au/" TargetMode="External"/><Relationship Id="rId28" Type="http://schemas.openxmlformats.org/officeDocument/2006/relationships/hyperlink" Target="https://psnet.ahrq.gov/curated-article-libraries" TargetMode="External"/><Relationship Id="rId36" Type="http://schemas.openxmlformats.org/officeDocument/2006/relationships/image" Target="media/image4.png"/><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2196/58161" TargetMode="External"/><Relationship Id="rId31" Type="http://schemas.openxmlformats.org/officeDocument/2006/relationships/hyperlink" Target="https://www.safetyandquality.gov.au/publications-and-resources/resource-library/infection-prevention-and-control-poster-combined-airborne-and-contact-precautions"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hssib.org.uk/patient-safety-investigations/safety-management/investigation-report/" TargetMode="External"/><Relationship Id="rId22" Type="http://schemas.openxmlformats.org/officeDocument/2006/relationships/hyperlink" Target="https://academic.oup.com/intqhc/advance-articles" TargetMode="External"/><Relationship Id="rId27" Type="http://schemas.openxmlformats.org/officeDocument/2006/relationships/hyperlink" Target="https://doi.org/10.5694/mja2.52578" TargetMode="External"/><Relationship Id="rId30" Type="http://schemas.openxmlformats.org/officeDocument/2006/relationships/image" Target="media/image2.PNG"/><Relationship Id="rId35"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1690</Words>
  <Characters>11544</Characters>
  <Application>Microsoft Office Word</Application>
  <DocSecurity>0</DocSecurity>
  <Lines>250</Lines>
  <Paragraphs>116</Paragraphs>
  <ScaleCrop>false</ScaleCrop>
  <HeadingPairs>
    <vt:vector size="2" baseType="variant">
      <vt:variant>
        <vt:lpstr>Title</vt:lpstr>
      </vt:variant>
      <vt:variant>
        <vt:i4>1</vt:i4>
      </vt:variant>
    </vt:vector>
  </HeadingPairs>
  <TitlesOfParts>
    <vt:vector size="1" baseType="lpstr">
      <vt:lpstr>Draft On the Radar Issue 685</vt:lpstr>
    </vt:vector>
  </TitlesOfParts>
  <Company>ACSQHC</Company>
  <LinksUpToDate>false</LinksUpToDate>
  <CharactersWithSpaces>13118</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685</dc:title>
  <dc:subject/>
  <dc:creator>Dr Niall Johnson</dc:creator>
  <cp:keywords>On the Radar</cp:keywords>
  <dc:description/>
  <cp:lastModifiedBy>JOHNSON, Niall</cp:lastModifiedBy>
  <cp:revision>10</cp:revision>
  <cp:lastPrinted>2018-03-02T02:34:00Z</cp:lastPrinted>
  <dcterms:created xsi:type="dcterms:W3CDTF">2025-02-09T20:50:00Z</dcterms:created>
  <dcterms:modified xsi:type="dcterms:W3CDTF">2025-02-14T00:21:00Z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