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76EE7353"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262DC9BB"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24</w:t>
      </w:r>
    </w:p>
    <w:p w14:paraId="61605C05" w14:textId="02355CC0" w:rsidR="000E6619" w:rsidRPr="008C36C6" w:rsidRDefault="00FD2FB9" w:rsidP="00F738B5">
      <w:pPr>
        <w:rPr>
          <w:rFonts w:ascii="Garamond" w:hAnsi="Garamond"/>
          <w:lang w:val="en-AU"/>
        </w:rPr>
      </w:pPr>
      <w:r>
        <w:rPr>
          <w:rFonts w:ascii="Garamond" w:hAnsi="Garamond"/>
          <w:lang w:val="en-AU"/>
        </w:rPr>
        <w:t>1 Dec</w:t>
      </w:r>
      <w:r w:rsidR="00C57FB3">
        <w:rPr>
          <w:rFonts w:ascii="Garamond" w:hAnsi="Garamond"/>
          <w:lang w:val="en-AU"/>
        </w:rPr>
        <w:t xml:space="preserve">ember </w:t>
      </w:r>
      <w:r w:rsidR="000E6619" w:rsidRPr="008C36C6">
        <w:rPr>
          <w:rFonts w:ascii="Garamond" w:hAnsi="Garamond"/>
          <w:lang w:val="en-AU"/>
        </w:rPr>
        <w:t>2025</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6983EDD2"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6D64E86E" w14:textId="77777777" w:rsidR="00D3764E" w:rsidRDefault="00D3764E">
      <w:pPr>
        <w:rPr>
          <w:rFonts w:ascii="Garamond" w:hAnsi="Garamond"/>
          <w:b/>
          <w:lang w:val="en-AU"/>
        </w:rPr>
      </w:pPr>
      <w:r>
        <w:rPr>
          <w:rFonts w:ascii="Garamond" w:hAnsi="Garamond"/>
          <w:b/>
          <w:lang w:val="en-AU"/>
        </w:rPr>
        <w:br w:type="page"/>
      </w:r>
    </w:p>
    <w:p w14:paraId="2D6E54D6" w14:textId="2555F356"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Reports</w:t>
      </w:r>
    </w:p>
    <w:p w14:paraId="68FA91CC" w14:textId="77777777" w:rsidR="001A1C44" w:rsidRPr="008C36C6" w:rsidRDefault="001A1C44" w:rsidP="001A1C44">
      <w:pPr>
        <w:keepLines/>
        <w:autoSpaceDE w:val="0"/>
        <w:autoSpaceDN w:val="0"/>
        <w:adjustRightInd w:val="0"/>
        <w:rPr>
          <w:rFonts w:ascii="Garamond" w:hAnsi="Garamond"/>
          <w:bCs/>
          <w:lang w:val="en-AU"/>
        </w:rPr>
      </w:pPr>
    </w:p>
    <w:p w14:paraId="382BE1F2" w14:textId="6B22A254" w:rsidR="008474F8" w:rsidRPr="00783C7F" w:rsidRDefault="00783C7F" w:rsidP="008474F8">
      <w:pPr>
        <w:keepNext/>
        <w:keepLines/>
        <w:autoSpaceDE w:val="0"/>
        <w:autoSpaceDN w:val="0"/>
        <w:adjustRightInd w:val="0"/>
        <w:rPr>
          <w:rFonts w:ascii="Garamond" w:hAnsi="Garamond"/>
          <w:i/>
          <w:iCs/>
          <w:lang w:val="en-AU"/>
        </w:rPr>
      </w:pPr>
      <w:r w:rsidRPr="00783C7F">
        <w:rPr>
          <w:rFonts w:ascii="Garamond" w:hAnsi="Garamond"/>
          <w:i/>
          <w:iCs/>
          <w:lang w:val="en-AU"/>
        </w:rPr>
        <w:t>Care, courage, change: health-sector leadership in tackling violence against women and girls</w:t>
      </w:r>
    </w:p>
    <w:p w14:paraId="22EB241A" w14:textId="77777777" w:rsidR="0045428C" w:rsidRDefault="0045428C" w:rsidP="008474F8">
      <w:pPr>
        <w:keepNext/>
        <w:keepLines/>
        <w:autoSpaceDE w:val="0"/>
        <w:autoSpaceDN w:val="0"/>
        <w:adjustRightInd w:val="0"/>
        <w:rPr>
          <w:rFonts w:ascii="Garamond" w:hAnsi="Garamond"/>
          <w:lang w:val="en-AU"/>
        </w:rPr>
      </w:pPr>
      <w:r w:rsidRPr="0045428C">
        <w:rPr>
          <w:rFonts w:ascii="Garamond" w:hAnsi="Garamond"/>
          <w:lang w:val="en-AU"/>
        </w:rPr>
        <w:t>World Health Organization</w:t>
      </w:r>
    </w:p>
    <w:p w14:paraId="79EB7175" w14:textId="68D733CD" w:rsidR="00783C7F" w:rsidRPr="008C36C6" w:rsidRDefault="0045428C" w:rsidP="008474F8">
      <w:pPr>
        <w:keepNext/>
        <w:keepLines/>
        <w:autoSpaceDE w:val="0"/>
        <w:autoSpaceDN w:val="0"/>
        <w:adjustRightInd w:val="0"/>
        <w:rPr>
          <w:rFonts w:ascii="Garamond" w:hAnsi="Garamond"/>
          <w:lang w:val="en-AU"/>
        </w:rPr>
      </w:pPr>
      <w:r w:rsidRPr="0045428C">
        <w:rPr>
          <w:rFonts w:ascii="Garamond" w:hAnsi="Garamond"/>
          <w:lang w:val="en-AU"/>
        </w:rPr>
        <w:t>Copenhagen: WHO Regional Office for Europe; 2025. p. 36.</w:t>
      </w:r>
    </w:p>
    <w:tbl>
      <w:tblPr>
        <w:tblStyle w:val="TableGrid"/>
        <w:tblW w:w="9360" w:type="dxa"/>
        <w:tblInd w:w="288" w:type="dxa"/>
        <w:tblLayout w:type="fixed"/>
        <w:tblLook w:val="01E0" w:firstRow="1" w:lastRow="1" w:firstColumn="1" w:lastColumn="1" w:noHBand="0" w:noVBand="0"/>
      </w:tblPr>
      <w:tblGrid>
        <w:gridCol w:w="1080"/>
        <w:gridCol w:w="8280"/>
      </w:tblGrid>
      <w:tr w:rsidR="008474F8" w:rsidRPr="008C36C6" w14:paraId="68006F91"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0687C09B" w14:textId="77777777" w:rsidR="008474F8" w:rsidRPr="008C36C6" w:rsidRDefault="008474F8" w:rsidP="002D5A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0F4BCEC" w14:textId="63C02327" w:rsidR="008474F8" w:rsidRPr="008C36C6" w:rsidRDefault="00783C7F" w:rsidP="002D5AF2">
            <w:pPr>
              <w:keepNext/>
              <w:jc w:val="both"/>
              <w:rPr>
                <w:rStyle w:val="Hyperlink"/>
                <w:rFonts w:ascii="Garamond" w:hAnsi="Garamond"/>
                <w:color w:val="auto"/>
                <w:u w:val="none"/>
                <w:lang w:val="en-AU"/>
              </w:rPr>
            </w:pPr>
            <w:hyperlink r:id="rId14" w:history="1">
              <w:r w:rsidRPr="00145654">
                <w:rPr>
                  <w:rStyle w:val="Hyperlink"/>
                  <w:rFonts w:ascii="Garamond" w:hAnsi="Garamond"/>
                  <w:lang w:val="en-AU"/>
                </w:rPr>
                <w:t>https://www.who.int/europe/publications/i/item/WHO-EURO-2025-12846-52620-81536</w:t>
              </w:r>
            </w:hyperlink>
          </w:p>
        </w:tc>
      </w:tr>
      <w:tr w:rsidR="008474F8" w:rsidRPr="008C36C6" w14:paraId="2A8BFF7C"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73C4F29A" w14:textId="77777777" w:rsidR="008474F8" w:rsidRPr="008C36C6" w:rsidRDefault="008474F8" w:rsidP="002D5A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59BF17C" w14:textId="6DD099C2" w:rsidR="0045428C" w:rsidRPr="008C36C6" w:rsidRDefault="0045428C" w:rsidP="00D3764E">
            <w:pPr>
              <w:autoSpaceDE w:val="0"/>
              <w:autoSpaceDN w:val="0"/>
              <w:adjustRightInd w:val="0"/>
              <w:rPr>
                <w:rFonts w:ascii="Garamond" w:hAnsi="Garamond"/>
                <w:lang w:val="en-AU"/>
              </w:rPr>
            </w:pPr>
            <w:r>
              <w:rPr>
                <w:rFonts w:ascii="Garamond" w:hAnsi="Garamond"/>
                <w:lang w:val="en-AU"/>
              </w:rPr>
              <w:t xml:space="preserve">The World Health Organization has recently published this report analysing </w:t>
            </w:r>
            <w:r w:rsidRPr="0045428C">
              <w:rPr>
                <w:rFonts w:ascii="Garamond" w:hAnsi="Garamond"/>
                <w:lang w:val="en-AU"/>
              </w:rPr>
              <w:t xml:space="preserve">241 policies across 53 Member States </w:t>
            </w:r>
            <w:r w:rsidR="0003298A">
              <w:rPr>
                <w:rFonts w:ascii="Garamond" w:hAnsi="Garamond"/>
                <w:lang w:val="en-AU"/>
              </w:rPr>
              <w:t xml:space="preserve">in the European region </w:t>
            </w:r>
            <w:r>
              <w:rPr>
                <w:rFonts w:ascii="Garamond" w:hAnsi="Garamond"/>
                <w:lang w:val="en-AU"/>
              </w:rPr>
              <w:t xml:space="preserve">to </w:t>
            </w:r>
            <w:r w:rsidRPr="0045428C">
              <w:rPr>
                <w:rFonts w:ascii="Garamond" w:hAnsi="Garamond"/>
                <w:lang w:val="en-AU"/>
              </w:rPr>
              <w:t>provid</w:t>
            </w:r>
            <w:r>
              <w:rPr>
                <w:rFonts w:ascii="Garamond" w:hAnsi="Garamond"/>
                <w:lang w:val="en-AU"/>
              </w:rPr>
              <w:t>e</w:t>
            </w:r>
            <w:r w:rsidRPr="0045428C">
              <w:rPr>
                <w:rFonts w:ascii="Garamond" w:hAnsi="Garamond"/>
                <w:lang w:val="en-AU"/>
              </w:rPr>
              <w:t xml:space="preserve"> </w:t>
            </w:r>
            <w:r>
              <w:rPr>
                <w:rFonts w:ascii="Garamond" w:hAnsi="Garamond"/>
                <w:lang w:val="en-AU"/>
              </w:rPr>
              <w:t>‘</w:t>
            </w:r>
            <w:r w:rsidRPr="0045428C">
              <w:rPr>
                <w:rFonts w:ascii="Garamond" w:hAnsi="Garamond"/>
                <w:lang w:val="en-AU"/>
              </w:rPr>
              <w:t>a roadmap for the health sector to strengthen its role within the multisectoral system of prevention and response to violence against women and girls.</w:t>
            </w:r>
            <w:r>
              <w:rPr>
                <w:rFonts w:ascii="Garamond" w:hAnsi="Garamond"/>
                <w:lang w:val="en-AU"/>
              </w:rPr>
              <w:t>’ The report observes that ‘</w:t>
            </w:r>
            <w:r w:rsidRPr="0045428C">
              <w:rPr>
                <w:rFonts w:ascii="Garamond" w:hAnsi="Garamond"/>
                <w:lang w:val="en-AU"/>
              </w:rPr>
              <w:t>Health systems are central to preventing and responding to violence. They must integrate prevention and response into policies and services, supported by continuous monitoring and evaluation to track progress and improve actions and responses. Health systems are uniquely positioned to establish and sustain safe, effective, survivor-centred services</w:t>
            </w:r>
            <w:r>
              <w:rPr>
                <w:rFonts w:ascii="Garamond" w:hAnsi="Garamond"/>
                <w:lang w:val="en-AU"/>
              </w:rPr>
              <w:t>.’</w:t>
            </w:r>
          </w:p>
        </w:tc>
      </w:tr>
    </w:tbl>
    <w:p w14:paraId="57D4FEEE" w14:textId="77777777" w:rsidR="008474F8" w:rsidRDefault="008474F8" w:rsidP="008474F8">
      <w:pPr>
        <w:keepLines/>
        <w:autoSpaceDE w:val="0"/>
        <w:autoSpaceDN w:val="0"/>
        <w:adjustRightInd w:val="0"/>
        <w:rPr>
          <w:rFonts w:ascii="Garamond" w:hAnsi="Garamond"/>
          <w:bCs/>
        </w:rPr>
      </w:pPr>
    </w:p>
    <w:p w14:paraId="5E32ADF7" w14:textId="5965049C" w:rsidR="00A67F56" w:rsidRDefault="00A67F56" w:rsidP="008474F8">
      <w:pPr>
        <w:keepLines/>
        <w:autoSpaceDE w:val="0"/>
        <w:autoSpaceDN w:val="0"/>
        <w:adjustRightInd w:val="0"/>
        <w:rPr>
          <w:rFonts w:ascii="Garamond" w:hAnsi="Garamond"/>
          <w:bCs/>
          <w:i/>
          <w:iCs/>
        </w:rPr>
      </w:pPr>
      <w:r w:rsidRPr="00A67F56">
        <w:rPr>
          <w:rFonts w:ascii="Garamond" w:hAnsi="Garamond"/>
          <w:bCs/>
          <w:i/>
          <w:iCs/>
        </w:rPr>
        <w:t>Patient safety issues associated with electronic patient record (EPR) systems – a thematic review</w:t>
      </w:r>
    </w:p>
    <w:p w14:paraId="02326E77" w14:textId="0B2D26B5" w:rsidR="00A67F56" w:rsidRDefault="00A67F56" w:rsidP="008474F8">
      <w:pPr>
        <w:keepLines/>
        <w:autoSpaceDE w:val="0"/>
        <w:autoSpaceDN w:val="0"/>
        <w:adjustRightInd w:val="0"/>
        <w:rPr>
          <w:rFonts w:ascii="Garamond" w:hAnsi="Garamond"/>
          <w:bCs/>
        </w:rPr>
      </w:pPr>
      <w:r w:rsidRPr="00A67F56">
        <w:rPr>
          <w:rFonts w:ascii="Garamond" w:hAnsi="Garamond"/>
          <w:bCs/>
        </w:rPr>
        <w:t>Investigation report</w:t>
      </w:r>
    </w:p>
    <w:p w14:paraId="3936ECF4" w14:textId="77777777" w:rsidR="00A67F56" w:rsidRDefault="00A67F56" w:rsidP="00A67F56">
      <w:pPr>
        <w:keepLines/>
        <w:autoSpaceDE w:val="0"/>
        <w:autoSpaceDN w:val="0"/>
        <w:adjustRightInd w:val="0"/>
        <w:rPr>
          <w:rFonts w:ascii="Garamond" w:hAnsi="Garamond"/>
          <w:bCs/>
        </w:rPr>
      </w:pPr>
      <w:r w:rsidRPr="00A67F56">
        <w:rPr>
          <w:rFonts w:ascii="Garamond" w:hAnsi="Garamond"/>
          <w:bCs/>
        </w:rPr>
        <w:t>Health Services Safety Investigation Body</w:t>
      </w:r>
    </w:p>
    <w:p w14:paraId="315EBAE3" w14:textId="058B286E" w:rsidR="00D3764E" w:rsidRPr="0045428C" w:rsidRDefault="00A67F56" w:rsidP="008474F8">
      <w:pPr>
        <w:keepLines/>
        <w:autoSpaceDE w:val="0"/>
        <w:autoSpaceDN w:val="0"/>
        <w:adjustRightInd w:val="0"/>
        <w:rPr>
          <w:rFonts w:ascii="Garamond" w:hAnsi="Garamond"/>
          <w:bCs/>
        </w:rPr>
      </w:pPr>
      <w:r w:rsidRPr="00A67F56">
        <w:rPr>
          <w:rFonts w:ascii="Garamond" w:hAnsi="Garamond"/>
          <w:bCs/>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A67F56" w:rsidRPr="008C36C6" w14:paraId="11C77DCB" w14:textId="77777777" w:rsidTr="00C419BA">
        <w:tc>
          <w:tcPr>
            <w:tcW w:w="1080" w:type="dxa"/>
            <w:tcBorders>
              <w:top w:val="single" w:sz="4" w:space="0" w:color="auto"/>
              <w:left w:val="single" w:sz="4" w:space="0" w:color="auto"/>
              <w:bottom w:val="single" w:sz="4" w:space="0" w:color="auto"/>
              <w:right w:val="single" w:sz="4" w:space="0" w:color="auto"/>
            </w:tcBorders>
            <w:vAlign w:val="center"/>
          </w:tcPr>
          <w:p w14:paraId="7E938814" w14:textId="77777777" w:rsidR="00A67F56" w:rsidRPr="008C36C6" w:rsidRDefault="00A67F56" w:rsidP="00C419BA">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CD851CF" w14:textId="3A59A72D" w:rsidR="00A67F56" w:rsidRPr="008C36C6" w:rsidRDefault="00A67F56" w:rsidP="00C419BA">
            <w:pPr>
              <w:keepNext/>
              <w:jc w:val="both"/>
              <w:rPr>
                <w:rStyle w:val="Hyperlink"/>
                <w:rFonts w:ascii="Garamond" w:hAnsi="Garamond"/>
                <w:color w:val="auto"/>
                <w:u w:val="none"/>
                <w:lang w:val="en-AU"/>
              </w:rPr>
            </w:pPr>
            <w:hyperlink r:id="rId15" w:history="1">
              <w:r w:rsidRPr="0065259C">
                <w:rPr>
                  <w:rStyle w:val="Hyperlink"/>
                  <w:rFonts w:ascii="Garamond" w:hAnsi="Garamond"/>
                  <w:lang w:val="en-AU"/>
                </w:rPr>
                <w:t>https://www.hssib.org.uk/patient-safety-investigations/electronic-patient-record-epr-systems-thematic-review/investigation-report/</w:t>
              </w:r>
            </w:hyperlink>
          </w:p>
        </w:tc>
      </w:tr>
      <w:tr w:rsidR="00A67F56" w:rsidRPr="008C36C6" w14:paraId="02EDF854" w14:textId="77777777" w:rsidTr="00C419BA">
        <w:tc>
          <w:tcPr>
            <w:tcW w:w="1080" w:type="dxa"/>
            <w:tcBorders>
              <w:top w:val="single" w:sz="4" w:space="0" w:color="auto"/>
              <w:left w:val="single" w:sz="4" w:space="0" w:color="auto"/>
              <w:bottom w:val="single" w:sz="4" w:space="0" w:color="auto"/>
              <w:right w:val="single" w:sz="4" w:space="0" w:color="auto"/>
            </w:tcBorders>
            <w:vAlign w:val="center"/>
          </w:tcPr>
          <w:p w14:paraId="2D319782" w14:textId="77777777" w:rsidR="00A67F56" w:rsidRPr="008C36C6" w:rsidRDefault="00A67F56" w:rsidP="00C419BA">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28E29FF" w14:textId="0BA6EC2A" w:rsidR="00A67F56" w:rsidRPr="008C36C6" w:rsidRDefault="00A67F56" w:rsidP="00C419BA">
            <w:pPr>
              <w:keepLines/>
              <w:autoSpaceDE w:val="0"/>
              <w:autoSpaceDN w:val="0"/>
              <w:adjustRightInd w:val="0"/>
              <w:rPr>
                <w:rFonts w:ascii="Garamond" w:hAnsi="Garamond"/>
                <w:lang w:val="en-AU"/>
              </w:rPr>
            </w:pPr>
            <w:r w:rsidRPr="00A67F56">
              <w:rPr>
                <w:rFonts w:ascii="Garamond" w:hAnsi="Garamond"/>
                <w:lang w:val="en-AU"/>
              </w:rPr>
              <w:t>This latest report from the Health Services Safety Investigation Body (HSSIB) in the UK examines</w:t>
            </w:r>
            <w:r>
              <w:rPr>
                <w:rFonts w:ascii="Garamond" w:hAnsi="Garamond"/>
                <w:lang w:val="en-AU"/>
              </w:rPr>
              <w:t xml:space="preserve"> some of the issues around electronic record systems</w:t>
            </w:r>
            <w:r w:rsidR="00DB49A3">
              <w:rPr>
                <w:rFonts w:ascii="Garamond" w:hAnsi="Garamond"/>
                <w:lang w:val="en-AU"/>
              </w:rPr>
              <w:t xml:space="preserve"> used in the UK</w:t>
            </w:r>
            <w:r>
              <w:rPr>
                <w:rFonts w:ascii="Garamond" w:hAnsi="Garamond"/>
                <w:lang w:val="en-AU"/>
              </w:rPr>
              <w:t xml:space="preserve">. </w:t>
            </w:r>
            <w:r w:rsidR="00DB49A3">
              <w:rPr>
                <w:rFonts w:ascii="Garamond" w:hAnsi="Garamond"/>
                <w:lang w:val="en-AU"/>
              </w:rPr>
              <w:t>This report is ‘</w:t>
            </w:r>
            <w:r w:rsidR="00DB49A3" w:rsidRPr="00DB49A3">
              <w:rPr>
                <w:rFonts w:ascii="Garamond" w:hAnsi="Garamond"/>
                <w:lang w:val="en-AU"/>
              </w:rPr>
              <w:t>thematic review of investigation reports by HSSIB and its predecessor organisation – the Healthcare Safety Investigation Branch (HSIB) – that included consideration of electronic patient record (EPR) systems.</w:t>
            </w:r>
            <w:r w:rsidR="00DB49A3">
              <w:rPr>
                <w:rFonts w:ascii="Garamond" w:hAnsi="Garamond"/>
                <w:lang w:val="en-AU"/>
              </w:rPr>
              <w:t>’ This review found that ‘</w:t>
            </w:r>
            <w:r w:rsidR="00DB49A3" w:rsidRPr="00DB49A3">
              <w:rPr>
                <w:rFonts w:ascii="Garamond" w:hAnsi="Garamond"/>
                <w:lang w:val="en-AU"/>
              </w:rPr>
              <w:t>EPR systems could contribute to the risks of patient care being missed, delayed or incorrect. These risks were persistent despite national recommendations and actions seeking to mitigate them.</w:t>
            </w:r>
            <w:r w:rsidR="00DB49A3">
              <w:rPr>
                <w:rFonts w:ascii="Garamond" w:hAnsi="Garamond"/>
                <w:lang w:val="en-AU"/>
              </w:rPr>
              <w:t xml:space="preserve">’ The authors made </w:t>
            </w:r>
            <w:proofErr w:type="gramStart"/>
            <w:r w:rsidR="00DB49A3">
              <w:rPr>
                <w:rFonts w:ascii="Garamond" w:hAnsi="Garamond"/>
                <w:lang w:val="en-AU"/>
              </w:rPr>
              <w:t>a number of</w:t>
            </w:r>
            <w:proofErr w:type="gramEnd"/>
            <w:r w:rsidR="00DB49A3">
              <w:rPr>
                <w:rFonts w:ascii="Garamond" w:hAnsi="Garamond"/>
                <w:lang w:val="en-AU"/>
              </w:rPr>
              <w:t xml:space="preserve"> findings, observations and recommendations</w:t>
            </w:r>
            <w:r w:rsidR="005176C7">
              <w:rPr>
                <w:rFonts w:ascii="Garamond" w:hAnsi="Garamond"/>
                <w:lang w:val="en-AU"/>
              </w:rPr>
              <w:t>, along with ‘</w:t>
            </w:r>
            <w:r w:rsidR="005176C7" w:rsidRPr="005176C7">
              <w:rPr>
                <w:rFonts w:ascii="Garamond" w:hAnsi="Garamond"/>
                <w:lang w:val="en-AU"/>
              </w:rPr>
              <w:t>local-level learning prompts</w:t>
            </w:r>
            <w:r w:rsidR="005176C7">
              <w:rPr>
                <w:rFonts w:ascii="Garamond" w:hAnsi="Garamond"/>
                <w:lang w:val="en-AU"/>
              </w:rPr>
              <w:t>’</w:t>
            </w:r>
            <w:r w:rsidR="005176C7" w:rsidRPr="005176C7">
              <w:rPr>
                <w:rFonts w:ascii="Garamond" w:hAnsi="Garamond"/>
                <w:lang w:val="en-AU"/>
              </w:rPr>
              <w:t xml:space="preserve"> around selection and procurement, implementation and ongoing optimisation of EPR systems.</w:t>
            </w:r>
          </w:p>
        </w:tc>
      </w:tr>
    </w:tbl>
    <w:p w14:paraId="7E5C5613" w14:textId="77777777" w:rsidR="00A67F56" w:rsidRDefault="00A67F56" w:rsidP="00A67F56">
      <w:pPr>
        <w:keepLines/>
        <w:autoSpaceDE w:val="0"/>
        <w:autoSpaceDN w:val="0"/>
        <w:adjustRightInd w:val="0"/>
        <w:rPr>
          <w:rFonts w:ascii="Garamond" w:hAnsi="Garamond"/>
          <w:bCs/>
          <w:lang w:val="en-AU"/>
        </w:rPr>
      </w:pPr>
    </w:p>
    <w:p w14:paraId="557C55B1" w14:textId="77777777" w:rsidR="00A67F56" w:rsidRPr="008C36C6" w:rsidRDefault="00A67F56" w:rsidP="00A67F56">
      <w:pPr>
        <w:keepLines/>
        <w:autoSpaceDE w:val="0"/>
        <w:autoSpaceDN w:val="0"/>
        <w:adjustRightInd w:val="0"/>
        <w:rPr>
          <w:rFonts w:ascii="Garamond" w:hAnsi="Garamond"/>
          <w:bCs/>
          <w:lang w:val="en-AU"/>
        </w:rPr>
      </w:pPr>
    </w:p>
    <w:p w14:paraId="7DD31B6F" w14:textId="77777777" w:rsidR="005444BD" w:rsidRPr="008C36C6" w:rsidRDefault="005444BD" w:rsidP="005444BD">
      <w:pPr>
        <w:keepLines/>
        <w:autoSpaceDE w:val="0"/>
        <w:autoSpaceDN w:val="0"/>
        <w:adjustRightInd w:val="0"/>
        <w:rPr>
          <w:rFonts w:ascii="Garamond" w:hAnsi="Garamond"/>
          <w:bCs/>
          <w:lang w:val="en-AU"/>
        </w:rPr>
      </w:pPr>
    </w:p>
    <w:p w14:paraId="604EB9F1" w14:textId="7CA1EEA9"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17EACED0" w14:textId="18AD7AEE" w:rsidR="00447E78" w:rsidRPr="00783C7F" w:rsidRDefault="00783C7F" w:rsidP="00447E78">
      <w:pPr>
        <w:keepNext/>
        <w:rPr>
          <w:rFonts w:ascii="Garamond" w:hAnsi="Garamond"/>
          <w:bCs/>
          <w:i/>
          <w:iCs/>
          <w:lang w:val="en-AU"/>
        </w:rPr>
      </w:pPr>
      <w:r w:rsidRPr="00783C7F">
        <w:rPr>
          <w:rFonts w:ascii="Garamond" w:hAnsi="Garamond"/>
          <w:bCs/>
          <w:i/>
          <w:iCs/>
          <w:lang w:val="en-AU"/>
        </w:rPr>
        <w:t>Reducing inpatient deterioration and improving patient safety in emergency departments with a standardised nursing framework: A stepped-wedge cluster randomised controlled trial</w:t>
      </w:r>
    </w:p>
    <w:p w14:paraId="1CB2CE64" w14:textId="77777777" w:rsidR="00F31562" w:rsidRDefault="00F31562" w:rsidP="00447E78">
      <w:pPr>
        <w:keepNext/>
        <w:rPr>
          <w:rFonts w:ascii="Garamond" w:hAnsi="Garamond"/>
          <w:bCs/>
          <w:lang w:val="en-AU"/>
        </w:rPr>
      </w:pPr>
      <w:r w:rsidRPr="00F31562">
        <w:rPr>
          <w:rFonts w:ascii="Garamond" w:hAnsi="Garamond"/>
          <w:bCs/>
          <w:lang w:val="en-AU"/>
        </w:rPr>
        <w:t>Curtis K, Murphy M, Lam MK, Kennedy B, Shaban RZ, Fry M, et al</w:t>
      </w:r>
    </w:p>
    <w:p w14:paraId="5A14CFF9" w14:textId="5EA47AE8" w:rsidR="00783C7F" w:rsidRPr="008C36C6" w:rsidRDefault="00F31562" w:rsidP="00447E78">
      <w:pPr>
        <w:keepNext/>
        <w:rPr>
          <w:rFonts w:ascii="Garamond" w:hAnsi="Garamond"/>
          <w:bCs/>
          <w:lang w:val="en-AU"/>
        </w:rPr>
      </w:pPr>
      <w:r w:rsidRPr="00F31562">
        <w:rPr>
          <w:rFonts w:ascii="Garamond" w:hAnsi="Garamond"/>
          <w:bCs/>
          <w:lang w:val="en-AU"/>
        </w:rPr>
        <w:t xml:space="preserve">International Journal of Nursing Studies. </w:t>
      </w:r>
      <w:proofErr w:type="gramStart"/>
      <w:r w:rsidRPr="00F31562">
        <w:rPr>
          <w:rFonts w:ascii="Garamond" w:hAnsi="Garamond"/>
          <w:bCs/>
          <w:lang w:val="en-AU"/>
        </w:rPr>
        <w:t>2026;173:105256</w:t>
      </w:r>
      <w:proofErr w:type="gramEnd"/>
      <w:r w:rsidRPr="00F31562">
        <w:rPr>
          <w:rFonts w:ascii="Garamond" w:hAnsi="Garamond"/>
          <w:bCs/>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447E78" w:rsidRPr="008C36C6" w14:paraId="4DE228A3"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260CBF61" w14:textId="77777777" w:rsidR="00447E78" w:rsidRPr="008C36C6" w:rsidRDefault="00447E78" w:rsidP="00693CE0">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216C075" w14:textId="630AA8D2" w:rsidR="00447E78" w:rsidRPr="008C36C6" w:rsidRDefault="00783C7F" w:rsidP="00693CE0">
            <w:pPr>
              <w:keepNext/>
              <w:jc w:val="both"/>
              <w:rPr>
                <w:rStyle w:val="Hyperlink"/>
                <w:rFonts w:ascii="Garamond" w:hAnsi="Garamond"/>
                <w:color w:val="auto"/>
                <w:u w:val="none"/>
                <w:lang w:val="en-AU"/>
              </w:rPr>
            </w:pPr>
            <w:hyperlink r:id="rId16" w:history="1">
              <w:r w:rsidRPr="00145654">
                <w:rPr>
                  <w:rStyle w:val="Hyperlink"/>
                  <w:rFonts w:ascii="Garamond" w:hAnsi="Garamond"/>
                  <w:lang w:val="en-AU"/>
                </w:rPr>
                <w:t>https://doi.org/10.1016/j.ijnurstu.2025.105256</w:t>
              </w:r>
            </w:hyperlink>
          </w:p>
        </w:tc>
      </w:tr>
      <w:tr w:rsidR="00447E78" w:rsidRPr="008C36C6" w14:paraId="09FEF86E"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783DD0C6" w14:textId="77777777" w:rsidR="00447E78" w:rsidRPr="008C36C6" w:rsidRDefault="00447E78" w:rsidP="00693CE0">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7AB7A24" w14:textId="77777777" w:rsidR="00F31562" w:rsidRDefault="00F31562" w:rsidP="00F31562">
            <w:pPr>
              <w:keepLines/>
              <w:autoSpaceDE w:val="0"/>
              <w:autoSpaceDN w:val="0"/>
              <w:adjustRightInd w:val="0"/>
              <w:rPr>
                <w:rFonts w:ascii="Garamond" w:hAnsi="Garamond"/>
                <w:lang w:val="en-AU"/>
              </w:rPr>
            </w:pPr>
            <w:r>
              <w:rPr>
                <w:rFonts w:ascii="Garamond" w:hAnsi="Garamond"/>
                <w:lang w:val="en-AU"/>
              </w:rPr>
              <w:t xml:space="preserve">Paper reporting on an Australian study of a framework that seeks to </w:t>
            </w:r>
            <w:r w:rsidRPr="00F31562">
              <w:rPr>
                <w:rFonts w:ascii="Garamond" w:hAnsi="Garamond"/>
                <w:lang w:val="en-AU"/>
              </w:rPr>
              <w:t xml:space="preserve">standardise nursing assessment and management of patients in the </w:t>
            </w:r>
            <w:r>
              <w:rPr>
                <w:rFonts w:ascii="Garamond" w:hAnsi="Garamond"/>
                <w:lang w:val="en-AU"/>
              </w:rPr>
              <w:t>emergency department (ED). The study sought to test the effect of t</w:t>
            </w:r>
            <w:r w:rsidRPr="00F31562">
              <w:rPr>
                <w:rFonts w:ascii="Garamond" w:hAnsi="Garamond"/>
                <w:lang w:val="en-AU"/>
              </w:rPr>
              <w:t xml:space="preserve">he HIRAID framework [History including Infection risk, </w:t>
            </w:r>
            <w:proofErr w:type="gramStart"/>
            <w:r w:rsidRPr="00F31562">
              <w:rPr>
                <w:rFonts w:ascii="Garamond" w:hAnsi="Garamond"/>
                <w:lang w:val="en-AU"/>
              </w:rPr>
              <w:t>Red</w:t>
            </w:r>
            <w:proofErr w:type="gramEnd"/>
            <w:r w:rsidRPr="00F31562">
              <w:rPr>
                <w:rFonts w:ascii="Garamond" w:hAnsi="Garamond"/>
                <w:lang w:val="en-AU"/>
              </w:rPr>
              <w:t xml:space="preserve"> flags, Assessment, Interventions, Diagnostics, reassessment, and communication]</w:t>
            </w:r>
            <w:r>
              <w:rPr>
                <w:rFonts w:ascii="Garamond" w:hAnsi="Garamond"/>
                <w:lang w:val="en-AU"/>
              </w:rPr>
              <w:t xml:space="preserve"> o</w:t>
            </w:r>
            <w:r w:rsidRPr="00F31562">
              <w:rPr>
                <w:rFonts w:ascii="Garamond" w:hAnsi="Garamond"/>
                <w:lang w:val="en-AU"/>
              </w:rPr>
              <w:t>n the quality and safety of emergency care.</w:t>
            </w:r>
            <w:r>
              <w:rPr>
                <w:rFonts w:ascii="Garamond" w:hAnsi="Garamond"/>
                <w:lang w:val="en-AU"/>
              </w:rPr>
              <w:t xml:space="preserve"> The study was a ‘</w:t>
            </w:r>
            <w:r w:rsidRPr="00F31562">
              <w:rPr>
                <w:rFonts w:ascii="Garamond" w:hAnsi="Garamond"/>
                <w:lang w:val="en-AU"/>
              </w:rPr>
              <w:t>modified (staircase) stepped–wedge, cluster randomised controlled trial was conducted in 29 Australian metropolitan, regional, rural Emergency Departments involving 1377 nurses from June 2020 to February 2024</w:t>
            </w:r>
            <w:r>
              <w:rPr>
                <w:rFonts w:ascii="Garamond" w:hAnsi="Garamond"/>
                <w:lang w:val="en-AU"/>
              </w:rPr>
              <w:t>’</w:t>
            </w:r>
            <w:r w:rsidRPr="00F31562">
              <w:rPr>
                <w:rFonts w:ascii="Garamond" w:hAnsi="Garamond"/>
                <w:lang w:val="en-AU"/>
              </w:rPr>
              <w:t>.</w:t>
            </w:r>
            <w:r>
              <w:rPr>
                <w:rFonts w:ascii="Garamond" w:hAnsi="Garamond"/>
                <w:lang w:val="en-AU"/>
              </w:rPr>
              <w:t xml:space="preserve"> Among the results reported:</w:t>
            </w:r>
          </w:p>
          <w:p w14:paraId="569E0DB7" w14:textId="7D1E5A6F" w:rsidR="00F31562" w:rsidRDefault="00F31562" w:rsidP="00F31562">
            <w:pPr>
              <w:pStyle w:val="ListParagraph"/>
              <w:keepLines/>
              <w:numPr>
                <w:ilvl w:val="0"/>
                <w:numId w:val="39"/>
              </w:numPr>
              <w:autoSpaceDE w:val="0"/>
              <w:autoSpaceDN w:val="0"/>
              <w:adjustRightInd w:val="0"/>
              <w:rPr>
                <w:rFonts w:ascii="Garamond" w:hAnsi="Garamond"/>
                <w:lang w:val="en-AU"/>
              </w:rPr>
            </w:pPr>
            <w:r>
              <w:rPr>
                <w:rFonts w:ascii="Garamond" w:hAnsi="Garamond"/>
                <w:lang w:val="en-AU"/>
              </w:rPr>
              <w:lastRenderedPageBreak/>
              <w:t>‘</w:t>
            </w:r>
            <w:r w:rsidRPr="00F31562">
              <w:rPr>
                <w:rFonts w:ascii="Garamond" w:hAnsi="Garamond"/>
                <w:lang w:val="en-AU"/>
              </w:rPr>
              <w:t>HIRAID reduced the proportion of patients requiring a rapid response team call by 7.4 % (OR = 0.92, 95 % CI = 0.81–0.99) including 8.2 % fewer calls related to emergency nursing care (47 % to 38.8 %, OR = 0.72, 95 % CI = 0.56–0.93).</w:t>
            </w:r>
          </w:p>
          <w:p w14:paraId="4B876A20" w14:textId="77777777" w:rsidR="00F31562" w:rsidRDefault="00F31562" w:rsidP="00F31562">
            <w:pPr>
              <w:pStyle w:val="ListParagraph"/>
              <w:keepLines/>
              <w:numPr>
                <w:ilvl w:val="0"/>
                <w:numId w:val="39"/>
              </w:numPr>
              <w:autoSpaceDE w:val="0"/>
              <w:autoSpaceDN w:val="0"/>
              <w:adjustRightInd w:val="0"/>
              <w:rPr>
                <w:rFonts w:ascii="Garamond" w:hAnsi="Garamond"/>
                <w:lang w:val="en-AU"/>
              </w:rPr>
            </w:pPr>
            <w:r w:rsidRPr="00F31562">
              <w:rPr>
                <w:rFonts w:ascii="Garamond" w:hAnsi="Garamond"/>
                <w:lang w:val="en-AU"/>
              </w:rPr>
              <w:t xml:space="preserve">Patient experience improved in all measures, particularly feeling more informed (OR = 1.74, 95 % CI = 1.37–2.19). </w:t>
            </w:r>
          </w:p>
          <w:p w14:paraId="6BC7CFD5" w14:textId="77777777" w:rsidR="00F31562" w:rsidRDefault="00F31562" w:rsidP="00F31562">
            <w:pPr>
              <w:pStyle w:val="ListParagraph"/>
              <w:keepLines/>
              <w:numPr>
                <w:ilvl w:val="0"/>
                <w:numId w:val="39"/>
              </w:numPr>
              <w:autoSpaceDE w:val="0"/>
              <w:autoSpaceDN w:val="0"/>
              <w:adjustRightInd w:val="0"/>
              <w:rPr>
                <w:rFonts w:ascii="Garamond" w:hAnsi="Garamond"/>
                <w:lang w:val="en-AU"/>
              </w:rPr>
            </w:pPr>
            <w:r w:rsidRPr="00F31562">
              <w:rPr>
                <w:rFonts w:ascii="Garamond" w:hAnsi="Garamond"/>
                <w:lang w:val="en-AU"/>
              </w:rPr>
              <w:t>There was no change in time to first analgesia.</w:t>
            </w:r>
          </w:p>
          <w:p w14:paraId="780EBD18" w14:textId="77777777" w:rsidR="00F31562" w:rsidRDefault="00F31562" w:rsidP="00F31562">
            <w:pPr>
              <w:pStyle w:val="ListParagraph"/>
              <w:keepLines/>
              <w:numPr>
                <w:ilvl w:val="0"/>
                <w:numId w:val="39"/>
              </w:numPr>
              <w:autoSpaceDE w:val="0"/>
              <w:autoSpaceDN w:val="0"/>
              <w:adjustRightInd w:val="0"/>
              <w:rPr>
                <w:rFonts w:ascii="Garamond" w:hAnsi="Garamond"/>
                <w:lang w:val="en-AU"/>
              </w:rPr>
            </w:pPr>
            <w:r w:rsidRPr="00F31562">
              <w:rPr>
                <w:rFonts w:ascii="Garamond" w:hAnsi="Garamond"/>
                <w:lang w:val="en-AU"/>
              </w:rPr>
              <w:t>There was a 7.0 % improvement in handover of relevant history (t = 5.57, p &lt; 0.001) and physical assessment (t = 4.72, p &lt; 0.001).</w:t>
            </w:r>
            <w:r>
              <w:rPr>
                <w:rFonts w:ascii="Garamond" w:hAnsi="Garamond"/>
                <w:lang w:val="en-AU"/>
              </w:rPr>
              <w:t>’</w:t>
            </w:r>
          </w:p>
          <w:p w14:paraId="767F3AC8" w14:textId="7EFF6BCF" w:rsidR="00F31562" w:rsidRPr="00F31562" w:rsidRDefault="00F31562" w:rsidP="00F31562">
            <w:pPr>
              <w:keepLines/>
              <w:autoSpaceDE w:val="0"/>
              <w:autoSpaceDN w:val="0"/>
              <w:adjustRightInd w:val="0"/>
              <w:rPr>
                <w:rFonts w:ascii="Garamond" w:hAnsi="Garamond"/>
                <w:lang w:val="en-AU"/>
              </w:rPr>
            </w:pPr>
            <w:r>
              <w:rPr>
                <w:rFonts w:ascii="Garamond" w:hAnsi="Garamond"/>
                <w:lang w:val="en-AU"/>
              </w:rPr>
              <w:t>The authors conclude that ‘</w:t>
            </w:r>
            <w:r w:rsidRPr="00F31562">
              <w:rPr>
                <w:rFonts w:ascii="Garamond" w:hAnsi="Garamond"/>
                <w:lang w:val="en-AU"/>
              </w:rPr>
              <w:t>Emergency nurses' use of HIRAID significantly reduced inpatient deterioration requiring a rapid response team call and improved patient experience and perceived quality of clinical handover.</w:t>
            </w:r>
            <w:r>
              <w:rPr>
                <w:rFonts w:ascii="Garamond" w:hAnsi="Garamond"/>
                <w:lang w:val="en-AU"/>
              </w:rPr>
              <w:t>’</w:t>
            </w:r>
          </w:p>
        </w:tc>
      </w:tr>
    </w:tbl>
    <w:p w14:paraId="158D4B7C" w14:textId="77777777" w:rsidR="00447E78" w:rsidRDefault="00447E78" w:rsidP="00447E78">
      <w:pPr>
        <w:keepLines/>
        <w:autoSpaceDE w:val="0"/>
        <w:autoSpaceDN w:val="0"/>
        <w:adjustRightInd w:val="0"/>
        <w:rPr>
          <w:rFonts w:ascii="Garamond" w:hAnsi="Garamond"/>
          <w:bCs/>
          <w:lang w:val="en-AU"/>
        </w:rPr>
      </w:pPr>
    </w:p>
    <w:p w14:paraId="09CE5DDE" w14:textId="1774EE8D" w:rsidR="00783C7F" w:rsidRDefault="00783C7F" w:rsidP="00447E78">
      <w:pPr>
        <w:keepLines/>
        <w:autoSpaceDE w:val="0"/>
        <w:autoSpaceDN w:val="0"/>
        <w:adjustRightInd w:val="0"/>
        <w:rPr>
          <w:rFonts w:ascii="Garamond" w:hAnsi="Garamond"/>
          <w:bCs/>
          <w:lang w:val="en-AU"/>
        </w:rPr>
      </w:pPr>
      <w:r w:rsidRPr="008C36C6">
        <w:rPr>
          <w:rFonts w:ascii="Garamond" w:hAnsi="Garamond"/>
          <w:bCs/>
          <w:lang w:val="en-AU"/>
        </w:rPr>
        <w:t xml:space="preserve">For information on the Commission’s work on </w:t>
      </w:r>
      <w:r>
        <w:rPr>
          <w:rFonts w:ascii="Garamond" w:hAnsi="Garamond"/>
          <w:bCs/>
          <w:lang w:val="en-AU"/>
        </w:rPr>
        <w:t>r</w:t>
      </w:r>
      <w:r w:rsidRPr="00783C7F">
        <w:rPr>
          <w:rFonts w:ascii="Garamond" w:hAnsi="Garamond"/>
          <w:bCs/>
          <w:lang w:val="en-AU"/>
        </w:rPr>
        <w:t>ecognising and responding to acute deterioration</w:t>
      </w:r>
      <w:r w:rsidRPr="008C36C6">
        <w:rPr>
          <w:rFonts w:ascii="Garamond" w:hAnsi="Garamond"/>
          <w:bCs/>
          <w:lang w:val="en-AU"/>
        </w:rPr>
        <w:t>, see</w:t>
      </w:r>
      <w:r>
        <w:rPr>
          <w:rFonts w:ascii="Garamond" w:hAnsi="Garamond"/>
          <w:bCs/>
          <w:lang w:val="en-AU"/>
        </w:rPr>
        <w:t xml:space="preserve"> </w:t>
      </w:r>
      <w:hyperlink r:id="rId17" w:history="1">
        <w:r w:rsidRPr="00145654">
          <w:rPr>
            <w:rStyle w:val="Hyperlink"/>
            <w:rFonts w:ascii="Garamond" w:hAnsi="Garamond"/>
            <w:bCs/>
            <w:lang w:val="en-AU"/>
          </w:rPr>
          <w:t>https://www.safetyandquality.gov.au/our-work/recognising-and-responding-acute-deterioration</w:t>
        </w:r>
      </w:hyperlink>
    </w:p>
    <w:p w14:paraId="08A18E5E" w14:textId="77777777" w:rsidR="00783C7F" w:rsidRDefault="00783C7F" w:rsidP="00447E78">
      <w:pPr>
        <w:keepLines/>
        <w:autoSpaceDE w:val="0"/>
        <w:autoSpaceDN w:val="0"/>
        <w:adjustRightInd w:val="0"/>
        <w:rPr>
          <w:rFonts w:ascii="Garamond" w:hAnsi="Garamond"/>
          <w:bCs/>
          <w:lang w:val="en-AU"/>
        </w:rPr>
      </w:pPr>
    </w:p>
    <w:p w14:paraId="3FBA7B9B" w14:textId="0BBBF440" w:rsidR="00FD2FB9" w:rsidRPr="00783C7F" w:rsidRDefault="00783C7F" w:rsidP="00FD2FB9">
      <w:pPr>
        <w:keepNext/>
        <w:rPr>
          <w:rFonts w:ascii="Garamond" w:hAnsi="Garamond"/>
          <w:bCs/>
          <w:i/>
          <w:iCs/>
          <w:lang w:val="en-AU"/>
        </w:rPr>
      </w:pPr>
      <w:r w:rsidRPr="00783C7F">
        <w:rPr>
          <w:rFonts w:ascii="Garamond" w:hAnsi="Garamond"/>
          <w:bCs/>
          <w:i/>
          <w:iCs/>
          <w:lang w:val="en-AU"/>
        </w:rPr>
        <w:t>Non-technical errors associated with deaths in surgical care, Australia, 2012–2019, by surgical specialty (Australian and New Zealand Audit of Surgical Mortality): a retrospective cohort study</w:t>
      </w:r>
    </w:p>
    <w:p w14:paraId="30A5FF39" w14:textId="77777777" w:rsidR="007A3BFF" w:rsidRDefault="007A3BFF" w:rsidP="00FD2FB9">
      <w:pPr>
        <w:keepNext/>
        <w:rPr>
          <w:rFonts w:ascii="Garamond" w:hAnsi="Garamond"/>
          <w:bCs/>
          <w:lang w:val="en-AU"/>
        </w:rPr>
      </w:pPr>
      <w:r w:rsidRPr="007A3BFF">
        <w:rPr>
          <w:rFonts w:ascii="Garamond" w:hAnsi="Garamond"/>
          <w:bCs/>
          <w:lang w:val="en-AU"/>
        </w:rPr>
        <w:t>Ey J, Kollias V, Lee O, Hou K, Herath M, North JB, et al</w:t>
      </w:r>
    </w:p>
    <w:p w14:paraId="0DF7D5EA" w14:textId="5226AC1F" w:rsidR="00783C7F" w:rsidRPr="008C36C6" w:rsidRDefault="007A3BFF" w:rsidP="00FD2FB9">
      <w:pPr>
        <w:keepNext/>
        <w:rPr>
          <w:rFonts w:ascii="Garamond" w:hAnsi="Garamond"/>
          <w:bCs/>
          <w:lang w:val="en-AU"/>
        </w:rPr>
      </w:pPr>
      <w:r w:rsidRPr="007A3BFF">
        <w:rPr>
          <w:rFonts w:ascii="Garamond" w:hAnsi="Garamond"/>
          <w:bCs/>
          <w:lang w:val="en-AU"/>
        </w:rPr>
        <w:t>Medical Journal of Australia. 2025.</w:t>
      </w:r>
    </w:p>
    <w:tbl>
      <w:tblPr>
        <w:tblStyle w:val="TableGrid"/>
        <w:tblW w:w="9360" w:type="dxa"/>
        <w:tblInd w:w="288" w:type="dxa"/>
        <w:tblLayout w:type="fixed"/>
        <w:tblLook w:val="01E0" w:firstRow="1" w:lastRow="1" w:firstColumn="1" w:lastColumn="1" w:noHBand="0" w:noVBand="0"/>
      </w:tblPr>
      <w:tblGrid>
        <w:gridCol w:w="1080"/>
        <w:gridCol w:w="8280"/>
      </w:tblGrid>
      <w:tr w:rsidR="00FD2FB9" w:rsidRPr="008C36C6" w14:paraId="1900424F"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7024CB03" w14:textId="77777777" w:rsidR="00FD2FB9" w:rsidRPr="008C36C6" w:rsidRDefault="00FD2FB9" w:rsidP="00A43838">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E8D2CE6" w14:textId="42DA39E2" w:rsidR="00FD2FB9" w:rsidRPr="008C36C6" w:rsidRDefault="00783C7F" w:rsidP="00A43838">
            <w:pPr>
              <w:keepNext/>
              <w:jc w:val="both"/>
              <w:rPr>
                <w:rStyle w:val="Hyperlink"/>
                <w:rFonts w:ascii="Garamond" w:hAnsi="Garamond"/>
                <w:color w:val="auto"/>
                <w:u w:val="none"/>
                <w:lang w:val="en-AU"/>
              </w:rPr>
            </w:pPr>
            <w:hyperlink r:id="rId18" w:history="1">
              <w:r w:rsidRPr="00145654">
                <w:rPr>
                  <w:rStyle w:val="Hyperlink"/>
                  <w:rFonts w:ascii="Garamond" w:hAnsi="Garamond"/>
                  <w:lang w:val="en-AU"/>
                </w:rPr>
                <w:t>https://doi.org/10.5694/mja2.70055</w:t>
              </w:r>
            </w:hyperlink>
          </w:p>
        </w:tc>
      </w:tr>
      <w:tr w:rsidR="00FD2FB9" w:rsidRPr="008C36C6" w14:paraId="2DC64891"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39FC8081" w14:textId="77777777" w:rsidR="00FD2FB9" w:rsidRPr="008C36C6" w:rsidRDefault="00FD2FB9" w:rsidP="00A4383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4ADE078" w14:textId="10AA2271" w:rsidR="0045428C" w:rsidRDefault="007A3BFF" w:rsidP="0045428C">
            <w:pPr>
              <w:keepLines/>
              <w:autoSpaceDE w:val="0"/>
              <w:autoSpaceDN w:val="0"/>
              <w:adjustRightInd w:val="0"/>
              <w:rPr>
                <w:rFonts w:ascii="Garamond" w:hAnsi="Garamond"/>
                <w:lang w:val="en-AU"/>
              </w:rPr>
            </w:pPr>
            <w:r>
              <w:rPr>
                <w:rFonts w:ascii="Garamond" w:hAnsi="Garamond"/>
                <w:lang w:val="en-AU"/>
              </w:rPr>
              <w:t xml:space="preserve">Report of an </w:t>
            </w:r>
            <w:r w:rsidRPr="007A3BFF">
              <w:rPr>
                <w:rFonts w:ascii="Garamond" w:hAnsi="Garamond"/>
                <w:lang w:val="en-AU"/>
              </w:rPr>
              <w:t>analysis of Australian and New Zealand Audit of Surgical Mortality (ANZASM) data</w:t>
            </w:r>
            <w:r>
              <w:rPr>
                <w:rFonts w:ascii="Garamond" w:hAnsi="Garamond"/>
                <w:lang w:val="en-AU"/>
              </w:rPr>
              <w:t xml:space="preserve"> that examined ‘</w:t>
            </w:r>
            <w:r w:rsidRPr="007A3BFF">
              <w:rPr>
                <w:rFonts w:ascii="Garamond" w:hAnsi="Garamond"/>
                <w:lang w:val="en-AU"/>
              </w:rPr>
              <w:t>the frequency of non-technical errors in cases of surgical care-related deaths in Australia, by surgical specialty.</w:t>
            </w:r>
            <w:r>
              <w:rPr>
                <w:rFonts w:ascii="Garamond" w:hAnsi="Garamond"/>
                <w:lang w:val="en-AU"/>
              </w:rPr>
              <w:t xml:space="preserve">’ </w:t>
            </w:r>
            <w:r w:rsidR="0045428C">
              <w:rPr>
                <w:rFonts w:ascii="Garamond" w:hAnsi="Garamond"/>
                <w:lang w:val="en-AU"/>
              </w:rPr>
              <w:t>The authors note that</w:t>
            </w:r>
            <w:r w:rsidR="0045428C">
              <w:t xml:space="preserve"> ‘</w:t>
            </w:r>
            <w:proofErr w:type="gramStart"/>
            <w:r w:rsidR="0045428C" w:rsidRPr="0045428C">
              <w:rPr>
                <w:rFonts w:ascii="Garamond" w:hAnsi="Garamond"/>
                <w:lang w:val="en-AU"/>
              </w:rPr>
              <w:t>Non-technical</w:t>
            </w:r>
            <w:proofErr w:type="gramEnd"/>
            <w:r w:rsidR="0045428C" w:rsidRPr="0045428C">
              <w:rPr>
                <w:rFonts w:ascii="Garamond" w:hAnsi="Garamond"/>
                <w:lang w:val="en-AU"/>
              </w:rPr>
              <w:t xml:space="preserve"> skills, the cognitive and interpersonal components of medical professionalism, encompass a diverse range of behaviours in four domains: decision making, situational awareness, communication and teamwork, and leadership.</w:t>
            </w:r>
            <w:r w:rsidR="0045428C">
              <w:rPr>
                <w:rFonts w:ascii="Garamond" w:hAnsi="Garamond"/>
                <w:lang w:val="en-AU"/>
              </w:rPr>
              <w:t>’</w:t>
            </w:r>
          </w:p>
          <w:p w14:paraId="26DAAA5C" w14:textId="7409BD3E" w:rsidR="0045428C" w:rsidRPr="008C36C6" w:rsidRDefault="007A3BFF" w:rsidP="0045428C">
            <w:pPr>
              <w:keepLines/>
              <w:autoSpaceDE w:val="0"/>
              <w:autoSpaceDN w:val="0"/>
              <w:adjustRightInd w:val="0"/>
              <w:rPr>
                <w:rFonts w:ascii="Garamond" w:hAnsi="Garamond"/>
                <w:lang w:val="en-AU"/>
              </w:rPr>
            </w:pPr>
            <w:r>
              <w:rPr>
                <w:rFonts w:ascii="Garamond" w:hAnsi="Garamond"/>
                <w:lang w:val="en-AU"/>
              </w:rPr>
              <w:t xml:space="preserve">The study reviewed </w:t>
            </w:r>
            <w:r w:rsidRPr="007A3BFF">
              <w:rPr>
                <w:rFonts w:ascii="Garamond" w:hAnsi="Garamond"/>
                <w:lang w:val="en-AU"/>
              </w:rPr>
              <w:t>30</w:t>
            </w:r>
            <w:r w:rsidRPr="007A3BFF">
              <w:rPr>
                <w:lang w:val="en-AU"/>
              </w:rPr>
              <w:t> </w:t>
            </w:r>
            <w:r w:rsidRPr="007A3BFF">
              <w:rPr>
                <w:rFonts w:ascii="Garamond" w:hAnsi="Garamond"/>
                <w:lang w:val="en-AU"/>
              </w:rPr>
              <w:t>971 surgical care-related deaths reported to ANZASM during 2012</w:t>
            </w:r>
            <w:r w:rsidRPr="007A3BFF">
              <w:rPr>
                <w:rFonts w:ascii="Garamond" w:hAnsi="Garamond" w:cs="Garamond"/>
                <w:lang w:val="en-AU"/>
              </w:rPr>
              <w:t>–</w:t>
            </w:r>
            <w:r w:rsidRPr="007A3BFF">
              <w:rPr>
                <w:rFonts w:ascii="Garamond" w:hAnsi="Garamond"/>
                <w:lang w:val="en-AU"/>
              </w:rPr>
              <w:t>2019</w:t>
            </w:r>
            <w:r>
              <w:rPr>
                <w:rFonts w:ascii="Garamond" w:hAnsi="Garamond"/>
                <w:lang w:val="en-AU"/>
              </w:rPr>
              <w:t xml:space="preserve"> of which </w:t>
            </w:r>
            <w:r w:rsidRPr="007A3BFF">
              <w:rPr>
                <w:rFonts w:ascii="Garamond" w:hAnsi="Garamond"/>
                <w:lang w:val="en-AU"/>
              </w:rPr>
              <w:t>3695 were flagged with adverse events or areas of concern</w:t>
            </w:r>
            <w:r>
              <w:rPr>
                <w:rFonts w:ascii="Garamond" w:hAnsi="Garamond"/>
                <w:lang w:val="en-AU"/>
              </w:rPr>
              <w:t xml:space="preserve">. Of these, </w:t>
            </w:r>
            <w:r w:rsidR="0045428C" w:rsidRPr="0045428C">
              <w:rPr>
                <w:rFonts w:ascii="Garamond" w:hAnsi="Garamond"/>
                <w:lang w:val="en-AU"/>
              </w:rPr>
              <w:t>3422 cases</w:t>
            </w:r>
            <w:r w:rsidR="0045428C">
              <w:rPr>
                <w:rFonts w:ascii="Garamond" w:hAnsi="Garamond"/>
                <w:lang w:val="en-AU"/>
              </w:rPr>
              <w:t xml:space="preserve"> occurred </w:t>
            </w:r>
            <w:r w:rsidR="0045428C" w:rsidRPr="0045428C">
              <w:rPr>
                <w:rFonts w:ascii="Garamond" w:hAnsi="Garamond"/>
                <w:lang w:val="en-AU"/>
              </w:rPr>
              <w:t>in five surgical specialties: general surgery (1570 deaths), cardiothoracic surgery (626), orthopaedic surgery (510), vascular surgery (385), and neurosurgery (331).</w:t>
            </w:r>
            <w:r w:rsidR="0045428C">
              <w:rPr>
                <w:rFonts w:ascii="Garamond" w:hAnsi="Garamond"/>
                <w:lang w:val="en-AU"/>
              </w:rPr>
              <w:t xml:space="preserve"> The authors report that the analysis found ‘</w:t>
            </w:r>
            <w:r w:rsidR="0045428C" w:rsidRPr="0045428C">
              <w:rPr>
                <w:rFonts w:ascii="Garamond" w:hAnsi="Garamond"/>
                <w:lang w:val="en-AU"/>
              </w:rPr>
              <w:t>At least 50% of surgical care-related deaths in five surgical specialties were associated with non-technical errors, and the proportions did not substantially change during 2012–2019.</w:t>
            </w:r>
            <w:r w:rsidR="0045428C">
              <w:rPr>
                <w:rFonts w:ascii="Garamond" w:hAnsi="Garamond"/>
                <w:lang w:val="en-AU"/>
              </w:rPr>
              <w:t>’ The authors suggest that ‘</w:t>
            </w:r>
            <w:r w:rsidR="0045428C" w:rsidRPr="0045428C">
              <w:rPr>
                <w:rFonts w:ascii="Garamond" w:hAnsi="Garamond"/>
                <w:lang w:val="en-AU"/>
              </w:rPr>
              <w:t>Differences between specialties in the frequency of fatal non-technical error suggest that targeted improvement strategies are needed, but the persistently high frequency for all specialties indicates that systemwide improvement is crucial.</w:t>
            </w:r>
            <w:r w:rsidR="0045428C">
              <w:rPr>
                <w:rFonts w:ascii="Garamond" w:hAnsi="Garamond"/>
                <w:lang w:val="en-AU"/>
              </w:rPr>
              <w:t>’</w:t>
            </w:r>
          </w:p>
        </w:tc>
      </w:tr>
    </w:tbl>
    <w:p w14:paraId="2ADA9E8C" w14:textId="77777777" w:rsidR="00FD2FB9" w:rsidRDefault="00FD2FB9" w:rsidP="00FD2FB9">
      <w:pPr>
        <w:keepLines/>
        <w:autoSpaceDE w:val="0"/>
        <w:autoSpaceDN w:val="0"/>
        <w:adjustRightInd w:val="0"/>
        <w:rPr>
          <w:rFonts w:ascii="Garamond" w:hAnsi="Garamond"/>
          <w:bCs/>
          <w:lang w:val="en-AU"/>
        </w:rPr>
      </w:pPr>
    </w:p>
    <w:p w14:paraId="1BB54FDB" w14:textId="77777777" w:rsidR="00783C7F" w:rsidRPr="001011C2" w:rsidRDefault="00783C7F" w:rsidP="00783C7F">
      <w:pPr>
        <w:keepNext/>
        <w:keepLines/>
        <w:rPr>
          <w:rFonts w:ascii="Garamond" w:hAnsi="Garamond"/>
          <w:i/>
          <w:lang w:val="en-AU"/>
        </w:rPr>
      </w:pPr>
      <w:r w:rsidRPr="001011C2">
        <w:rPr>
          <w:rFonts w:ascii="Garamond" w:hAnsi="Garamond"/>
          <w:i/>
          <w:lang w:val="en-AU"/>
        </w:rPr>
        <w:t>Nursing Leadership</w:t>
      </w:r>
    </w:p>
    <w:p w14:paraId="15C54812" w14:textId="1D2AD184" w:rsidR="00783C7F" w:rsidRPr="007400B7" w:rsidRDefault="00783C7F" w:rsidP="00783C7F">
      <w:pPr>
        <w:keepNext/>
        <w:keepLines/>
        <w:rPr>
          <w:rFonts w:ascii="Garamond" w:hAnsi="Garamond"/>
          <w:iCs/>
          <w:lang w:val="en-AU"/>
        </w:rPr>
      </w:pPr>
      <w:r w:rsidRPr="007400B7">
        <w:rPr>
          <w:rFonts w:ascii="Garamond" w:hAnsi="Garamond"/>
          <w:iCs/>
          <w:lang w:val="en-AU"/>
        </w:rPr>
        <w:t>Volume 3</w:t>
      </w:r>
      <w:r>
        <w:rPr>
          <w:rFonts w:ascii="Garamond" w:hAnsi="Garamond"/>
          <w:iCs/>
          <w:lang w:val="en-AU"/>
        </w:rPr>
        <w:t>8</w:t>
      </w:r>
      <w:r w:rsidRPr="007400B7">
        <w:rPr>
          <w:rFonts w:ascii="Garamond" w:hAnsi="Garamond"/>
          <w:iCs/>
          <w:lang w:val="en-AU"/>
        </w:rPr>
        <w:t xml:space="preserve">, </w:t>
      </w:r>
      <w:r>
        <w:rPr>
          <w:rFonts w:ascii="Garamond" w:hAnsi="Garamond"/>
          <w:iCs/>
          <w:lang w:val="en-AU"/>
        </w:rPr>
        <w:t>Number 2</w:t>
      </w:r>
      <w:r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783C7F" w:rsidRPr="007400B7" w14:paraId="3404672B" w14:textId="77777777" w:rsidTr="003C131B">
        <w:tc>
          <w:tcPr>
            <w:tcW w:w="1080" w:type="dxa"/>
            <w:tcBorders>
              <w:top w:val="single" w:sz="4" w:space="0" w:color="auto"/>
              <w:left w:val="single" w:sz="4" w:space="0" w:color="auto"/>
              <w:bottom w:val="single" w:sz="4" w:space="0" w:color="auto"/>
              <w:right w:val="single" w:sz="4" w:space="0" w:color="auto"/>
            </w:tcBorders>
            <w:vAlign w:val="center"/>
            <w:hideMark/>
          </w:tcPr>
          <w:p w14:paraId="4C6AA744" w14:textId="77777777" w:rsidR="00783C7F" w:rsidRPr="007400B7" w:rsidRDefault="00783C7F" w:rsidP="003C131B">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29FB58B" w14:textId="0DF7E99A" w:rsidR="00783C7F" w:rsidRPr="007400B7" w:rsidRDefault="00783C7F" w:rsidP="00783C7F">
            <w:pPr>
              <w:keepNext/>
              <w:keepLines/>
              <w:rPr>
                <w:rStyle w:val="Hyperlink"/>
                <w:rFonts w:ascii="Garamond" w:hAnsi="Garamond"/>
                <w:color w:val="auto"/>
                <w:u w:val="none"/>
                <w:lang w:val="en-AU"/>
              </w:rPr>
            </w:pPr>
            <w:hyperlink r:id="rId19" w:history="1">
              <w:r w:rsidRPr="00145654">
                <w:rPr>
                  <w:rStyle w:val="Hyperlink"/>
                </w:rPr>
                <w:t>https://www.longwoods.com/publications/nursing-leadership/27711/</w:t>
              </w:r>
            </w:hyperlink>
          </w:p>
        </w:tc>
      </w:tr>
      <w:tr w:rsidR="00783C7F" w:rsidRPr="007400B7" w14:paraId="4C5C712E" w14:textId="77777777" w:rsidTr="003C131B">
        <w:tc>
          <w:tcPr>
            <w:tcW w:w="1080" w:type="dxa"/>
            <w:tcBorders>
              <w:top w:val="single" w:sz="4" w:space="0" w:color="auto"/>
              <w:left w:val="single" w:sz="4" w:space="0" w:color="auto"/>
              <w:bottom w:val="single" w:sz="4" w:space="0" w:color="auto"/>
              <w:right w:val="single" w:sz="4" w:space="0" w:color="auto"/>
            </w:tcBorders>
            <w:vAlign w:val="center"/>
            <w:hideMark/>
          </w:tcPr>
          <w:p w14:paraId="27F6B603" w14:textId="77777777" w:rsidR="00783C7F" w:rsidRPr="007400B7" w:rsidRDefault="00783C7F" w:rsidP="003C131B">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EB15F51" w14:textId="0B13A096" w:rsidR="00783C7F" w:rsidRPr="007400B7" w:rsidRDefault="00783C7F" w:rsidP="003C131B">
            <w:pPr>
              <w:rPr>
                <w:rFonts w:ascii="Garamond" w:hAnsi="Garamond"/>
                <w:lang w:val="en-AU"/>
              </w:rPr>
            </w:pPr>
            <w:r w:rsidRPr="007400B7">
              <w:rPr>
                <w:rFonts w:ascii="Garamond" w:hAnsi="Garamond"/>
                <w:lang w:val="en-AU"/>
              </w:rPr>
              <w:t xml:space="preserve">A new issue of </w:t>
            </w:r>
            <w:r w:rsidRPr="001011C2">
              <w:rPr>
                <w:rFonts w:ascii="Garamond" w:hAnsi="Garamond"/>
                <w:i/>
                <w:lang w:val="en-AU"/>
              </w:rPr>
              <w:t>Nursing Leadership</w:t>
            </w:r>
            <w:r w:rsidRPr="007400B7">
              <w:rPr>
                <w:rFonts w:ascii="Garamond" w:hAnsi="Garamond"/>
                <w:lang w:val="en-AU"/>
              </w:rPr>
              <w:t xml:space="preserve"> has been published</w:t>
            </w:r>
            <w:r w:rsidR="00202AA5">
              <w:rPr>
                <w:rFonts w:ascii="Garamond" w:hAnsi="Garamond"/>
                <w:lang w:val="en-AU"/>
              </w:rPr>
              <w:t xml:space="preserve"> with a theme on </w:t>
            </w:r>
            <w:r w:rsidR="00202AA5" w:rsidRPr="00202AA5">
              <w:rPr>
                <w:rFonts w:ascii="Garamond" w:hAnsi="Garamond"/>
                <w:lang w:val="en-AU"/>
              </w:rPr>
              <w:t>internationally educated nurses (IENs)</w:t>
            </w:r>
            <w:r w:rsidRPr="007400B7">
              <w:rPr>
                <w:rFonts w:ascii="Garamond" w:hAnsi="Garamond"/>
                <w:lang w:val="en-AU"/>
              </w:rPr>
              <w:t xml:space="preserve">. Articles in this issue of </w:t>
            </w:r>
            <w:r w:rsidRPr="001011C2">
              <w:rPr>
                <w:rFonts w:ascii="Garamond" w:hAnsi="Garamond"/>
                <w:i/>
                <w:lang w:val="en-AU"/>
              </w:rPr>
              <w:t>Nursing Leadership</w:t>
            </w:r>
            <w:r w:rsidRPr="007400B7">
              <w:rPr>
                <w:rFonts w:ascii="Garamond" w:hAnsi="Garamond"/>
                <w:lang w:val="en-AU"/>
              </w:rPr>
              <w:t xml:space="preserve"> include:</w:t>
            </w:r>
          </w:p>
          <w:p w14:paraId="154B203D" w14:textId="05088552" w:rsidR="00BC6484" w:rsidRPr="00BC6484" w:rsidRDefault="00BC6484" w:rsidP="00D92FAC">
            <w:pPr>
              <w:pStyle w:val="ListParagraph"/>
              <w:numPr>
                <w:ilvl w:val="0"/>
                <w:numId w:val="18"/>
              </w:numPr>
              <w:rPr>
                <w:rFonts w:ascii="Garamond" w:hAnsi="Garamond"/>
                <w:lang w:val="en-AU"/>
              </w:rPr>
            </w:pPr>
            <w:r w:rsidRPr="00BC6484">
              <w:rPr>
                <w:rFonts w:ascii="Garamond" w:hAnsi="Garamond"/>
                <w:lang w:val="en-AU"/>
              </w:rPr>
              <w:t xml:space="preserve">The Rapidly Evolving Field of </w:t>
            </w:r>
            <w:r w:rsidRPr="00BC6484">
              <w:rPr>
                <w:rFonts w:ascii="Garamond" w:hAnsi="Garamond"/>
                <w:b/>
                <w:bCs/>
                <w:lang w:val="en-AU"/>
              </w:rPr>
              <w:t>Recruitment and Retention of Internationally Educated Nurses</w:t>
            </w:r>
            <w:r w:rsidRPr="00BC6484">
              <w:rPr>
                <w:rFonts w:ascii="Garamond" w:hAnsi="Garamond"/>
                <w:lang w:val="en-AU"/>
              </w:rPr>
              <w:t xml:space="preserve"> (Ruth Martin-Misener</w:t>
            </w:r>
            <w:r>
              <w:rPr>
                <w:rFonts w:ascii="Garamond" w:hAnsi="Garamond"/>
                <w:lang w:val="en-AU"/>
              </w:rPr>
              <w:t>)</w:t>
            </w:r>
          </w:p>
          <w:p w14:paraId="2CB124BC" w14:textId="543D175C" w:rsidR="00BC6484" w:rsidRPr="00BC6484" w:rsidRDefault="00BC6484" w:rsidP="00002121">
            <w:pPr>
              <w:pStyle w:val="ListParagraph"/>
              <w:numPr>
                <w:ilvl w:val="0"/>
                <w:numId w:val="18"/>
              </w:numPr>
              <w:rPr>
                <w:rFonts w:ascii="Garamond" w:hAnsi="Garamond"/>
                <w:lang w:val="en-AU"/>
              </w:rPr>
            </w:pPr>
            <w:r w:rsidRPr="00BC6484">
              <w:rPr>
                <w:rFonts w:ascii="Garamond" w:hAnsi="Garamond"/>
                <w:lang w:val="en-AU"/>
              </w:rPr>
              <w:t xml:space="preserve">Introducing a Special Series: </w:t>
            </w:r>
            <w:r w:rsidRPr="00BC6484">
              <w:rPr>
                <w:rFonts w:ascii="Garamond" w:hAnsi="Garamond"/>
                <w:b/>
                <w:bCs/>
                <w:lang w:val="en-AU"/>
              </w:rPr>
              <w:t xml:space="preserve">Integration of Internationally Educated Nurses </w:t>
            </w:r>
            <w:proofErr w:type="gramStart"/>
            <w:r w:rsidRPr="00BC6484">
              <w:rPr>
                <w:rFonts w:ascii="Garamond" w:hAnsi="Garamond"/>
                <w:lang w:val="en-AU"/>
              </w:rPr>
              <w:t>Into</w:t>
            </w:r>
            <w:proofErr w:type="gramEnd"/>
            <w:r w:rsidRPr="00BC6484">
              <w:rPr>
                <w:rFonts w:ascii="Garamond" w:hAnsi="Garamond"/>
                <w:lang w:val="en-AU"/>
              </w:rPr>
              <w:t xml:space="preserve"> the Canadian Workforce (Alyssa Indar and Edward Cruz</w:t>
            </w:r>
            <w:r>
              <w:rPr>
                <w:rFonts w:ascii="Garamond" w:hAnsi="Garamond"/>
                <w:lang w:val="en-AU"/>
              </w:rPr>
              <w:t>)</w:t>
            </w:r>
          </w:p>
          <w:p w14:paraId="52B30E23" w14:textId="6A4056AC" w:rsidR="00BC6484" w:rsidRPr="00BC6484" w:rsidRDefault="00BC6484" w:rsidP="0099750D">
            <w:pPr>
              <w:pStyle w:val="ListParagraph"/>
              <w:numPr>
                <w:ilvl w:val="0"/>
                <w:numId w:val="18"/>
              </w:numPr>
              <w:rPr>
                <w:rFonts w:ascii="Garamond" w:hAnsi="Garamond"/>
                <w:lang w:val="en-AU"/>
              </w:rPr>
            </w:pPr>
            <w:r w:rsidRPr="00BC6484">
              <w:rPr>
                <w:rFonts w:ascii="Garamond" w:hAnsi="Garamond"/>
                <w:lang w:val="en-AU"/>
              </w:rPr>
              <w:t xml:space="preserve">A Collaborative Approach to the Recruitment and Retention of </w:t>
            </w:r>
            <w:r w:rsidRPr="00BC6484">
              <w:rPr>
                <w:rFonts w:ascii="Garamond" w:hAnsi="Garamond"/>
                <w:b/>
                <w:bCs/>
                <w:lang w:val="en-AU"/>
              </w:rPr>
              <w:t xml:space="preserve">Internationally Educated Nurses </w:t>
            </w:r>
            <w:proofErr w:type="gramStart"/>
            <w:r w:rsidRPr="00BC6484">
              <w:rPr>
                <w:rFonts w:ascii="Garamond" w:hAnsi="Garamond"/>
                <w:b/>
                <w:bCs/>
                <w:lang w:val="en-AU"/>
              </w:rPr>
              <w:t>Into</w:t>
            </w:r>
            <w:proofErr w:type="gramEnd"/>
            <w:r w:rsidRPr="00BC6484">
              <w:rPr>
                <w:rFonts w:ascii="Garamond" w:hAnsi="Garamond"/>
                <w:b/>
                <w:bCs/>
                <w:lang w:val="en-AU"/>
              </w:rPr>
              <w:t xml:space="preserve"> Rural Communities</w:t>
            </w:r>
            <w:r w:rsidRPr="00BC6484">
              <w:rPr>
                <w:rFonts w:ascii="Garamond" w:hAnsi="Garamond"/>
                <w:lang w:val="en-AU"/>
              </w:rPr>
              <w:t xml:space="preserve"> (C Baxter</w:t>
            </w:r>
            <w:r>
              <w:rPr>
                <w:rFonts w:ascii="Garamond" w:hAnsi="Garamond"/>
                <w:lang w:val="en-AU"/>
              </w:rPr>
              <w:t>)</w:t>
            </w:r>
          </w:p>
          <w:p w14:paraId="33350078" w14:textId="59784A17" w:rsidR="00BC6484" w:rsidRPr="00BC6484" w:rsidRDefault="00BC6484" w:rsidP="00C75080">
            <w:pPr>
              <w:pStyle w:val="ListParagraph"/>
              <w:numPr>
                <w:ilvl w:val="0"/>
                <w:numId w:val="18"/>
              </w:numPr>
              <w:rPr>
                <w:rFonts w:ascii="Garamond" w:hAnsi="Garamond"/>
                <w:lang w:val="en-AU"/>
              </w:rPr>
            </w:pPr>
            <w:r w:rsidRPr="00BC6484">
              <w:rPr>
                <w:rFonts w:ascii="Garamond" w:hAnsi="Garamond"/>
                <w:b/>
                <w:bCs/>
                <w:lang w:val="en-AU"/>
              </w:rPr>
              <w:lastRenderedPageBreak/>
              <w:t>Internationally Educated Nurse Integration</w:t>
            </w:r>
            <w:r w:rsidRPr="00BC6484">
              <w:rPr>
                <w:rFonts w:ascii="Garamond" w:hAnsi="Garamond"/>
                <w:lang w:val="en-AU"/>
              </w:rPr>
              <w:t xml:space="preserve">: Insights </w:t>
            </w:r>
            <w:proofErr w:type="gramStart"/>
            <w:r w:rsidRPr="00BC6484">
              <w:rPr>
                <w:rFonts w:ascii="Garamond" w:hAnsi="Garamond"/>
                <w:lang w:val="en-AU"/>
              </w:rPr>
              <w:t>From</w:t>
            </w:r>
            <w:proofErr w:type="gramEnd"/>
            <w:r w:rsidRPr="00BC6484">
              <w:rPr>
                <w:rFonts w:ascii="Garamond" w:hAnsi="Garamond"/>
                <w:lang w:val="en-AU"/>
              </w:rPr>
              <w:t xml:space="preserve"> the Supervised Practice Experience Partnership Program at the University Health Network (Jennifer Hou, Irene Azurin, Karelin Martina, Pam Hubley and Alyssa Indar)</w:t>
            </w:r>
          </w:p>
          <w:p w14:paraId="53B2087B" w14:textId="0A26DA46" w:rsidR="00BC6484" w:rsidRPr="00BC6484" w:rsidRDefault="00BC6484" w:rsidP="007C2D99">
            <w:pPr>
              <w:pStyle w:val="ListParagraph"/>
              <w:numPr>
                <w:ilvl w:val="0"/>
                <w:numId w:val="18"/>
              </w:numPr>
              <w:rPr>
                <w:rFonts w:ascii="Garamond" w:hAnsi="Garamond"/>
                <w:lang w:val="en-AU"/>
              </w:rPr>
            </w:pPr>
            <w:r w:rsidRPr="00BC6484">
              <w:rPr>
                <w:rFonts w:ascii="Garamond" w:hAnsi="Garamond"/>
                <w:b/>
                <w:bCs/>
                <w:lang w:val="en-AU"/>
              </w:rPr>
              <w:t>Empowering Nurse Mentors</w:t>
            </w:r>
            <w:r w:rsidRPr="00BC6484">
              <w:rPr>
                <w:rFonts w:ascii="Garamond" w:hAnsi="Garamond"/>
                <w:lang w:val="en-AU"/>
              </w:rPr>
              <w:t xml:space="preserve">: A Multi-Site Exploration of the Clinical Scholar Program Implementation (Kimberly Lawrence, Lori Delaney, Julie McShane, Lisa Freeman, Tracey DasGupta, Alexandra Harris and </w:t>
            </w:r>
            <w:r>
              <w:rPr>
                <w:rFonts w:ascii="Garamond" w:hAnsi="Garamond"/>
                <w:lang w:val="en-AU"/>
              </w:rPr>
              <w:t>G Barton)</w:t>
            </w:r>
          </w:p>
          <w:p w14:paraId="604936CE" w14:textId="5FA8774C" w:rsidR="00BC6484" w:rsidRPr="00BC6484" w:rsidRDefault="00BC6484" w:rsidP="00683EE2">
            <w:pPr>
              <w:pStyle w:val="ListParagraph"/>
              <w:numPr>
                <w:ilvl w:val="0"/>
                <w:numId w:val="18"/>
              </w:numPr>
              <w:rPr>
                <w:rFonts w:ascii="Garamond" w:hAnsi="Garamond"/>
                <w:lang w:val="en-AU"/>
              </w:rPr>
            </w:pPr>
            <w:r w:rsidRPr="00BC6484">
              <w:rPr>
                <w:rFonts w:ascii="Garamond" w:hAnsi="Garamond"/>
                <w:lang w:val="en-AU"/>
              </w:rPr>
              <w:t xml:space="preserve">Enhancing Evaluation Capacity to Advance </w:t>
            </w:r>
            <w:r w:rsidRPr="00BC6484">
              <w:rPr>
                <w:rFonts w:ascii="Garamond" w:hAnsi="Garamond"/>
                <w:b/>
                <w:bCs/>
                <w:lang w:val="en-AU"/>
              </w:rPr>
              <w:t>Program Evaluation in Nursing Mentorship</w:t>
            </w:r>
            <w:r w:rsidRPr="00BC6484">
              <w:rPr>
                <w:rFonts w:ascii="Garamond" w:hAnsi="Garamond"/>
                <w:lang w:val="en-AU"/>
              </w:rPr>
              <w:t xml:space="preserve"> (Karolina Kaminska, Sarah Sousa, Kimberly Lawrence, Tracey DasGupta and Kelly Skinner</w:t>
            </w:r>
            <w:r>
              <w:rPr>
                <w:rFonts w:ascii="Garamond" w:hAnsi="Garamond"/>
                <w:lang w:val="en-AU"/>
              </w:rPr>
              <w:t>)</w:t>
            </w:r>
          </w:p>
          <w:p w14:paraId="79A790D0" w14:textId="10AC3719" w:rsidR="00BC6484" w:rsidRPr="00BC6484" w:rsidRDefault="00BC6484" w:rsidP="00CF3795">
            <w:pPr>
              <w:pStyle w:val="ListParagraph"/>
              <w:numPr>
                <w:ilvl w:val="0"/>
                <w:numId w:val="18"/>
              </w:numPr>
              <w:rPr>
                <w:rFonts w:ascii="Garamond" w:hAnsi="Garamond"/>
                <w:lang w:val="en-AU"/>
              </w:rPr>
            </w:pPr>
            <w:r w:rsidRPr="00BC6484">
              <w:rPr>
                <w:rFonts w:ascii="Garamond" w:hAnsi="Garamond"/>
                <w:b/>
                <w:bCs/>
                <w:lang w:val="en-AU"/>
              </w:rPr>
              <w:t>Supporting Nurse Practitioners</w:t>
            </w:r>
            <w:r w:rsidRPr="00BC6484">
              <w:rPr>
                <w:rFonts w:ascii="Garamond" w:hAnsi="Garamond"/>
                <w:lang w:val="en-AU"/>
              </w:rPr>
              <w:t xml:space="preserve"> Through Virtual and Hybrid Mentorship: Insights </w:t>
            </w:r>
            <w:proofErr w:type="gramStart"/>
            <w:r w:rsidRPr="00BC6484">
              <w:rPr>
                <w:rFonts w:ascii="Garamond" w:hAnsi="Garamond"/>
                <w:lang w:val="en-AU"/>
              </w:rPr>
              <w:t>From</w:t>
            </w:r>
            <w:proofErr w:type="gramEnd"/>
            <w:r w:rsidRPr="00BC6484">
              <w:rPr>
                <w:rFonts w:ascii="Garamond" w:hAnsi="Garamond"/>
                <w:lang w:val="en-AU"/>
              </w:rPr>
              <w:t xml:space="preserve"> Program Design and Delivery in Nova Scotia (Melanie Dunlop, Breanna Lloy, Sylvie Laprise, Nancy Cashen, Tricia Lane, Jennifer MacDougall, Jaime </w:t>
            </w:r>
            <w:r>
              <w:rPr>
                <w:rFonts w:ascii="Garamond" w:hAnsi="Garamond"/>
                <w:lang w:val="en-AU"/>
              </w:rPr>
              <w:t>Perrin and Sohani Welcher)</w:t>
            </w:r>
          </w:p>
          <w:p w14:paraId="60FFB1FF" w14:textId="10EC5C1E" w:rsidR="00BC6484" w:rsidRPr="007400B7" w:rsidRDefault="00BC6484" w:rsidP="00BC6484">
            <w:pPr>
              <w:pStyle w:val="ListParagraph"/>
              <w:numPr>
                <w:ilvl w:val="0"/>
                <w:numId w:val="18"/>
              </w:numPr>
              <w:rPr>
                <w:rFonts w:ascii="Garamond" w:hAnsi="Garamond"/>
                <w:lang w:val="en-AU"/>
              </w:rPr>
            </w:pPr>
            <w:r w:rsidRPr="00BC6484">
              <w:rPr>
                <w:rFonts w:ascii="Garamond" w:hAnsi="Garamond"/>
                <w:lang w:val="en-AU"/>
              </w:rPr>
              <w:t xml:space="preserve">Ontario </w:t>
            </w:r>
            <w:r w:rsidRPr="00BC6484">
              <w:rPr>
                <w:rFonts w:ascii="Garamond" w:hAnsi="Garamond"/>
                <w:b/>
                <w:bCs/>
                <w:lang w:val="en-AU"/>
              </w:rPr>
              <w:t xml:space="preserve">Emergency Department Models of Care </w:t>
            </w:r>
            <w:proofErr w:type="gramStart"/>
            <w:r w:rsidRPr="00BC6484">
              <w:rPr>
                <w:rFonts w:ascii="Garamond" w:hAnsi="Garamond"/>
                <w:b/>
                <w:bCs/>
                <w:lang w:val="en-AU"/>
              </w:rPr>
              <w:t>With</w:t>
            </w:r>
            <w:proofErr w:type="gramEnd"/>
            <w:r w:rsidRPr="00BC6484">
              <w:rPr>
                <w:rFonts w:ascii="Garamond" w:hAnsi="Garamond"/>
                <w:b/>
                <w:bCs/>
                <w:lang w:val="en-AU"/>
              </w:rPr>
              <w:t xml:space="preserve"> Nurse Practitioners and Clinical Nurse Specialists</w:t>
            </w:r>
            <w:r w:rsidRPr="00BC6484">
              <w:rPr>
                <w:rFonts w:ascii="Garamond" w:hAnsi="Garamond"/>
                <w:lang w:val="en-AU"/>
              </w:rPr>
              <w:t xml:space="preserve"> </w:t>
            </w:r>
            <w:r>
              <w:rPr>
                <w:rFonts w:ascii="Garamond" w:hAnsi="Garamond"/>
                <w:lang w:val="en-AU"/>
              </w:rPr>
              <w:t>(</w:t>
            </w:r>
            <w:r w:rsidRPr="00BC6484">
              <w:rPr>
                <w:rFonts w:ascii="Garamond" w:hAnsi="Garamond"/>
                <w:lang w:val="en-AU"/>
              </w:rPr>
              <w:t>Samantha Horvath, Sanja Visekruna, Kelley Kilpatrick, Melissa McCallum and Nancy Carter</w:t>
            </w:r>
            <w:r>
              <w:rPr>
                <w:rFonts w:ascii="Garamond" w:hAnsi="Garamond"/>
                <w:lang w:val="en-AU"/>
              </w:rPr>
              <w:t>)</w:t>
            </w:r>
          </w:p>
        </w:tc>
      </w:tr>
    </w:tbl>
    <w:p w14:paraId="116EE0FC" w14:textId="77777777" w:rsidR="00783C7F" w:rsidRPr="007400B7" w:rsidRDefault="00783C7F" w:rsidP="00783C7F">
      <w:pPr>
        <w:keepLines/>
        <w:autoSpaceDE w:val="0"/>
        <w:autoSpaceDN w:val="0"/>
        <w:adjustRightInd w:val="0"/>
        <w:rPr>
          <w:rFonts w:ascii="Garamond" w:hAnsi="Garamond"/>
          <w:lang w:val="en-AU"/>
        </w:rPr>
      </w:pPr>
    </w:p>
    <w:p w14:paraId="31A22402" w14:textId="77777777" w:rsidR="00F9255C" w:rsidRPr="008C36C6" w:rsidRDefault="00F9255C" w:rsidP="00F9255C">
      <w:pPr>
        <w:keepNext/>
        <w:rPr>
          <w:rFonts w:ascii="Garamond" w:hAnsi="Garamond"/>
          <w:lang w:val="en-AU"/>
        </w:rPr>
      </w:pPr>
      <w:r w:rsidRPr="008C36C6">
        <w:rPr>
          <w:rFonts w:ascii="Garamond" w:hAnsi="Garamond"/>
          <w:i/>
          <w:lang w:val="en-AU"/>
        </w:rPr>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0"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73EBE554" w14:textId="7F6A517C" w:rsidR="005E6C14" w:rsidRPr="005E6C14" w:rsidRDefault="005E6C14" w:rsidP="0010372C">
            <w:pPr>
              <w:pStyle w:val="ListParagraph"/>
              <w:numPr>
                <w:ilvl w:val="0"/>
                <w:numId w:val="16"/>
              </w:numPr>
              <w:rPr>
                <w:rFonts w:ascii="Garamond" w:hAnsi="Garamond"/>
                <w:lang w:val="en-AU"/>
              </w:rPr>
            </w:pPr>
            <w:r w:rsidRPr="005E6C14">
              <w:rPr>
                <w:rFonts w:ascii="Garamond" w:hAnsi="Garamond"/>
                <w:lang w:val="en-AU"/>
              </w:rPr>
              <w:t xml:space="preserve">Partnership makes performance: integration approaches to optimise </w:t>
            </w:r>
            <w:r w:rsidRPr="005E6C14">
              <w:rPr>
                <w:rFonts w:ascii="Garamond" w:hAnsi="Garamond"/>
                <w:b/>
                <w:bCs/>
                <w:lang w:val="en-AU"/>
              </w:rPr>
              <w:t>implementation science and quality improvement collaboration</w:t>
            </w:r>
            <w:r w:rsidRPr="005E6C14">
              <w:rPr>
                <w:rFonts w:ascii="Garamond" w:hAnsi="Garamond"/>
                <w:lang w:val="en-AU"/>
              </w:rPr>
              <w:t xml:space="preserve"> (Rinad S Beidas, Cynthia Barnard, Lisa R Hirschhorn, Miriam R Rafferty, Kelli Scott, Sara J Becker, Patricia D Franklin</w:t>
            </w:r>
            <w:r>
              <w:rPr>
                <w:rFonts w:ascii="Garamond" w:hAnsi="Garamond"/>
                <w:lang w:val="en-AU"/>
              </w:rPr>
              <w:t>)</w:t>
            </w:r>
          </w:p>
          <w:p w14:paraId="66B51603" w14:textId="64A8782E" w:rsidR="00FD2FB9" w:rsidRPr="00FD2FB9" w:rsidRDefault="00FD2FB9" w:rsidP="00C3773F">
            <w:pPr>
              <w:pStyle w:val="ListParagraph"/>
              <w:numPr>
                <w:ilvl w:val="0"/>
                <w:numId w:val="16"/>
              </w:numPr>
              <w:rPr>
                <w:rFonts w:ascii="Garamond" w:hAnsi="Garamond"/>
                <w:lang w:val="en-AU"/>
              </w:rPr>
            </w:pPr>
            <w:r w:rsidRPr="00FD2FB9">
              <w:rPr>
                <w:rFonts w:ascii="Garamond" w:hAnsi="Garamond"/>
                <w:b/>
                <w:bCs/>
                <w:lang w:val="en-AU"/>
              </w:rPr>
              <w:t>Mandatory specialist approval requirements</w:t>
            </w:r>
            <w:r w:rsidRPr="00FD2FB9">
              <w:rPr>
                <w:rFonts w:ascii="Garamond" w:hAnsi="Garamond"/>
                <w:lang w:val="en-AU"/>
              </w:rPr>
              <w:t xml:space="preserve"> reduce valproate prescribing: population-based evaluation of a National Patient Safety Alert (James Galloway, Matthew Jones, Mark Gibson, Kaiyang Song, Katie Bechman, Rajiv Mohanraj, Sam Norton, Mark D Russell</w:t>
            </w:r>
            <w:r>
              <w:rPr>
                <w:rFonts w:ascii="Garamond" w:hAnsi="Garamond"/>
                <w:lang w:val="en-AU"/>
              </w:rPr>
              <w:t>)</w:t>
            </w:r>
          </w:p>
          <w:p w14:paraId="0606DCC6" w14:textId="6202A85E" w:rsidR="00FD2FB9" w:rsidRPr="00FD2FB9" w:rsidRDefault="00FD2FB9" w:rsidP="008C63A7">
            <w:pPr>
              <w:pStyle w:val="ListParagraph"/>
              <w:numPr>
                <w:ilvl w:val="0"/>
                <w:numId w:val="16"/>
              </w:numPr>
              <w:rPr>
                <w:rFonts w:ascii="Garamond" w:hAnsi="Garamond"/>
                <w:lang w:val="en-AU"/>
              </w:rPr>
            </w:pPr>
            <w:r w:rsidRPr="00FD2FB9">
              <w:rPr>
                <w:rFonts w:ascii="Garamond" w:hAnsi="Garamond"/>
                <w:b/>
                <w:bCs/>
                <w:lang w:val="en-AU"/>
              </w:rPr>
              <w:t>Artificial intelligence chain-of-thought reasoning</w:t>
            </w:r>
            <w:r w:rsidRPr="00FD2FB9">
              <w:rPr>
                <w:rFonts w:ascii="Garamond" w:hAnsi="Garamond"/>
                <w:lang w:val="en-AU"/>
              </w:rPr>
              <w:t xml:space="preserve"> in nuanced medical scenarios: mitigation of cognitive biases through model intransigence (Jonathan Wang, Donald A Redelmeier</w:t>
            </w:r>
            <w:r>
              <w:rPr>
                <w:rFonts w:ascii="Garamond" w:hAnsi="Garamond"/>
                <w:lang w:val="en-AU"/>
              </w:rPr>
              <w:t>)</w:t>
            </w:r>
          </w:p>
          <w:p w14:paraId="404AED63" w14:textId="610ED98A" w:rsidR="00FD2FB9" w:rsidRPr="00FD2FB9" w:rsidRDefault="00FD2FB9" w:rsidP="007202D4">
            <w:pPr>
              <w:pStyle w:val="ListParagraph"/>
              <w:numPr>
                <w:ilvl w:val="0"/>
                <w:numId w:val="16"/>
              </w:numPr>
              <w:rPr>
                <w:rFonts w:ascii="Garamond" w:hAnsi="Garamond"/>
                <w:lang w:val="en-AU"/>
              </w:rPr>
            </w:pPr>
            <w:r w:rsidRPr="00FD2FB9">
              <w:rPr>
                <w:rFonts w:ascii="Garamond" w:hAnsi="Garamond"/>
                <w:lang w:val="en-AU"/>
              </w:rPr>
              <w:t xml:space="preserve">Editorial: From measurement to improvement: new evidence towards reducing </w:t>
            </w:r>
            <w:r w:rsidRPr="00FD2FB9">
              <w:rPr>
                <w:rFonts w:ascii="Garamond" w:hAnsi="Garamond"/>
                <w:b/>
                <w:bCs/>
                <w:lang w:val="en-AU"/>
              </w:rPr>
              <w:t>emergency diagnosis of cancer</w:t>
            </w:r>
            <w:r w:rsidRPr="00FD2FB9">
              <w:rPr>
                <w:rFonts w:ascii="Garamond" w:hAnsi="Garamond"/>
                <w:lang w:val="en-AU"/>
              </w:rPr>
              <w:t xml:space="preserve"> (Marta Berglund, Matthew E Barclay, Georgios Lyratzopoulos</w:t>
            </w:r>
            <w:r>
              <w:rPr>
                <w:rFonts w:ascii="Garamond" w:hAnsi="Garamond"/>
                <w:lang w:val="en-AU"/>
              </w:rPr>
              <w:t>)</w:t>
            </w:r>
          </w:p>
          <w:p w14:paraId="2F15730C" w14:textId="670C193D" w:rsidR="00337152" w:rsidRPr="008C36C6" w:rsidRDefault="00FD2FB9" w:rsidP="005E6C14">
            <w:pPr>
              <w:pStyle w:val="ListParagraph"/>
              <w:numPr>
                <w:ilvl w:val="0"/>
                <w:numId w:val="16"/>
              </w:numPr>
              <w:rPr>
                <w:rFonts w:ascii="Garamond" w:hAnsi="Garamond"/>
                <w:lang w:val="en-AU"/>
              </w:rPr>
            </w:pPr>
            <w:r w:rsidRPr="005E6C14">
              <w:rPr>
                <w:rFonts w:ascii="Garamond" w:hAnsi="Garamond"/>
                <w:lang w:val="en-AU"/>
              </w:rPr>
              <w:t xml:space="preserve">Editorial: Are we careless about </w:t>
            </w:r>
            <w:r w:rsidRPr="005E6C14">
              <w:rPr>
                <w:rFonts w:ascii="Garamond" w:hAnsi="Garamond"/>
                <w:b/>
                <w:bCs/>
                <w:lang w:val="en-AU"/>
              </w:rPr>
              <w:t>continuity of care</w:t>
            </w:r>
            <w:r w:rsidRPr="005E6C14">
              <w:rPr>
                <w:rFonts w:ascii="Garamond" w:hAnsi="Garamond"/>
                <w:lang w:val="en-AU"/>
              </w:rPr>
              <w:t>? (Persijn Honkoop, Marco Krukerink)</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608E5154" w14:textId="77777777" w:rsidR="00275F7D" w:rsidRPr="008C36C6" w:rsidRDefault="00275F7D" w:rsidP="00275F7D">
      <w:pPr>
        <w:keepNext/>
        <w:rPr>
          <w:rFonts w:ascii="Garamond" w:hAnsi="Garamond"/>
          <w:lang w:val="en-AU"/>
        </w:rPr>
      </w:pPr>
      <w:r w:rsidRPr="008C36C6">
        <w:rPr>
          <w:rFonts w:ascii="Garamond" w:hAnsi="Garamond"/>
          <w:i/>
          <w:lang w:val="en-AU"/>
        </w:rPr>
        <w:t xml:space="preserve">International Journal for Quality in Health Care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C36C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C36C6" w:rsidRDefault="00275F7D" w:rsidP="00B8228D">
            <w:pPr>
              <w:keepNext/>
              <w:rPr>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C36C6" w:rsidRDefault="00275F7D" w:rsidP="00B8228D">
            <w:pPr>
              <w:keepNext/>
              <w:rPr>
                <w:rFonts w:ascii="Garamond" w:hAnsi="Garamond"/>
                <w:lang w:val="en-AU"/>
              </w:rPr>
            </w:pPr>
            <w:hyperlink r:id="rId21" w:history="1">
              <w:r w:rsidRPr="008C36C6">
                <w:rPr>
                  <w:rStyle w:val="Hyperlink"/>
                  <w:rFonts w:ascii="Garamond" w:hAnsi="Garamond"/>
                  <w:lang w:val="en-AU"/>
                </w:rPr>
                <w:t>https://academic.oup.com/intqhc/advance-articles</w:t>
              </w:r>
            </w:hyperlink>
          </w:p>
        </w:tc>
      </w:tr>
      <w:tr w:rsidR="00275F7D" w:rsidRPr="008C36C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C36C6" w:rsidRDefault="00275F7D" w:rsidP="00B8228D">
            <w:pPr>
              <w:rPr>
                <w:rFonts w:ascii="Garamond" w:hAnsi="Garamond"/>
                <w:lang w:val="en-AU"/>
              </w:rPr>
            </w:pPr>
            <w:r w:rsidRPr="008C36C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C36C6" w:rsidRDefault="00275F7D" w:rsidP="00B8228D">
            <w:pPr>
              <w:rPr>
                <w:rFonts w:ascii="Garamond" w:hAnsi="Garamond"/>
                <w:lang w:val="en-AU"/>
              </w:rPr>
            </w:pPr>
            <w:r w:rsidRPr="008C36C6">
              <w:rPr>
                <w:rFonts w:ascii="Garamond" w:hAnsi="Garamond"/>
                <w:i/>
                <w:iCs/>
                <w:lang w:val="en-AU"/>
              </w:rPr>
              <w:t>International Journal for Quality in Health Care</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2AFEA9B2" w14:textId="16B89B6F" w:rsidR="00FC3635" w:rsidRPr="008C36C6" w:rsidRDefault="00FD2FB9" w:rsidP="005E6C14">
            <w:pPr>
              <w:pStyle w:val="ListParagraph"/>
              <w:numPr>
                <w:ilvl w:val="0"/>
                <w:numId w:val="16"/>
              </w:numPr>
              <w:rPr>
                <w:rFonts w:ascii="Garamond" w:hAnsi="Garamond"/>
                <w:lang w:val="en-AU"/>
              </w:rPr>
            </w:pPr>
            <w:r w:rsidRPr="00FD2FB9">
              <w:rPr>
                <w:rFonts w:ascii="Garamond" w:hAnsi="Garamond"/>
                <w:b/>
                <w:bCs/>
                <w:lang w:val="en-AU"/>
              </w:rPr>
              <w:t>Prediction of prolonged length of stay</w:t>
            </w:r>
            <w:r w:rsidRPr="00FD2FB9">
              <w:rPr>
                <w:rFonts w:ascii="Garamond" w:hAnsi="Garamond"/>
                <w:lang w:val="en-AU"/>
              </w:rPr>
              <w:t xml:space="preserve"> from first 2 days of hospitalization data: a SHAP value-based variable selection method for a simplified model (Rui Fa, Daniel Stoessel, Svetlana Artemova, Ursula von Schenck, Hadiseh Nowparast Rostami, Pierre-Ephrem Madiot, Caroline Landelle, Jean-Luc Bosson</w:t>
            </w:r>
            <w:r>
              <w:rPr>
                <w:rFonts w:ascii="Garamond" w:hAnsi="Garamond"/>
                <w:lang w:val="en-AU"/>
              </w:rPr>
              <w:t>)</w:t>
            </w:r>
          </w:p>
        </w:tc>
      </w:tr>
    </w:tbl>
    <w:p w14:paraId="2D5A7C1D" w14:textId="77777777" w:rsidR="00275F7D" w:rsidRPr="008C36C6" w:rsidRDefault="00275F7D" w:rsidP="00275F7D">
      <w:pPr>
        <w:keepLines/>
        <w:autoSpaceDE w:val="0"/>
        <w:autoSpaceDN w:val="0"/>
        <w:adjustRightInd w:val="0"/>
        <w:rPr>
          <w:rFonts w:ascii="Garamond" w:hAnsi="Garamond"/>
          <w:lang w:val="en-AU"/>
        </w:rPr>
      </w:pPr>
    </w:p>
    <w:p w14:paraId="7C9EEDC8" w14:textId="77777777" w:rsidR="00FD67E9" w:rsidRDefault="00FD67E9" w:rsidP="00C62C05">
      <w:pPr>
        <w:keepLines/>
        <w:autoSpaceDE w:val="0"/>
        <w:autoSpaceDN w:val="0"/>
        <w:adjustRightInd w:val="0"/>
        <w:rPr>
          <w:rFonts w:ascii="Garamond" w:hAnsi="Garamond"/>
          <w:lang w:val="en-AU"/>
        </w:rPr>
      </w:pPr>
    </w:p>
    <w:p w14:paraId="090D0261" w14:textId="77777777" w:rsidR="00782ABF" w:rsidRPr="008C36C6" w:rsidRDefault="00782ABF"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lastRenderedPageBreak/>
        <w:t>Online resources</w:t>
      </w:r>
    </w:p>
    <w:p w14:paraId="2C97E649" w14:textId="77777777" w:rsidR="009A08B0" w:rsidRPr="008C36C6" w:rsidRDefault="009A08B0" w:rsidP="00FD67E9">
      <w:pPr>
        <w:keepNext/>
        <w:keepLines/>
        <w:rPr>
          <w:rFonts w:ascii="Garamond" w:hAnsi="Garamond"/>
          <w:b/>
          <w:bCs/>
          <w:iCs/>
          <w:lang w:val="en-AU"/>
        </w:rPr>
      </w:pPr>
    </w:p>
    <w:p w14:paraId="504C11AB" w14:textId="57C14599" w:rsidR="00FD67E9" w:rsidRPr="008C36C6" w:rsidRDefault="00FD67E9" w:rsidP="00FD67E9">
      <w:pPr>
        <w:keepNext/>
        <w:keepLines/>
        <w:rPr>
          <w:rFonts w:ascii="Garamond" w:hAnsi="Garamond"/>
          <w:b/>
          <w:bCs/>
          <w:i/>
          <w:lang w:val="en-AU"/>
        </w:rPr>
      </w:pPr>
      <w:r w:rsidRPr="008C36C6">
        <w:rPr>
          <w:rFonts w:ascii="Garamond" w:hAnsi="Garamond"/>
          <w:b/>
          <w:bCs/>
          <w:i/>
          <w:lang w:val="en-AU"/>
        </w:rPr>
        <w:t>Australian Living Evidence Collaboration</w:t>
      </w:r>
    </w:p>
    <w:p w14:paraId="114EB5E0" w14:textId="77777777" w:rsidR="00FD67E9" w:rsidRPr="008C36C6" w:rsidRDefault="00FD67E9" w:rsidP="00FD67E9">
      <w:pPr>
        <w:keepLines/>
        <w:rPr>
          <w:rFonts w:ascii="Garamond" w:hAnsi="Garamond"/>
          <w:lang w:val="en-AU"/>
        </w:rPr>
      </w:pPr>
      <w:hyperlink r:id="rId22" w:history="1">
        <w:r w:rsidRPr="008C36C6">
          <w:rPr>
            <w:rStyle w:val="Hyperlink"/>
            <w:rFonts w:ascii="Garamond" w:hAnsi="Garamond"/>
            <w:lang w:val="en-AU"/>
          </w:rPr>
          <w:t>https://livingevidence.org.au/</w:t>
        </w:r>
      </w:hyperlink>
    </w:p>
    <w:p w14:paraId="13A4034E" w14:textId="77777777" w:rsidR="00FD67E9" w:rsidRPr="008C36C6" w:rsidRDefault="00FD67E9" w:rsidP="00FD67E9">
      <w:pPr>
        <w:keepNext/>
        <w:rPr>
          <w:rFonts w:ascii="Garamond" w:hAnsi="Garamond"/>
          <w:iCs/>
          <w:lang w:val="en-AU"/>
        </w:rPr>
      </w:pPr>
    </w:p>
    <w:p w14:paraId="3406D3E4" w14:textId="77777777" w:rsidR="00BF4D15" w:rsidRPr="001D1278" w:rsidRDefault="00BF4D15" w:rsidP="00BF4D15">
      <w:pPr>
        <w:keepNext/>
        <w:tabs>
          <w:tab w:val="left" w:pos="2695"/>
        </w:tabs>
        <w:rPr>
          <w:rFonts w:ascii="Garamond" w:hAnsi="Garamond"/>
          <w:b/>
          <w:i/>
          <w:iCs/>
          <w:lang w:val="en-AU"/>
        </w:rPr>
      </w:pPr>
      <w:r w:rsidRPr="001D1278">
        <w:rPr>
          <w:rFonts w:ascii="Garamond" w:hAnsi="Garamond"/>
          <w:b/>
          <w:i/>
          <w:iCs/>
          <w:lang w:val="en-AU"/>
        </w:rPr>
        <w:t>Residential Aged Care Communiqué</w:t>
      </w:r>
    </w:p>
    <w:p w14:paraId="3EB779AF" w14:textId="0DF9A4D5" w:rsidR="00783C7F" w:rsidRDefault="00783C7F" w:rsidP="00BF4D15">
      <w:pPr>
        <w:keepNext/>
        <w:rPr>
          <w:rFonts w:ascii="Garamond" w:hAnsi="Garamond"/>
        </w:rPr>
      </w:pPr>
      <w:hyperlink r:id="rId23" w:history="1">
        <w:r w:rsidRPr="00145654">
          <w:rPr>
            <w:rStyle w:val="Hyperlink"/>
            <w:rFonts w:ascii="Garamond" w:hAnsi="Garamond"/>
          </w:rPr>
          <w:t>https://www.thecommuniques.com/post/residential-aged-care-communiqu%C3%A9-volume-20-issue-4-november-2025</w:t>
        </w:r>
      </w:hyperlink>
    </w:p>
    <w:p w14:paraId="4506FB87" w14:textId="3697B05F" w:rsidR="00BF4D15" w:rsidRPr="001D1278" w:rsidRDefault="00BF4D15" w:rsidP="00BF4D15">
      <w:pPr>
        <w:keepNext/>
        <w:rPr>
          <w:rFonts w:ascii="Garamond" w:hAnsi="Garamond"/>
          <w:lang w:val="en-AU"/>
        </w:rPr>
      </w:pPr>
      <w:r w:rsidRPr="001D1278">
        <w:rPr>
          <w:rFonts w:ascii="Garamond" w:hAnsi="Garamond"/>
          <w:lang w:val="en-AU"/>
        </w:rPr>
        <w:t xml:space="preserve">Volume 20, Issue </w:t>
      </w:r>
      <w:r>
        <w:rPr>
          <w:rFonts w:ascii="Garamond" w:hAnsi="Garamond"/>
          <w:lang w:val="en-AU"/>
        </w:rPr>
        <w:t>4</w:t>
      </w:r>
      <w:r w:rsidRPr="001D1278">
        <w:rPr>
          <w:rFonts w:ascii="Garamond" w:hAnsi="Garamond"/>
          <w:lang w:val="en-AU"/>
        </w:rPr>
        <w:t xml:space="preserve">, </w:t>
      </w:r>
      <w:r>
        <w:rPr>
          <w:rFonts w:ascii="Garamond" w:hAnsi="Garamond"/>
          <w:lang w:val="en-AU"/>
        </w:rPr>
        <w:t>November</w:t>
      </w:r>
      <w:r w:rsidRPr="001D1278">
        <w:rPr>
          <w:rFonts w:ascii="Garamond" w:hAnsi="Garamond"/>
          <w:lang w:val="en-AU"/>
        </w:rPr>
        <w:t xml:space="preserve"> 2025</w:t>
      </w:r>
    </w:p>
    <w:p w14:paraId="37EC4036" w14:textId="3707F571" w:rsidR="00BF4D15" w:rsidRDefault="00BF4D15" w:rsidP="00BF4D15">
      <w:pPr>
        <w:keepNext/>
        <w:rPr>
          <w:rFonts w:ascii="Garamond" w:hAnsi="Garamond"/>
          <w:lang w:val="en-AU"/>
        </w:rPr>
      </w:pPr>
      <w:r w:rsidRPr="001D1278">
        <w:rPr>
          <w:rFonts w:ascii="Garamond" w:hAnsi="Garamond"/>
          <w:lang w:val="en-AU"/>
        </w:rPr>
        <w:t xml:space="preserve">This issue of </w:t>
      </w:r>
      <w:r w:rsidRPr="001D1278">
        <w:rPr>
          <w:rFonts w:ascii="Garamond" w:hAnsi="Garamond"/>
          <w:i/>
          <w:iCs/>
          <w:lang w:val="en-AU"/>
        </w:rPr>
        <w:t>Residential Aged Care Communiqué</w:t>
      </w:r>
      <w:r w:rsidRPr="001D1278">
        <w:rPr>
          <w:rFonts w:ascii="Garamond" w:hAnsi="Garamond"/>
          <w:lang w:val="en-AU"/>
        </w:rPr>
        <w:t xml:space="preserve"> </w:t>
      </w:r>
      <w:r>
        <w:rPr>
          <w:rFonts w:ascii="Garamond" w:hAnsi="Garamond"/>
          <w:lang w:val="en-AU"/>
        </w:rPr>
        <w:t xml:space="preserve">examines </w:t>
      </w:r>
      <w:r w:rsidR="00783C7F" w:rsidRPr="00783C7F">
        <w:rPr>
          <w:rFonts w:ascii="Garamond" w:hAnsi="Garamond"/>
          <w:lang w:val="en-AU"/>
        </w:rPr>
        <w:t xml:space="preserve">the </w:t>
      </w:r>
      <w:r w:rsidR="00783C7F">
        <w:rPr>
          <w:rFonts w:ascii="Garamond" w:hAnsi="Garamond"/>
          <w:lang w:val="en-AU"/>
        </w:rPr>
        <w:t xml:space="preserve">potential for </w:t>
      </w:r>
      <w:r w:rsidR="00783C7F" w:rsidRPr="00783C7F">
        <w:rPr>
          <w:rFonts w:ascii="Garamond" w:hAnsi="Garamond"/>
          <w:lang w:val="en-AU"/>
        </w:rPr>
        <w:t>inadvertent consequences of changing environmental restrictive practices</w:t>
      </w:r>
      <w:r w:rsidR="00783C7F">
        <w:rPr>
          <w:rFonts w:ascii="Garamond" w:hAnsi="Garamond"/>
          <w:lang w:val="en-AU"/>
        </w:rPr>
        <w:t>.</w:t>
      </w:r>
    </w:p>
    <w:p w14:paraId="78A80E6F" w14:textId="77777777" w:rsidR="00BF4D15" w:rsidRDefault="00BF4D15" w:rsidP="00D3764E">
      <w:pPr>
        <w:rPr>
          <w:rFonts w:ascii="Garamond" w:hAnsi="Garamond"/>
          <w:lang w:val="en-AU"/>
        </w:rPr>
      </w:pPr>
    </w:p>
    <w:p w14:paraId="362A3C57" w14:textId="2A62C513" w:rsidR="00ED6850" w:rsidRDefault="00ED6850">
      <w:pPr>
        <w:rPr>
          <w:rFonts w:ascii="Garamond" w:hAnsi="Garamond"/>
          <w:b/>
          <w:lang w:val="en-AU"/>
        </w:rPr>
      </w:pPr>
      <w:r>
        <w:rPr>
          <w:rFonts w:ascii="Garamond" w:hAnsi="Garamond"/>
          <w:b/>
          <w:lang w:val="en-AU"/>
        </w:rPr>
        <w:br w:type="page"/>
      </w:r>
    </w:p>
    <w:p w14:paraId="2A2F4385" w14:textId="77777777" w:rsidR="00CE7A49" w:rsidRPr="008C36C6" w:rsidRDefault="00CE7A49">
      <w:pPr>
        <w:rPr>
          <w:rFonts w:ascii="Garamond" w:hAnsi="Garamond"/>
          <w:b/>
          <w:lang w:val="en-AU"/>
        </w:rPr>
      </w:pPr>
    </w:p>
    <w:p w14:paraId="6F204B20" w14:textId="107D68CD" w:rsidR="00087550" w:rsidRPr="008C36C6" w:rsidRDefault="00087550" w:rsidP="00087550">
      <w:pPr>
        <w:keepNext/>
        <w:tabs>
          <w:tab w:val="left" w:pos="0"/>
        </w:tabs>
        <w:rPr>
          <w:rFonts w:ascii="Garamond" w:hAnsi="Garamond"/>
          <w:b/>
          <w:lang w:val="en-AU"/>
        </w:rPr>
      </w:pPr>
      <w:r w:rsidRPr="008C36C6">
        <w:rPr>
          <w:rFonts w:ascii="Garamond" w:hAnsi="Garamond"/>
          <w:b/>
          <w:lang w:val="en-AU"/>
        </w:rPr>
        <w:t>Infection prevention and control and COVID-19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24"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26"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7">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28"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29"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1F721724">
            <wp:extent cx="5305985" cy="7591642"/>
            <wp:effectExtent l="19050" t="19050" r="28575" b="9525"/>
            <wp:docPr id="1" name="Picture 1" descr="Break the chain of infection poste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331220" cy="7627747"/>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lastRenderedPageBreak/>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32"/>
      <w:footerReference w:type="default" r:id="rId33"/>
      <w:headerReference w:type="first" r:id="rId34"/>
      <w:footerReference w:type="first" r:id="rId35"/>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D76B" w14:textId="77777777" w:rsidR="00462ECC" w:rsidRDefault="00462ECC">
      <w:r>
        <w:separator/>
      </w:r>
    </w:p>
  </w:endnote>
  <w:endnote w:type="continuationSeparator" w:id="0">
    <w:p w14:paraId="3FDB56F6" w14:textId="77777777" w:rsidR="00462ECC" w:rsidRDefault="0046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66891F0D"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FD2FB9">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57D5E57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FD2FB9">
      <w:rPr>
        <w:rFonts w:ascii="Garamond" w:hAnsi="Garamond"/>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F0FE" w14:textId="77777777" w:rsidR="00462ECC" w:rsidRDefault="00462ECC">
      <w:r>
        <w:separator/>
      </w:r>
    </w:p>
  </w:footnote>
  <w:footnote w:type="continuationSeparator" w:id="0">
    <w:p w14:paraId="0062F742" w14:textId="77777777" w:rsidR="00462ECC" w:rsidRDefault="0046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2"/>
  </w:num>
  <w:num w:numId="2" w16cid:durableId="1683386478">
    <w:abstractNumId w:val="32"/>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8"/>
  </w:num>
  <w:num w:numId="14" w16cid:durableId="28579523">
    <w:abstractNumId w:val="23"/>
  </w:num>
  <w:num w:numId="15" w16cid:durableId="1756245841">
    <w:abstractNumId w:val="27"/>
  </w:num>
  <w:num w:numId="16" w16cid:durableId="1878159678">
    <w:abstractNumId w:val="14"/>
  </w:num>
  <w:num w:numId="17" w16cid:durableId="1406414453">
    <w:abstractNumId w:val="19"/>
  </w:num>
  <w:num w:numId="18" w16cid:durableId="1376396157">
    <w:abstractNumId w:val="15"/>
  </w:num>
  <w:num w:numId="19" w16cid:durableId="695890412">
    <w:abstractNumId w:val="16"/>
  </w:num>
  <w:num w:numId="20" w16cid:durableId="539126432">
    <w:abstractNumId w:val="21"/>
  </w:num>
  <w:num w:numId="21" w16cid:durableId="700252265">
    <w:abstractNumId w:val="29"/>
  </w:num>
  <w:num w:numId="22" w16cid:durableId="757948985">
    <w:abstractNumId w:val="33"/>
  </w:num>
  <w:num w:numId="23" w16cid:durableId="1167208696">
    <w:abstractNumId w:val="31"/>
  </w:num>
  <w:num w:numId="24" w16cid:durableId="1469392679">
    <w:abstractNumId w:val="38"/>
  </w:num>
  <w:num w:numId="25" w16cid:durableId="749617111">
    <w:abstractNumId w:val="25"/>
  </w:num>
  <w:num w:numId="26" w16cid:durableId="611398272">
    <w:abstractNumId w:val="11"/>
  </w:num>
  <w:num w:numId="27" w16cid:durableId="1878160920">
    <w:abstractNumId w:val="26"/>
  </w:num>
  <w:num w:numId="28" w16cid:durableId="93674944">
    <w:abstractNumId w:val="24"/>
  </w:num>
  <w:num w:numId="29" w16cid:durableId="1114599444">
    <w:abstractNumId w:val="10"/>
  </w:num>
  <w:num w:numId="30" w16cid:durableId="681322914">
    <w:abstractNumId w:val="36"/>
  </w:num>
  <w:num w:numId="31" w16cid:durableId="1509250666">
    <w:abstractNumId w:val="37"/>
  </w:num>
  <w:num w:numId="32" w16cid:durableId="1046371871">
    <w:abstractNumId w:val="13"/>
  </w:num>
  <w:num w:numId="33" w16cid:durableId="1228149564">
    <w:abstractNumId w:val="30"/>
  </w:num>
  <w:num w:numId="34" w16cid:durableId="280501317">
    <w:abstractNumId w:val="17"/>
  </w:num>
  <w:num w:numId="35" w16cid:durableId="735475228">
    <w:abstractNumId w:val="34"/>
  </w:num>
  <w:num w:numId="36" w16cid:durableId="1813282287">
    <w:abstractNumId w:val="12"/>
  </w:num>
  <w:num w:numId="37" w16cid:durableId="1899171756">
    <w:abstractNumId w:val="35"/>
  </w:num>
  <w:num w:numId="38" w16cid:durableId="1649090566">
    <w:abstractNumId w:val="18"/>
  </w:num>
  <w:num w:numId="39" w16cid:durableId="128885216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4F"/>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3F5"/>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9FD"/>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C60"/>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C54"/>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2ECC"/>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979"/>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C7"/>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14"/>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56"/>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8BD"/>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64E"/>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3F6"/>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9A3"/>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025"/>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50"/>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5694/mja2.70055" TargetMode="External"/><Relationship Id="rId26" Type="http://schemas.openxmlformats.org/officeDocument/2006/relationships/hyperlink" Target="https://www.safetyandquality.gov.au/publications-and-resources/resource-library/infection-prevention-and-control-poster-combined-airborne-and-contact-precautions" TargetMode="External"/><Relationship Id="rId21" Type="http://schemas.openxmlformats.org/officeDocument/2006/relationships/hyperlink" Target="https://academic.oup.com/intqhc/advance-articl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recognising-and-responding-acute-deterioration" TargetMode="External"/><Relationship Id="rId25" Type="http://schemas.openxmlformats.org/officeDocument/2006/relationships/image" Target="media/image2.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ijnurstu.2025.105256" TargetMode="External"/><Relationship Id="rId20" Type="http://schemas.openxmlformats.org/officeDocument/2006/relationships/hyperlink" Target="https://qualitysafety.bmj.com/content/early/recent" TargetMode="External"/><Relationship Id="rId29" Type="http://schemas.openxmlformats.org/officeDocument/2006/relationships/hyperlink" Target="https://www.safetyandquality.gov.au/publications-and-resources/resource-library/break-chain-infection-po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afetyandquality.gov.au/publications-and-resources/resource-library/infection-prevention-and-control-poster-combined-contact-and-droplet-precaution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sib.org.uk/patient-safety-investigations/electronic-patient-record-epr-systems-thematic-review/investigation-report/" TargetMode="External"/><Relationship Id="rId23" Type="http://schemas.openxmlformats.org/officeDocument/2006/relationships/hyperlink" Target="https://www.thecommuniques.com/post/residential-aged-care-communiqu%C3%A9-volume-20-issue-4-november-2025" TargetMode="External"/><Relationship Id="rId28" Type="http://schemas.openxmlformats.org/officeDocument/2006/relationships/hyperlink" Target="http://www.safetyandquality.gov.au/environmental-cleaning" TargetMode="External"/><Relationship Id="rId36" Type="http://schemas.openxmlformats.org/officeDocument/2006/relationships/fontTable" Target="fontTable.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longwoods.com/publications/nursing-leadership/27711/"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who.int/europe/publications/i/item/WHO-EURO-2025-12846-52620-81536" TargetMode="External"/><Relationship Id="rId22" Type="http://schemas.openxmlformats.org/officeDocument/2006/relationships/hyperlink" Target="https://livingevidence.org.au/" TargetMode="External"/><Relationship Id="rId27" Type="http://schemas.openxmlformats.org/officeDocument/2006/relationships/image" Target="media/image3.PNG"/><Relationship Id="rId3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9</Pages>
  <Words>1548</Words>
  <Characters>10551</Characters>
  <Application>Microsoft Office Word</Application>
  <DocSecurity>0</DocSecurity>
  <Lines>230</Lines>
  <Paragraphs>92</Paragraphs>
  <ScaleCrop>false</ScaleCrop>
  <HeadingPairs>
    <vt:vector size="2" baseType="variant">
      <vt:variant>
        <vt:lpstr>Title</vt:lpstr>
      </vt:variant>
      <vt:variant>
        <vt:i4>1</vt:i4>
      </vt:variant>
    </vt:vector>
  </HeadingPairs>
  <TitlesOfParts>
    <vt:vector size="1" baseType="lpstr">
      <vt:lpstr>Draft On the Radar Issue 724</vt:lpstr>
    </vt:vector>
  </TitlesOfParts>
  <Company>ACSQHC</Company>
  <LinksUpToDate>false</LinksUpToDate>
  <CharactersWithSpaces>12033</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724</dc:title>
  <dc:subject/>
  <dc:creator>Dr Niall Johnson</dc:creator>
  <cp:keywords>On the Radar</cp:keywords>
  <dc:description/>
  <cp:lastModifiedBy>JOHNSON, Niall</cp:lastModifiedBy>
  <cp:revision>12</cp:revision>
  <cp:lastPrinted>2025-07-31T22:38:00Z</cp:lastPrinted>
  <dcterms:created xsi:type="dcterms:W3CDTF">2025-11-25T20:49:00Z</dcterms:created>
  <dcterms:modified xsi:type="dcterms:W3CDTF">2025-11-27T22:56:00Z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