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BF1287" w:rsidRDefault="00824B99" w:rsidP="0089237C">
      <w:pPr>
        <w:pStyle w:val="Heading1"/>
        <w:rPr>
          <w:b w:val="0"/>
          <w:bCs w:val="0"/>
          <w:sz w:val="48"/>
          <w:szCs w:val="48"/>
          <w:lang w:val="en-AU"/>
        </w:rPr>
      </w:pPr>
      <w:r w:rsidRPr="00BF1287">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F1287">
        <w:rPr>
          <w:b w:val="0"/>
          <w:bCs w:val="0"/>
          <w:sz w:val="48"/>
          <w:szCs w:val="48"/>
          <w:lang w:val="en-AU"/>
        </w:rPr>
        <w:t>O</w:t>
      </w:r>
      <w:r w:rsidR="00070226" w:rsidRPr="00BF1287">
        <w:rPr>
          <w:b w:val="0"/>
          <w:bCs w:val="0"/>
          <w:sz w:val="48"/>
          <w:szCs w:val="48"/>
          <w:lang w:val="en-AU"/>
        </w:rPr>
        <w:t>n</w:t>
      </w:r>
      <w:r w:rsidR="00B160EF" w:rsidRPr="00BF1287">
        <w:rPr>
          <w:b w:val="0"/>
          <w:bCs w:val="0"/>
          <w:sz w:val="48"/>
          <w:szCs w:val="48"/>
          <w:lang w:val="en-AU"/>
        </w:rPr>
        <w:t xml:space="preserve"> the Ra</w:t>
      </w:r>
      <w:r w:rsidR="001E4F6B" w:rsidRPr="00BF1287">
        <w:rPr>
          <w:b w:val="0"/>
          <w:bCs w:val="0"/>
          <w:sz w:val="48"/>
          <w:szCs w:val="48"/>
          <w:lang w:val="en-AU"/>
        </w:rPr>
        <w:t>d</w:t>
      </w:r>
      <w:r w:rsidR="00B160EF" w:rsidRPr="00BF1287">
        <w:rPr>
          <w:b w:val="0"/>
          <w:bCs w:val="0"/>
          <w:sz w:val="48"/>
          <w:szCs w:val="48"/>
          <w:lang w:val="en-AU"/>
        </w:rPr>
        <w:t>ar</w:t>
      </w:r>
    </w:p>
    <w:p w14:paraId="7844D4AA" w14:textId="747EB252" w:rsidR="00E668E7" w:rsidRPr="00BF1287" w:rsidRDefault="00E668E7" w:rsidP="00F738B5">
      <w:pPr>
        <w:rPr>
          <w:rFonts w:ascii="Garamond" w:hAnsi="Garamond"/>
          <w:lang w:val="en-AU"/>
        </w:rPr>
      </w:pPr>
      <w:r w:rsidRPr="00BF1287">
        <w:rPr>
          <w:rFonts w:ascii="Garamond" w:hAnsi="Garamond"/>
          <w:lang w:val="en-AU"/>
        </w:rPr>
        <w:t>Issue 7</w:t>
      </w:r>
      <w:r w:rsidR="001366D7" w:rsidRPr="00BF1287">
        <w:rPr>
          <w:rFonts w:ascii="Garamond" w:hAnsi="Garamond"/>
          <w:lang w:val="en-AU"/>
        </w:rPr>
        <w:t>3</w:t>
      </w:r>
      <w:r w:rsidR="008A5CE4" w:rsidRPr="00BF1287">
        <w:rPr>
          <w:rFonts w:ascii="Garamond" w:hAnsi="Garamond"/>
          <w:lang w:val="en-AU"/>
        </w:rPr>
        <w:t>3</w:t>
      </w:r>
    </w:p>
    <w:p w14:paraId="61605C05" w14:textId="338930E7" w:rsidR="000E6619" w:rsidRPr="00BF1287" w:rsidRDefault="008A5CE4" w:rsidP="00F738B5">
      <w:pPr>
        <w:rPr>
          <w:rFonts w:ascii="Garamond" w:hAnsi="Garamond"/>
          <w:lang w:val="en-AU"/>
        </w:rPr>
      </w:pPr>
      <w:r w:rsidRPr="00BF1287">
        <w:rPr>
          <w:rFonts w:ascii="Garamond" w:hAnsi="Garamond"/>
          <w:lang w:val="en-AU"/>
        </w:rPr>
        <w:t>23</w:t>
      </w:r>
      <w:r w:rsidR="007D6834" w:rsidRPr="00BF1287">
        <w:rPr>
          <w:rFonts w:ascii="Garamond" w:hAnsi="Garamond"/>
          <w:lang w:val="en-AU"/>
        </w:rPr>
        <w:t xml:space="preserve"> </w:t>
      </w:r>
      <w:r w:rsidR="001366D7" w:rsidRPr="00BF1287">
        <w:rPr>
          <w:rFonts w:ascii="Garamond" w:hAnsi="Garamond"/>
          <w:lang w:val="en-AU"/>
        </w:rPr>
        <w:t>Febr</w:t>
      </w:r>
      <w:r w:rsidR="007D6834" w:rsidRPr="00BF1287">
        <w:rPr>
          <w:rFonts w:ascii="Garamond" w:hAnsi="Garamond"/>
          <w:lang w:val="en-AU"/>
        </w:rPr>
        <w:t>uary 2026</w:t>
      </w:r>
    </w:p>
    <w:p w14:paraId="7E131554" w14:textId="77777777" w:rsidR="005E07E9" w:rsidRPr="00BF1287" w:rsidRDefault="005E07E9" w:rsidP="00F738B5">
      <w:pPr>
        <w:rPr>
          <w:rFonts w:ascii="Garamond" w:hAnsi="Garamond"/>
          <w:lang w:val="en-AU"/>
        </w:rPr>
      </w:pPr>
    </w:p>
    <w:p w14:paraId="36572305" w14:textId="5EBE2336" w:rsidR="00B160EF" w:rsidRPr="00BF1287" w:rsidRDefault="00B160EF" w:rsidP="00FA11D5">
      <w:pPr>
        <w:rPr>
          <w:rFonts w:ascii="Garamond" w:hAnsi="Garamond"/>
          <w:b/>
          <w:lang w:val="en-AU"/>
        </w:rPr>
      </w:pPr>
      <w:r w:rsidRPr="00BF1287">
        <w:rPr>
          <w:rFonts w:ascii="Garamond" w:hAnsi="Garamond"/>
          <w:i/>
          <w:lang w:val="en-AU"/>
        </w:rPr>
        <w:t>On the Radar</w:t>
      </w:r>
      <w:r w:rsidRPr="00BF1287">
        <w:rPr>
          <w:rFonts w:ascii="Garamond" w:hAnsi="Garamond"/>
          <w:lang w:val="en-AU"/>
        </w:rPr>
        <w:t xml:space="preserve"> is a summary of some of the recent publications in </w:t>
      </w:r>
      <w:r w:rsidR="000025DB" w:rsidRPr="00BF1287">
        <w:rPr>
          <w:rFonts w:ascii="Garamond" w:hAnsi="Garamond"/>
          <w:lang w:val="en-AU"/>
        </w:rPr>
        <w:t>the</w:t>
      </w:r>
      <w:r w:rsidRPr="00BF1287">
        <w:rPr>
          <w:rFonts w:ascii="Garamond" w:hAnsi="Garamond"/>
          <w:lang w:val="en-AU"/>
        </w:rPr>
        <w:t xml:space="preserve"> areas of safety and quality in health care</w:t>
      </w:r>
      <w:r w:rsidR="008E1962" w:rsidRPr="00BF1287">
        <w:rPr>
          <w:rFonts w:ascii="Garamond" w:hAnsi="Garamond"/>
          <w:lang w:val="en-AU"/>
        </w:rPr>
        <w:t xml:space="preserve"> </w:t>
      </w:r>
      <w:r w:rsidRPr="00BF1287">
        <w:rPr>
          <w:rFonts w:ascii="Garamond" w:hAnsi="Garamond"/>
          <w:lang w:val="en-AU"/>
        </w:rPr>
        <w:t>Inclusion in this document is not an endorsement or recommendation of any publication or provider</w:t>
      </w:r>
      <w:r w:rsidR="008E1962" w:rsidRPr="00BF1287">
        <w:rPr>
          <w:rFonts w:ascii="Garamond" w:hAnsi="Garamond"/>
          <w:lang w:val="en-AU"/>
        </w:rPr>
        <w:t xml:space="preserve"> </w:t>
      </w:r>
      <w:r w:rsidRPr="00BF1287">
        <w:rPr>
          <w:rFonts w:ascii="Garamond" w:hAnsi="Garamond"/>
          <w:lang w:val="en-AU"/>
        </w:rPr>
        <w:t>Access to particular documents may depend on whether they are Open Access or not, and/or your individual or institutional access to subscription sites/services</w:t>
      </w:r>
      <w:r w:rsidR="008E1962" w:rsidRPr="00BF1287">
        <w:rPr>
          <w:rFonts w:ascii="Garamond" w:hAnsi="Garamond"/>
          <w:lang w:val="en-AU"/>
        </w:rPr>
        <w:t xml:space="preserve"> </w:t>
      </w:r>
      <w:r w:rsidR="00F460A7" w:rsidRPr="00BF1287">
        <w:rPr>
          <w:rFonts w:ascii="Garamond" w:hAnsi="Garamond"/>
          <w:lang w:val="en-AU"/>
        </w:rPr>
        <w:t>Material that may require subscription is included as it is considered relevant.</w:t>
      </w:r>
    </w:p>
    <w:p w14:paraId="47E75407" w14:textId="066BE536" w:rsidR="00B160EF" w:rsidRPr="00BF1287" w:rsidRDefault="00B160EF" w:rsidP="00B160EF">
      <w:pPr>
        <w:rPr>
          <w:rFonts w:ascii="Garamond" w:hAnsi="Garamond"/>
          <w:lang w:val="en-AU"/>
        </w:rPr>
      </w:pPr>
    </w:p>
    <w:p w14:paraId="44E8CAB9" w14:textId="44C58551" w:rsidR="00394B64" w:rsidRPr="00BF1287" w:rsidRDefault="00B160EF" w:rsidP="0045757F">
      <w:pPr>
        <w:autoSpaceDE w:val="0"/>
        <w:rPr>
          <w:rFonts w:ascii="Garamond" w:hAnsi="Garamond"/>
          <w:lang w:val="en-AU"/>
        </w:rPr>
      </w:pPr>
      <w:r w:rsidRPr="00BF1287">
        <w:rPr>
          <w:rFonts w:ascii="Garamond" w:hAnsi="Garamond"/>
          <w:i/>
          <w:lang w:val="en-AU"/>
        </w:rPr>
        <w:t>On the Radar</w:t>
      </w:r>
      <w:r w:rsidRPr="00BF1287">
        <w:rPr>
          <w:rFonts w:ascii="Garamond" w:hAnsi="Garamond"/>
          <w:lang w:val="en-AU"/>
        </w:rPr>
        <w:t xml:space="preserve"> is available </w:t>
      </w:r>
      <w:r w:rsidR="003D1E7A" w:rsidRPr="00BF1287">
        <w:rPr>
          <w:rFonts w:ascii="Garamond" w:hAnsi="Garamond"/>
          <w:lang w:val="en-AU"/>
        </w:rPr>
        <w:t xml:space="preserve">online, </w:t>
      </w:r>
      <w:r w:rsidRPr="00BF1287">
        <w:rPr>
          <w:rFonts w:ascii="Garamond" w:hAnsi="Garamond"/>
          <w:lang w:val="en-AU"/>
        </w:rPr>
        <w:t xml:space="preserve">via email or as a PDF </w:t>
      </w:r>
      <w:r w:rsidR="006F34BB" w:rsidRPr="00BF1287">
        <w:rPr>
          <w:rFonts w:ascii="Garamond" w:hAnsi="Garamond"/>
          <w:lang w:val="en-AU"/>
        </w:rPr>
        <w:t xml:space="preserve">or Word </w:t>
      </w:r>
      <w:r w:rsidRPr="00BF1287">
        <w:rPr>
          <w:rFonts w:ascii="Garamond" w:hAnsi="Garamond"/>
          <w:lang w:val="en-AU"/>
        </w:rPr>
        <w:t xml:space="preserve">document from </w:t>
      </w:r>
      <w:hyperlink r:id="rId9" w:history="1">
        <w:r w:rsidR="00F54F0D" w:rsidRPr="00BF1287">
          <w:rPr>
            <w:rStyle w:val="Hyperlink"/>
            <w:rFonts w:ascii="Garamond" w:hAnsi="Garamond"/>
            <w:lang w:val="en-AU"/>
          </w:rPr>
          <w:t>https://www.safetyandquality.gov.au/newsroom/subscribe-news/radar</w:t>
        </w:r>
      </w:hyperlink>
    </w:p>
    <w:p w14:paraId="68B785DC" w14:textId="09846C2A" w:rsidR="003E0F57" w:rsidRPr="00BF1287" w:rsidRDefault="003E0F57" w:rsidP="0045757F">
      <w:pPr>
        <w:autoSpaceDE w:val="0"/>
        <w:rPr>
          <w:rFonts w:ascii="Garamond" w:hAnsi="Garamond"/>
          <w:lang w:val="en-AU"/>
        </w:rPr>
      </w:pPr>
    </w:p>
    <w:p w14:paraId="63972801" w14:textId="3740664A" w:rsidR="00B160EF" w:rsidRPr="00BF1287" w:rsidRDefault="00B160EF" w:rsidP="0045757F">
      <w:pPr>
        <w:autoSpaceDE w:val="0"/>
        <w:rPr>
          <w:rFonts w:ascii="Garamond" w:hAnsi="Garamond"/>
          <w:lang w:val="en-AU"/>
        </w:rPr>
      </w:pPr>
      <w:r w:rsidRPr="00BF1287">
        <w:rPr>
          <w:rFonts w:ascii="Garamond" w:hAnsi="Garamond"/>
          <w:lang w:val="en-AU"/>
        </w:rPr>
        <w:t xml:space="preserve">If you would like to receive </w:t>
      </w:r>
      <w:r w:rsidRPr="00BF1287">
        <w:rPr>
          <w:rFonts w:ascii="Garamond" w:hAnsi="Garamond"/>
          <w:i/>
          <w:lang w:val="en-AU"/>
        </w:rPr>
        <w:t>On the Radar</w:t>
      </w:r>
      <w:r w:rsidRPr="00BF1287">
        <w:rPr>
          <w:rFonts w:ascii="Garamond" w:hAnsi="Garamond"/>
          <w:lang w:val="en-AU"/>
        </w:rPr>
        <w:t xml:space="preserve"> via email</w:t>
      </w:r>
      <w:r w:rsidR="003D7B9E" w:rsidRPr="00BF1287">
        <w:rPr>
          <w:rFonts w:ascii="Garamond" w:hAnsi="Garamond"/>
          <w:lang w:val="en-AU"/>
        </w:rPr>
        <w:t>, you can</w:t>
      </w:r>
      <w:r w:rsidR="00F24F60" w:rsidRPr="00BF1287">
        <w:rPr>
          <w:rFonts w:ascii="Garamond" w:hAnsi="Garamond"/>
          <w:lang w:val="en-AU"/>
        </w:rPr>
        <w:t xml:space="preserve"> subscribe on our website</w:t>
      </w:r>
      <w:r w:rsidR="003E0F57" w:rsidRPr="00BF1287">
        <w:rPr>
          <w:rFonts w:ascii="Garamond" w:hAnsi="Garamond"/>
          <w:lang w:val="en-AU"/>
        </w:rPr>
        <w:t xml:space="preserve"> </w:t>
      </w:r>
      <w:hyperlink r:id="rId10" w:history="1">
        <w:r w:rsidR="00394B64" w:rsidRPr="00BF1287">
          <w:rPr>
            <w:rStyle w:val="Hyperlink"/>
            <w:rFonts w:ascii="Garamond" w:hAnsi="Garamond"/>
            <w:lang w:val="en-AU"/>
          </w:rPr>
          <w:t>https://www.safetyandquality.gov.au/newsroom/subscribe-news</w:t>
        </w:r>
      </w:hyperlink>
      <w:r w:rsidR="00394B64" w:rsidRPr="00BF1287">
        <w:rPr>
          <w:rFonts w:ascii="Garamond" w:hAnsi="Garamond"/>
          <w:lang w:val="en-AU"/>
        </w:rPr>
        <w:br/>
      </w:r>
      <w:r w:rsidR="003D7B9E" w:rsidRPr="00BF1287">
        <w:rPr>
          <w:rFonts w:ascii="Garamond" w:hAnsi="Garamond"/>
          <w:lang w:val="en-AU"/>
        </w:rPr>
        <w:t xml:space="preserve">or by emailing us at </w:t>
      </w:r>
      <w:hyperlink r:id="rId11"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r w:rsidR="00E51D23" w:rsidRPr="00BF1287">
        <w:rPr>
          <w:rFonts w:ascii="Garamond" w:hAnsi="Garamond"/>
          <w:lang w:val="en-AU"/>
        </w:rPr>
        <w:br/>
      </w:r>
      <w:r w:rsidR="003D7B9E" w:rsidRPr="00BF1287">
        <w:rPr>
          <w:rFonts w:ascii="Garamond" w:hAnsi="Garamond"/>
          <w:lang w:val="en-AU"/>
        </w:rPr>
        <w:t xml:space="preserve">You can also send feedback and comments to </w:t>
      </w:r>
      <w:hyperlink r:id="rId12"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p>
    <w:p w14:paraId="38E69B76" w14:textId="77777777" w:rsidR="00B160EF" w:rsidRPr="00BF1287" w:rsidRDefault="00B160EF" w:rsidP="00837FC4">
      <w:pPr>
        <w:tabs>
          <w:tab w:val="left" w:pos="7773"/>
        </w:tabs>
        <w:rPr>
          <w:rFonts w:ascii="Garamond" w:hAnsi="Garamond"/>
          <w:lang w:val="en-AU"/>
        </w:rPr>
      </w:pPr>
    </w:p>
    <w:p w14:paraId="01E6C354" w14:textId="1FD04B20" w:rsidR="00837FC4" w:rsidRPr="00BF1287" w:rsidRDefault="00B160EF" w:rsidP="004554DB">
      <w:pPr>
        <w:autoSpaceDE w:val="0"/>
        <w:rPr>
          <w:rFonts w:ascii="Garamond" w:hAnsi="Garamond"/>
          <w:lang w:val="en-AU"/>
        </w:rPr>
      </w:pPr>
      <w:bookmarkStart w:id="0" w:name="OLE_LINK1"/>
      <w:r w:rsidRPr="00BF1287">
        <w:rPr>
          <w:rFonts w:ascii="Garamond" w:hAnsi="Garamond"/>
          <w:lang w:val="en-AU"/>
        </w:rPr>
        <w:t xml:space="preserve">For information about the Commission and its programs and publications, please visit </w:t>
      </w:r>
      <w:hyperlink r:id="rId13" w:history="1">
        <w:r w:rsidR="00543EF2" w:rsidRPr="00BF1287">
          <w:rPr>
            <w:rStyle w:val="Hyperlink"/>
            <w:rFonts w:ascii="Garamond" w:hAnsi="Garamond"/>
            <w:lang w:val="en-AU"/>
          </w:rPr>
          <w:t>https://www.safetyandquality.gov.au</w:t>
        </w:r>
      </w:hyperlink>
    </w:p>
    <w:p w14:paraId="61C9C3A4" w14:textId="1C56AA61" w:rsidR="000F5002" w:rsidRPr="00BF1287" w:rsidRDefault="000F5002" w:rsidP="004554DB">
      <w:pPr>
        <w:autoSpaceDE w:val="0"/>
        <w:rPr>
          <w:rFonts w:ascii="Garamond" w:hAnsi="Garamond"/>
          <w:lang w:val="en-AU"/>
        </w:rPr>
      </w:pPr>
    </w:p>
    <w:p w14:paraId="0F8F08BB" w14:textId="75BA81D2" w:rsidR="00210235" w:rsidRPr="00BF1287" w:rsidRDefault="00210235" w:rsidP="00EE5D5E">
      <w:pPr>
        <w:rPr>
          <w:rFonts w:ascii="Garamond" w:hAnsi="Garamond"/>
          <w:b/>
          <w:lang w:val="en-AU"/>
        </w:rPr>
      </w:pPr>
      <w:r w:rsidRPr="00BF1287">
        <w:rPr>
          <w:rFonts w:ascii="Garamond" w:hAnsi="Garamond"/>
          <w:b/>
          <w:lang w:val="en-AU"/>
        </w:rPr>
        <w:t>On the Radar</w:t>
      </w:r>
    </w:p>
    <w:p w14:paraId="285C826A" w14:textId="7B4B56BE" w:rsidR="00357B50" w:rsidRPr="00BF1287" w:rsidRDefault="00340157" w:rsidP="00764AC3">
      <w:pPr>
        <w:rPr>
          <w:rFonts w:ascii="Garamond" w:hAnsi="Garamond"/>
          <w:bCs/>
          <w:lang w:val="en-AU"/>
        </w:rPr>
      </w:pPr>
      <w:r w:rsidRPr="00BF1287">
        <w:rPr>
          <w:rFonts w:ascii="Garamond" w:hAnsi="Garamond"/>
          <w:bCs/>
          <w:lang w:val="en-AU"/>
        </w:rPr>
        <w:t xml:space="preserve">Editor: </w:t>
      </w:r>
      <w:r w:rsidR="00C8085B" w:rsidRPr="00BF1287">
        <w:rPr>
          <w:rFonts w:ascii="Garamond" w:hAnsi="Garamond"/>
          <w:bCs/>
          <w:lang w:val="en-AU"/>
        </w:rPr>
        <w:t xml:space="preserve">Dr </w:t>
      </w:r>
      <w:r w:rsidRPr="00BF1287">
        <w:rPr>
          <w:rFonts w:ascii="Garamond" w:hAnsi="Garamond"/>
          <w:bCs/>
          <w:lang w:val="en-AU"/>
        </w:rPr>
        <w:t>Niall Johnson</w:t>
      </w:r>
      <w:bookmarkEnd w:id="0"/>
      <w:r w:rsidR="000F0ADD" w:rsidRPr="00BF1287">
        <w:rPr>
          <w:rFonts w:ascii="Garamond" w:hAnsi="Garamond"/>
          <w:bCs/>
          <w:lang w:val="en-AU"/>
        </w:rPr>
        <w:br/>
        <w:t>Contributors: Niall Johnson</w:t>
      </w:r>
    </w:p>
    <w:p w14:paraId="5953391D" w14:textId="77777777" w:rsidR="00133692" w:rsidRPr="00BF1287" w:rsidRDefault="00133692" w:rsidP="00764AC3">
      <w:pPr>
        <w:rPr>
          <w:rFonts w:ascii="Garamond" w:hAnsi="Garamond"/>
          <w:bCs/>
          <w:lang w:val="en-AU"/>
        </w:rPr>
      </w:pPr>
    </w:p>
    <w:p w14:paraId="2D6E54D6" w14:textId="774C7DCA" w:rsidR="000B0A01" w:rsidRPr="00BF1287" w:rsidRDefault="000B0A01" w:rsidP="000A3862">
      <w:pPr>
        <w:keepNext/>
        <w:keepLines/>
        <w:autoSpaceDE w:val="0"/>
        <w:autoSpaceDN w:val="0"/>
        <w:adjustRightInd w:val="0"/>
        <w:rPr>
          <w:rFonts w:ascii="Garamond" w:hAnsi="Garamond"/>
          <w:b/>
          <w:lang w:val="en-AU"/>
        </w:rPr>
      </w:pPr>
      <w:r w:rsidRPr="00BF1287">
        <w:rPr>
          <w:rFonts w:ascii="Garamond" w:hAnsi="Garamond"/>
          <w:b/>
          <w:lang w:val="en-AU"/>
        </w:rPr>
        <w:t>Reports</w:t>
      </w:r>
    </w:p>
    <w:p w14:paraId="4EE66C34" w14:textId="05479012" w:rsidR="00E5122C" w:rsidRDefault="00E5122C" w:rsidP="00E5122C">
      <w:pPr>
        <w:keepNext/>
        <w:keepLines/>
        <w:autoSpaceDE w:val="0"/>
        <w:autoSpaceDN w:val="0"/>
        <w:adjustRightInd w:val="0"/>
        <w:rPr>
          <w:rFonts w:ascii="Garamond" w:hAnsi="Garamond"/>
          <w:lang w:val="en-AU"/>
        </w:rPr>
      </w:pPr>
    </w:p>
    <w:p w14:paraId="15CB7468" w14:textId="77777777" w:rsidR="00321DAB" w:rsidRPr="00694918" w:rsidRDefault="00321DAB" w:rsidP="00321DAB">
      <w:pPr>
        <w:keepLines/>
        <w:autoSpaceDE w:val="0"/>
        <w:autoSpaceDN w:val="0"/>
        <w:adjustRightInd w:val="0"/>
        <w:rPr>
          <w:rFonts w:ascii="Garamond" w:hAnsi="Garamond"/>
          <w:bCs/>
          <w:i/>
          <w:iCs/>
          <w:lang w:val="en-AU"/>
        </w:rPr>
      </w:pPr>
      <w:r w:rsidRPr="00694918">
        <w:rPr>
          <w:rFonts w:ascii="Garamond" w:hAnsi="Garamond"/>
          <w:bCs/>
          <w:i/>
          <w:iCs/>
          <w:lang w:val="en-AU"/>
        </w:rPr>
        <w:t>AURA REPORT: Sixth Australian report on antimicrobial use and resistance in human health</w:t>
      </w:r>
    </w:p>
    <w:p w14:paraId="393D75BA" w14:textId="77777777" w:rsidR="00321DAB" w:rsidRDefault="00321DAB" w:rsidP="00321DAB">
      <w:pPr>
        <w:keepLines/>
        <w:autoSpaceDE w:val="0"/>
        <w:autoSpaceDN w:val="0"/>
        <w:adjustRightInd w:val="0"/>
        <w:rPr>
          <w:rFonts w:ascii="Garamond" w:hAnsi="Garamond"/>
          <w:bCs/>
          <w:lang w:val="en-AU"/>
        </w:rPr>
      </w:pPr>
      <w:r w:rsidRPr="00694918">
        <w:rPr>
          <w:rFonts w:ascii="Garamond" w:hAnsi="Garamond"/>
          <w:bCs/>
          <w:lang w:val="en-AU"/>
        </w:rPr>
        <w:t>Australian Centre for Disease Control</w:t>
      </w:r>
    </w:p>
    <w:p w14:paraId="05DA200A" w14:textId="0F1FFAE5" w:rsidR="00321DAB" w:rsidRPr="00BF1287" w:rsidRDefault="00321DAB" w:rsidP="00321DAB">
      <w:pPr>
        <w:keepLines/>
        <w:autoSpaceDE w:val="0"/>
        <w:autoSpaceDN w:val="0"/>
        <w:adjustRightInd w:val="0"/>
        <w:rPr>
          <w:rFonts w:ascii="Garamond" w:hAnsi="Garamond"/>
          <w:bCs/>
          <w:lang w:val="en-AU"/>
        </w:rPr>
      </w:pPr>
      <w:r w:rsidRPr="00694918">
        <w:rPr>
          <w:rFonts w:ascii="Garamond" w:hAnsi="Garamond"/>
          <w:bCs/>
          <w:lang w:val="en-AU"/>
        </w:rPr>
        <w:t>Canberra: Australian Centre for Disease Control; 2026. p. 99.</w:t>
      </w:r>
    </w:p>
    <w:tbl>
      <w:tblPr>
        <w:tblStyle w:val="TableGrid"/>
        <w:tblW w:w="9360" w:type="dxa"/>
        <w:tblInd w:w="288" w:type="dxa"/>
        <w:tblLayout w:type="fixed"/>
        <w:tblLook w:val="01E0" w:firstRow="1" w:lastRow="1" w:firstColumn="1" w:lastColumn="1" w:noHBand="0" w:noVBand="0"/>
      </w:tblPr>
      <w:tblGrid>
        <w:gridCol w:w="1080"/>
        <w:gridCol w:w="8280"/>
      </w:tblGrid>
      <w:tr w:rsidR="00321DAB" w:rsidRPr="00BF1287" w14:paraId="78AF2046" w14:textId="77777777" w:rsidTr="00AB67EA">
        <w:tc>
          <w:tcPr>
            <w:tcW w:w="1080" w:type="dxa"/>
            <w:tcBorders>
              <w:top w:val="single" w:sz="4" w:space="0" w:color="auto"/>
              <w:left w:val="single" w:sz="4" w:space="0" w:color="auto"/>
              <w:bottom w:val="single" w:sz="4" w:space="0" w:color="auto"/>
              <w:right w:val="single" w:sz="4" w:space="0" w:color="auto"/>
            </w:tcBorders>
            <w:vAlign w:val="center"/>
            <w:hideMark/>
          </w:tcPr>
          <w:p w14:paraId="1C0BCD57" w14:textId="77777777" w:rsidR="00321DAB" w:rsidRPr="00BF1287" w:rsidRDefault="00321DAB" w:rsidP="00AB67EA">
            <w:pPr>
              <w:rPr>
                <w:rStyle w:val="Hyperlink"/>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BD154CE" w14:textId="77777777" w:rsidR="00321DAB" w:rsidRPr="00BF1287" w:rsidRDefault="00321DAB" w:rsidP="00AB67EA">
            <w:pPr>
              <w:rPr>
                <w:rStyle w:val="Hyperlink"/>
                <w:rFonts w:ascii="Garamond" w:hAnsi="Garamond"/>
                <w:color w:val="auto"/>
                <w:u w:val="none"/>
                <w:lang w:val="en-AU"/>
              </w:rPr>
            </w:pPr>
            <w:hyperlink r:id="rId14" w:history="1">
              <w:r w:rsidRPr="00E379DD">
                <w:rPr>
                  <w:rStyle w:val="Hyperlink"/>
                  <w:rFonts w:ascii="Garamond" w:hAnsi="Garamond"/>
                  <w:lang w:val="en-AU"/>
                </w:rPr>
                <w:t>https://www.cdc.gov.au/newsroom/media-releases/national-snapshot-antimicrobial-resistance-and-use-released</w:t>
              </w:r>
            </w:hyperlink>
          </w:p>
        </w:tc>
      </w:tr>
      <w:tr w:rsidR="00321DAB" w:rsidRPr="00BF1287" w14:paraId="559FB613" w14:textId="77777777" w:rsidTr="00AB67EA">
        <w:tc>
          <w:tcPr>
            <w:tcW w:w="1080" w:type="dxa"/>
            <w:tcBorders>
              <w:top w:val="single" w:sz="4" w:space="0" w:color="auto"/>
              <w:left w:val="single" w:sz="4" w:space="0" w:color="auto"/>
              <w:bottom w:val="single" w:sz="4" w:space="0" w:color="auto"/>
              <w:right w:val="single" w:sz="4" w:space="0" w:color="auto"/>
            </w:tcBorders>
            <w:vAlign w:val="center"/>
            <w:hideMark/>
          </w:tcPr>
          <w:p w14:paraId="71761B88" w14:textId="77777777" w:rsidR="00321DAB" w:rsidRPr="00BF1287" w:rsidRDefault="00321DAB" w:rsidP="00AB67EA">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B0B2538" w14:textId="77777777" w:rsidR="00321DAB" w:rsidRPr="00694918" w:rsidRDefault="00321DAB" w:rsidP="00AB67EA">
            <w:pPr>
              <w:rPr>
                <w:rFonts w:ascii="Garamond" w:hAnsi="Garamond"/>
                <w:lang w:val="en-AU"/>
              </w:rPr>
            </w:pPr>
            <w:r>
              <w:rPr>
                <w:rFonts w:ascii="Garamond" w:hAnsi="Garamond"/>
                <w:lang w:val="en-AU"/>
              </w:rPr>
              <w:t xml:space="preserve">The Australian Centre for Disease Control (an organisation that some hoped would have the initialism ACDC) have released their first edition of the AURA report, the </w:t>
            </w:r>
            <w:r w:rsidRPr="00694918">
              <w:rPr>
                <w:rFonts w:ascii="Garamond" w:hAnsi="Garamond"/>
                <w:bCs/>
                <w:i/>
                <w:iCs/>
                <w:lang w:val="en-AU"/>
              </w:rPr>
              <w:t>Sixth Australian report on antimicrobial use and resistance in human health</w:t>
            </w:r>
            <w:r>
              <w:rPr>
                <w:rFonts w:ascii="Garamond" w:hAnsi="Garamond"/>
                <w:bCs/>
                <w:i/>
                <w:iCs/>
                <w:lang w:val="en-AU"/>
              </w:rPr>
              <w:t xml:space="preserve"> </w:t>
            </w:r>
            <w:r>
              <w:rPr>
                <w:rFonts w:ascii="Garamond" w:hAnsi="Garamond"/>
                <w:bCs/>
                <w:lang w:val="en-AU"/>
              </w:rPr>
              <w:t xml:space="preserve">documenting </w:t>
            </w:r>
            <w:r w:rsidRPr="00694918">
              <w:rPr>
                <w:rFonts w:ascii="Garamond" w:hAnsi="Garamond"/>
                <w:bCs/>
                <w:lang w:val="en-AU"/>
              </w:rPr>
              <w:t>the latest antibiotic resistance and antimicrobial use data.</w:t>
            </w:r>
            <w:r>
              <w:rPr>
                <w:rFonts w:ascii="Garamond" w:hAnsi="Garamond"/>
                <w:bCs/>
                <w:lang w:val="en-AU"/>
              </w:rPr>
              <w:t xml:space="preserve"> </w:t>
            </w:r>
            <w:r w:rsidRPr="00694918">
              <w:rPr>
                <w:rFonts w:ascii="Garamond" w:hAnsi="Garamond"/>
                <w:bCs/>
                <w:lang w:val="en-AU"/>
              </w:rPr>
              <w:t>The data shows reports of critical antibiotic resistance in Australia increased by 25% in 2024 and less than half the antibiotics given after surgeries were appropriate.</w:t>
            </w:r>
          </w:p>
        </w:tc>
      </w:tr>
    </w:tbl>
    <w:p w14:paraId="34E9D9B8" w14:textId="5BB76B56" w:rsidR="00321DAB" w:rsidRDefault="00321DAB" w:rsidP="00321DAB">
      <w:pPr>
        <w:keepLines/>
        <w:autoSpaceDE w:val="0"/>
        <w:autoSpaceDN w:val="0"/>
        <w:adjustRightInd w:val="0"/>
        <w:rPr>
          <w:rFonts w:ascii="Garamond" w:hAnsi="Garamond"/>
          <w:bCs/>
          <w:lang w:val="en-AU"/>
        </w:rPr>
      </w:pPr>
      <w:r w:rsidRPr="00BF1287">
        <w:rPr>
          <w:rFonts w:ascii="Garamond" w:hAnsi="Garamond"/>
          <w:bCs/>
          <w:lang w:val="en-AU"/>
        </w:rPr>
        <w:lastRenderedPageBreak/>
        <w:t xml:space="preserve">For information on the Commission’s work on </w:t>
      </w:r>
      <w:r>
        <w:rPr>
          <w:rFonts w:ascii="Garamond" w:hAnsi="Garamond"/>
          <w:bCs/>
          <w:lang w:val="en-AU"/>
        </w:rPr>
        <w:t xml:space="preserve">antimicrobial resistance, including the </w:t>
      </w:r>
      <w:r w:rsidR="00B359DF">
        <w:rPr>
          <w:rFonts w:ascii="Garamond" w:hAnsi="Garamond"/>
          <w:bCs/>
          <w:lang w:val="en-AU"/>
        </w:rPr>
        <w:t>previous</w:t>
      </w:r>
      <w:r>
        <w:rPr>
          <w:rFonts w:ascii="Garamond" w:hAnsi="Garamond"/>
          <w:bCs/>
          <w:lang w:val="en-AU"/>
        </w:rPr>
        <w:t xml:space="preserve"> AURA reports, see  </w:t>
      </w:r>
      <w:hyperlink r:id="rId15" w:history="1">
        <w:r w:rsidRPr="00E379DD">
          <w:rPr>
            <w:rStyle w:val="Hyperlink"/>
            <w:rFonts w:ascii="Garamond" w:hAnsi="Garamond"/>
            <w:bCs/>
            <w:lang w:val="en-AU"/>
          </w:rPr>
          <w:t>https://www.safetyandquality.gov.au/our-work/antimicrobial-resistance</w:t>
        </w:r>
      </w:hyperlink>
      <w:r>
        <w:rPr>
          <w:rFonts w:ascii="Garamond" w:hAnsi="Garamond"/>
          <w:bCs/>
          <w:lang w:val="en-AU"/>
        </w:rPr>
        <w:t xml:space="preserve"> and </w:t>
      </w:r>
      <w:hyperlink r:id="rId16" w:history="1">
        <w:r w:rsidRPr="00E379DD">
          <w:rPr>
            <w:rStyle w:val="Hyperlink"/>
            <w:rFonts w:ascii="Garamond" w:hAnsi="Garamond"/>
            <w:bCs/>
            <w:lang w:val="en-AU"/>
          </w:rPr>
          <w:t>https://www.safetyandquality.gov.au/our-work/antimicrobial-resistance/antimicrobial-use-and-resistance-australia-aura</w:t>
        </w:r>
      </w:hyperlink>
    </w:p>
    <w:p w14:paraId="45B41A53" w14:textId="77777777" w:rsidR="00321DAB" w:rsidRDefault="00321DAB" w:rsidP="00321DAB">
      <w:pPr>
        <w:keepLines/>
        <w:autoSpaceDE w:val="0"/>
        <w:autoSpaceDN w:val="0"/>
        <w:adjustRightInd w:val="0"/>
        <w:rPr>
          <w:rFonts w:ascii="Garamond" w:hAnsi="Garamond"/>
          <w:bCs/>
          <w:lang w:val="en-AU"/>
        </w:rPr>
      </w:pPr>
    </w:p>
    <w:p w14:paraId="6BE902FF" w14:textId="239E17AE" w:rsidR="003C125A" w:rsidRPr="00BF1287" w:rsidRDefault="00BF1287" w:rsidP="003C125A">
      <w:pPr>
        <w:keepNext/>
        <w:keepLines/>
        <w:autoSpaceDE w:val="0"/>
        <w:autoSpaceDN w:val="0"/>
        <w:adjustRightInd w:val="0"/>
        <w:rPr>
          <w:rFonts w:ascii="Garamond" w:hAnsi="Garamond"/>
          <w:bCs/>
          <w:lang w:val="en-AU"/>
        </w:rPr>
      </w:pPr>
      <w:r w:rsidRPr="00BF1287">
        <w:rPr>
          <w:i/>
          <w:iCs/>
          <w:lang w:val="en-AU"/>
        </w:rPr>
        <w:t xml:space="preserve">Demystifying artificial intelligence in health: what health </w:t>
      </w:r>
      <w:proofErr w:type="gramStart"/>
      <w:r w:rsidRPr="00BF1287">
        <w:rPr>
          <w:i/>
          <w:iCs/>
          <w:lang w:val="en-AU"/>
        </w:rPr>
        <w:t>policy-makers</w:t>
      </w:r>
      <w:proofErr w:type="gramEnd"/>
      <w:r w:rsidRPr="00BF1287">
        <w:rPr>
          <w:i/>
          <w:iCs/>
          <w:lang w:val="en-AU"/>
        </w:rPr>
        <w:t xml:space="preserve"> need to know</w:t>
      </w:r>
      <w:r w:rsidRPr="00BF1287">
        <w:rPr>
          <w:lang w:val="en-AU"/>
        </w:rPr>
        <w:t xml:space="preserve"> </w:t>
      </w:r>
      <w:r w:rsidRPr="00BF1287">
        <w:rPr>
          <w:lang w:val="en-AU"/>
        </w:rPr>
        <w:br/>
        <w:t>del Rey Puech P, Saund J, Panteli D, McKee M</w:t>
      </w:r>
      <w:r w:rsidRPr="00BF1287">
        <w:rPr>
          <w:lang w:val="en-AU"/>
        </w:rPr>
        <w:br/>
        <w:t>Copenhagen: European Observatory on Health Systems and Policies, WHO Regional Office for Europe; 2026.</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BF1287" w14:paraId="28D77D2A"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524D244" w14:textId="77777777" w:rsidR="003C125A" w:rsidRPr="00BF1287" w:rsidRDefault="003C125A" w:rsidP="00E873F2">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0A36E9E" w14:textId="018E2E78" w:rsidR="006A1263" w:rsidRPr="00BF1287" w:rsidRDefault="00BF1287" w:rsidP="006A1263">
            <w:pPr>
              <w:keepNext/>
              <w:jc w:val="both"/>
              <w:rPr>
                <w:rStyle w:val="Hyperlink"/>
                <w:rFonts w:ascii="Garamond" w:hAnsi="Garamond"/>
                <w:color w:val="auto"/>
                <w:u w:val="none"/>
                <w:lang w:val="en-AU"/>
              </w:rPr>
            </w:pPr>
            <w:hyperlink r:id="rId17" w:history="1">
              <w:r w:rsidRPr="00BF1287">
                <w:rPr>
                  <w:rStyle w:val="Hyperlink"/>
                  <w:lang w:val="en-AU"/>
                </w:rPr>
                <w:t>https://iris.who.int/handle/10665/384851</w:t>
              </w:r>
            </w:hyperlink>
          </w:p>
        </w:tc>
      </w:tr>
      <w:tr w:rsidR="003C125A" w:rsidRPr="00BF1287" w14:paraId="0E350598"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DE97EF5" w14:textId="77777777" w:rsidR="003C125A" w:rsidRPr="00BF1287" w:rsidRDefault="003C125A" w:rsidP="00E873F2">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1B880E1" w14:textId="6100CD8B" w:rsidR="007610EC" w:rsidRPr="00BF1287" w:rsidRDefault="007610EC" w:rsidP="007610EC">
            <w:pPr>
              <w:keepLines/>
              <w:autoSpaceDE w:val="0"/>
              <w:autoSpaceDN w:val="0"/>
              <w:adjustRightInd w:val="0"/>
              <w:rPr>
                <w:rFonts w:ascii="Garamond" w:hAnsi="Garamond"/>
                <w:lang w:val="en-AU"/>
              </w:rPr>
            </w:pPr>
            <w:r w:rsidRPr="007610EC">
              <w:rPr>
                <w:rFonts w:ascii="Garamond" w:hAnsi="Garamond"/>
                <w:lang w:val="en-AU"/>
              </w:rPr>
              <w:t>The European Observatory on Health Systems and Policies is a partnership, hosted by the WHO Regional Office for Europe</w:t>
            </w:r>
            <w:r>
              <w:rPr>
                <w:rFonts w:ascii="Garamond" w:hAnsi="Garamond"/>
                <w:lang w:val="en-AU"/>
              </w:rPr>
              <w:t xml:space="preserve">, that </w:t>
            </w:r>
            <w:r w:rsidRPr="007610EC">
              <w:rPr>
                <w:rFonts w:ascii="Garamond" w:hAnsi="Garamond"/>
                <w:lang w:val="en-AU"/>
              </w:rPr>
              <w:t>supports and promotes evidence-based</w:t>
            </w:r>
            <w:r>
              <w:rPr>
                <w:rFonts w:ascii="Garamond" w:hAnsi="Garamond"/>
                <w:lang w:val="en-AU"/>
              </w:rPr>
              <w:t xml:space="preserve"> </w:t>
            </w:r>
            <w:r w:rsidRPr="007610EC">
              <w:rPr>
                <w:rFonts w:ascii="Garamond" w:hAnsi="Garamond"/>
                <w:lang w:val="en-AU"/>
              </w:rPr>
              <w:t xml:space="preserve">health </w:t>
            </w:r>
            <w:proofErr w:type="gramStart"/>
            <w:r w:rsidRPr="007610EC">
              <w:rPr>
                <w:rFonts w:ascii="Garamond" w:hAnsi="Garamond"/>
                <w:lang w:val="en-AU"/>
              </w:rPr>
              <w:t>policy-making</w:t>
            </w:r>
            <w:proofErr w:type="gramEnd"/>
            <w:r>
              <w:rPr>
                <w:rFonts w:ascii="Garamond" w:hAnsi="Garamond"/>
                <w:lang w:val="en-AU"/>
              </w:rPr>
              <w:t>. The Observatory has released this book on Artificial Intelligence (AI) in health care that ‘</w:t>
            </w:r>
            <w:r w:rsidRPr="007610EC">
              <w:rPr>
                <w:rFonts w:ascii="Garamond" w:hAnsi="Garamond"/>
                <w:lang w:val="en-AU"/>
              </w:rPr>
              <w:t>provides timely, practical guidance to help</w:t>
            </w:r>
            <w:r>
              <w:rPr>
                <w:rFonts w:ascii="Garamond" w:hAnsi="Garamond"/>
                <w:lang w:val="en-AU"/>
              </w:rPr>
              <w:t xml:space="preserve"> </w:t>
            </w:r>
            <w:r w:rsidRPr="007610EC">
              <w:rPr>
                <w:rFonts w:ascii="Garamond" w:hAnsi="Garamond"/>
                <w:lang w:val="en-AU"/>
              </w:rPr>
              <w:t>professionals and decisionmakers navigate the opportunities and challenges</w:t>
            </w:r>
            <w:r>
              <w:rPr>
                <w:rFonts w:ascii="Garamond" w:hAnsi="Garamond"/>
                <w:lang w:val="en-AU"/>
              </w:rPr>
              <w:t xml:space="preserve"> </w:t>
            </w:r>
            <w:r w:rsidRPr="007610EC">
              <w:rPr>
                <w:rFonts w:ascii="Garamond" w:hAnsi="Garamond"/>
                <w:lang w:val="en-AU"/>
              </w:rPr>
              <w:t>presented by AI</w:t>
            </w:r>
            <w:r>
              <w:rPr>
                <w:rFonts w:ascii="Garamond" w:hAnsi="Garamond"/>
                <w:lang w:val="en-AU"/>
              </w:rPr>
              <w:t>’. The authors observe that ‘</w:t>
            </w:r>
            <w:r w:rsidRPr="007610EC">
              <w:rPr>
                <w:rFonts w:ascii="Garamond" w:hAnsi="Garamond"/>
                <w:lang w:val="en-AU"/>
              </w:rPr>
              <w:t>AI offers exciting possibilities for improving the health of populations</w:t>
            </w:r>
            <w:r>
              <w:rPr>
                <w:rFonts w:ascii="Garamond" w:hAnsi="Garamond"/>
                <w:lang w:val="en-AU"/>
              </w:rPr>
              <w:t xml:space="preserve"> </w:t>
            </w:r>
            <w:r w:rsidRPr="007610EC">
              <w:rPr>
                <w:rFonts w:ascii="Garamond" w:hAnsi="Garamond"/>
                <w:lang w:val="en-AU"/>
              </w:rPr>
              <w:t>and individuals, and its deployment must be grounded in the appropriate</w:t>
            </w:r>
            <w:r>
              <w:rPr>
                <w:rFonts w:ascii="Garamond" w:hAnsi="Garamond"/>
                <w:lang w:val="en-AU"/>
              </w:rPr>
              <w:t xml:space="preserve"> </w:t>
            </w:r>
            <w:r w:rsidRPr="007610EC">
              <w:rPr>
                <w:rFonts w:ascii="Garamond" w:hAnsi="Garamond"/>
                <w:lang w:val="en-AU"/>
              </w:rPr>
              <w:t>technical, ethical and governance foundations. Many experts believe that the</w:t>
            </w:r>
            <w:r>
              <w:rPr>
                <w:rFonts w:ascii="Garamond" w:hAnsi="Garamond"/>
                <w:lang w:val="en-AU"/>
              </w:rPr>
              <w:t xml:space="preserve"> </w:t>
            </w:r>
            <w:r w:rsidRPr="007610EC">
              <w:rPr>
                <w:rFonts w:ascii="Garamond" w:hAnsi="Garamond"/>
                <w:lang w:val="en-AU"/>
              </w:rPr>
              <w:t>hype will eventually settle (some say it already has) and AI will become one tool</w:t>
            </w:r>
            <w:r>
              <w:rPr>
                <w:rFonts w:ascii="Garamond" w:hAnsi="Garamond"/>
                <w:lang w:val="en-AU"/>
              </w:rPr>
              <w:t xml:space="preserve"> </w:t>
            </w:r>
            <w:r w:rsidRPr="007610EC">
              <w:rPr>
                <w:rFonts w:ascii="Garamond" w:hAnsi="Garamond"/>
                <w:lang w:val="en-AU"/>
              </w:rPr>
              <w:t>among many. The challenge is to use it wisely, ensuring that it enhances care,</w:t>
            </w:r>
            <w:r>
              <w:rPr>
                <w:rFonts w:ascii="Garamond" w:hAnsi="Garamond"/>
                <w:lang w:val="en-AU"/>
              </w:rPr>
              <w:t xml:space="preserve"> </w:t>
            </w:r>
            <w:r w:rsidRPr="007610EC">
              <w:rPr>
                <w:rFonts w:ascii="Garamond" w:hAnsi="Garamond"/>
                <w:lang w:val="en-AU"/>
              </w:rPr>
              <w:t>promotes equity and protects patient safety.</w:t>
            </w:r>
            <w:r>
              <w:rPr>
                <w:rFonts w:ascii="Garamond" w:hAnsi="Garamond"/>
                <w:lang w:val="en-AU"/>
              </w:rPr>
              <w:t>’</w:t>
            </w:r>
          </w:p>
        </w:tc>
      </w:tr>
    </w:tbl>
    <w:p w14:paraId="23244122" w14:textId="77777777" w:rsidR="003C125A" w:rsidRPr="00BF1287" w:rsidRDefault="003C125A" w:rsidP="00E3027E">
      <w:pPr>
        <w:autoSpaceDE w:val="0"/>
        <w:autoSpaceDN w:val="0"/>
        <w:adjustRightInd w:val="0"/>
        <w:rPr>
          <w:rFonts w:ascii="Garamond" w:hAnsi="Garamond"/>
          <w:bCs/>
          <w:lang w:val="en-AU"/>
        </w:rPr>
      </w:pPr>
    </w:p>
    <w:p w14:paraId="4BDB80DD" w14:textId="276D2868" w:rsidR="008A5CE4" w:rsidRPr="00BF1287" w:rsidRDefault="00BF1287" w:rsidP="008A5CE4">
      <w:pPr>
        <w:keepNext/>
        <w:keepLines/>
        <w:autoSpaceDE w:val="0"/>
        <w:autoSpaceDN w:val="0"/>
        <w:adjustRightInd w:val="0"/>
        <w:rPr>
          <w:rFonts w:ascii="Garamond" w:hAnsi="Garamond"/>
          <w:bCs/>
          <w:lang w:val="en-AU"/>
        </w:rPr>
      </w:pPr>
      <w:r w:rsidRPr="00BF1287">
        <w:rPr>
          <w:i/>
          <w:iCs/>
          <w:lang w:val="en-AU"/>
        </w:rPr>
        <w:t>Dealing with the challenges in urgent and emergency care: What are the policy options?</w:t>
      </w:r>
      <w:r w:rsidRPr="00BF1287">
        <w:rPr>
          <w:lang w:val="en-AU"/>
        </w:rPr>
        <w:t xml:space="preserve"> </w:t>
      </w:r>
      <w:r w:rsidRPr="00BF1287">
        <w:rPr>
          <w:lang w:val="en-AU"/>
        </w:rPr>
        <w:br/>
        <w:t>Policy Brief 74</w:t>
      </w:r>
      <w:r w:rsidRPr="00BF1287">
        <w:rPr>
          <w:lang w:val="en-AU"/>
        </w:rPr>
        <w:br/>
        <w:t xml:space="preserve">Edwards N, Lewis R, </w:t>
      </w:r>
      <w:proofErr w:type="spellStart"/>
      <w:r w:rsidRPr="00BF1287">
        <w:rPr>
          <w:lang w:val="en-AU"/>
        </w:rPr>
        <w:t>Chaouali</w:t>
      </w:r>
      <w:proofErr w:type="spellEnd"/>
      <w:r w:rsidRPr="00BF1287">
        <w:rPr>
          <w:lang w:val="en-AU"/>
        </w:rPr>
        <w:t xml:space="preserve"> M, Zapata T, Richardson E</w:t>
      </w:r>
      <w:r w:rsidRPr="00BF1287">
        <w:rPr>
          <w:lang w:val="en-AU"/>
        </w:rPr>
        <w:br/>
        <w:t xml:space="preserve">Copenhagen: </w:t>
      </w:r>
      <w:r w:rsidR="00567713" w:rsidRPr="00BF1287">
        <w:rPr>
          <w:lang w:val="en-AU"/>
        </w:rPr>
        <w:t xml:space="preserve">European Observatory on Health Systems and Policies, </w:t>
      </w:r>
      <w:r w:rsidRPr="00BF1287">
        <w:rPr>
          <w:lang w:val="en-AU"/>
        </w:rPr>
        <w:t>WHO</w:t>
      </w:r>
      <w:r w:rsidR="00567713">
        <w:rPr>
          <w:lang w:val="en-AU"/>
        </w:rPr>
        <w:t xml:space="preserve"> </w:t>
      </w:r>
      <w:r w:rsidRPr="00BF1287">
        <w:rPr>
          <w:lang w:val="en-AU"/>
        </w:rPr>
        <w:t>Regional Office for Europe; 2026. p. 32.</w:t>
      </w:r>
    </w:p>
    <w:tbl>
      <w:tblPr>
        <w:tblStyle w:val="TableGrid"/>
        <w:tblW w:w="9360" w:type="dxa"/>
        <w:tblInd w:w="288" w:type="dxa"/>
        <w:tblLayout w:type="fixed"/>
        <w:tblLook w:val="01E0" w:firstRow="1" w:lastRow="1" w:firstColumn="1" w:lastColumn="1" w:noHBand="0" w:noVBand="0"/>
      </w:tblPr>
      <w:tblGrid>
        <w:gridCol w:w="1080"/>
        <w:gridCol w:w="8280"/>
      </w:tblGrid>
      <w:tr w:rsidR="008A5CE4" w:rsidRPr="00BF1287" w14:paraId="325BDE86" w14:textId="77777777" w:rsidTr="005B00FB">
        <w:tc>
          <w:tcPr>
            <w:tcW w:w="1080" w:type="dxa"/>
            <w:tcBorders>
              <w:top w:val="single" w:sz="4" w:space="0" w:color="auto"/>
              <w:left w:val="single" w:sz="4" w:space="0" w:color="auto"/>
              <w:bottom w:val="single" w:sz="4" w:space="0" w:color="auto"/>
              <w:right w:val="single" w:sz="4" w:space="0" w:color="auto"/>
            </w:tcBorders>
            <w:vAlign w:val="center"/>
          </w:tcPr>
          <w:p w14:paraId="3EEB8995" w14:textId="77777777" w:rsidR="008A5CE4" w:rsidRPr="00BF1287" w:rsidRDefault="008A5CE4" w:rsidP="005B00FB">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D09F729" w14:textId="4B4E41F3" w:rsidR="008A5CE4" w:rsidRPr="00BF1287" w:rsidRDefault="00BF1287" w:rsidP="005B00FB">
            <w:pPr>
              <w:keepNext/>
              <w:jc w:val="both"/>
              <w:rPr>
                <w:rStyle w:val="Hyperlink"/>
                <w:rFonts w:ascii="Garamond" w:hAnsi="Garamond"/>
                <w:color w:val="auto"/>
                <w:u w:val="none"/>
                <w:lang w:val="en-AU"/>
              </w:rPr>
            </w:pPr>
            <w:hyperlink r:id="rId18" w:history="1">
              <w:r w:rsidRPr="00BF1287">
                <w:rPr>
                  <w:rStyle w:val="Hyperlink"/>
                  <w:lang w:val="en-AU"/>
                </w:rPr>
                <w:t>https://iris.who.int/handle/10665/384833</w:t>
              </w:r>
            </w:hyperlink>
          </w:p>
        </w:tc>
      </w:tr>
      <w:tr w:rsidR="008A5CE4" w:rsidRPr="00BF1287" w14:paraId="10F1639D" w14:textId="77777777" w:rsidTr="005B00FB">
        <w:tc>
          <w:tcPr>
            <w:tcW w:w="1080" w:type="dxa"/>
            <w:tcBorders>
              <w:top w:val="single" w:sz="4" w:space="0" w:color="auto"/>
              <w:left w:val="single" w:sz="4" w:space="0" w:color="auto"/>
              <w:bottom w:val="single" w:sz="4" w:space="0" w:color="auto"/>
              <w:right w:val="single" w:sz="4" w:space="0" w:color="auto"/>
            </w:tcBorders>
            <w:vAlign w:val="center"/>
          </w:tcPr>
          <w:p w14:paraId="097493A0" w14:textId="77777777" w:rsidR="008A5CE4" w:rsidRPr="00BF1287" w:rsidRDefault="008A5CE4" w:rsidP="005B00FB">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850058A" w14:textId="089065BC" w:rsidR="00567713" w:rsidRPr="00BF1287" w:rsidRDefault="00567713" w:rsidP="00196006">
            <w:pPr>
              <w:keepLines/>
              <w:autoSpaceDE w:val="0"/>
              <w:autoSpaceDN w:val="0"/>
              <w:adjustRightInd w:val="0"/>
              <w:rPr>
                <w:rFonts w:ascii="Garamond" w:hAnsi="Garamond"/>
                <w:lang w:val="en-AU"/>
              </w:rPr>
            </w:pPr>
            <w:r>
              <w:rPr>
                <w:rFonts w:ascii="Garamond" w:hAnsi="Garamond"/>
                <w:lang w:val="en-AU"/>
              </w:rPr>
              <w:t xml:space="preserve">Policy brief from the </w:t>
            </w:r>
            <w:r w:rsidRPr="00BF1287">
              <w:rPr>
                <w:lang w:val="en-AU"/>
              </w:rPr>
              <w:t>European Observatory on Health Systems and Policies</w:t>
            </w:r>
            <w:r>
              <w:rPr>
                <w:lang w:val="en-AU"/>
              </w:rPr>
              <w:t xml:space="preserve"> and </w:t>
            </w:r>
            <w:r w:rsidRPr="00BF1287">
              <w:rPr>
                <w:lang w:val="en-AU"/>
              </w:rPr>
              <w:t>WHO</w:t>
            </w:r>
            <w:r>
              <w:rPr>
                <w:lang w:val="en-AU"/>
              </w:rPr>
              <w:t xml:space="preserve"> </w:t>
            </w:r>
            <w:r w:rsidRPr="00BF1287">
              <w:rPr>
                <w:lang w:val="en-AU"/>
              </w:rPr>
              <w:t>Regional Office for Europe</w:t>
            </w:r>
            <w:r>
              <w:rPr>
                <w:lang w:val="en-AU"/>
              </w:rPr>
              <w:t xml:space="preserve"> examining issues around urgent and emergency care. </w:t>
            </w:r>
            <w:r>
              <w:rPr>
                <w:rFonts w:ascii="Garamond" w:hAnsi="Garamond"/>
                <w:lang w:val="en-AU"/>
              </w:rPr>
              <w:t>The authors observe that ‘</w:t>
            </w:r>
            <w:r w:rsidRPr="00567713">
              <w:rPr>
                <w:rFonts w:ascii="Garamond" w:hAnsi="Garamond"/>
                <w:lang w:val="en-AU"/>
              </w:rPr>
              <w:t xml:space="preserve">Urgent and emergency care is a key part of the health care system. These services are highly visible to the </w:t>
            </w:r>
            <w:proofErr w:type="gramStart"/>
            <w:r w:rsidRPr="00567713">
              <w:rPr>
                <w:rFonts w:ascii="Garamond" w:hAnsi="Garamond"/>
                <w:lang w:val="en-AU"/>
              </w:rPr>
              <w:t>public</w:t>
            </w:r>
            <w:proofErr w:type="gramEnd"/>
            <w:r w:rsidRPr="00567713">
              <w:rPr>
                <w:rFonts w:ascii="Garamond" w:hAnsi="Garamond"/>
                <w:lang w:val="en-AU"/>
              </w:rPr>
              <w:t xml:space="preserve"> and their performance is critical to delivering high-quality outcomes as well as maintaining public support and confidence in the health care system.</w:t>
            </w:r>
            <w:r>
              <w:rPr>
                <w:rFonts w:ascii="Garamond" w:hAnsi="Garamond"/>
                <w:lang w:val="en-AU"/>
              </w:rPr>
              <w:t>’ It is also acknowledged that ‘</w:t>
            </w:r>
            <w:r w:rsidRPr="00567713">
              <w:rPr>
                <w:rFonts w:ascii="Garamond" w:hAnsi="Garamond"/>
                <w:lang w:val="en-AU"/>
              </w:rPr>
              <w:t>Differences in history, geography and resources mean that there is no standard model for an emergency care system. The system is complex and not necessarily easy for patients, the</w:t>
            </w:r>
            <w:r>
              <w:rPr>
                <w:rFonts w:ascii="Garamond" w:hAnsi="Garamond"/>
                <w:lang w:val="en-AU"/>
              </w:rPr>
              <w:t xml:space="preserve"> </w:t>
            </w:r>
            <w:r w:rsidRPr="00567713">
              <w:rPr>
                <w:rFonts w:ascii="Garamond" w:hAnsi="Garamond"/>
                <w:lang w:val="en-AU"/>
              </w:rPr>
              <w:t>public or health professionals to understand.</w:t>
            </w:r>
            <w:r>
              <w:rPr>
                <w:rFonts w:ascii="Garamond" w:hAnsi="Garamond"/>
                <w:lang w:val="en-AU"/>
              </w:rPr>
              <w:t xml:space="preserve">’ The brief examines some of the issues, expectations and approaches to urgent and emergency care. </w:t>
            </w:r>
            <w:r w:rsidR="00196006">
              <w:rPr>
                <w:rFonts w:ascii="Garamond" w:hAnsi="Garamond"/>
                <w:lang w:val="en-AU"/>
              </w:rPr>
              <w:t>Among the issues identified, ‘</w:t>
            </w:r>
            <w:r w:rsidR="00196006" w:rsidRPr="00196006">
              <w:rPr>
                <w:rFonts w:ascii="Garamond" w:hAnsi="Garamond"/>
                <w:lang w:val="en-AU"/>
              </w:rPr>
              <w:t xml:space="preserve">patients and the public are not passive actors in the system, and how they understand, trust and interact with it is a key determinant of how </w:t>
            </w:r>
            <w:proofErr w:type="gramStart"/>
            <w:r w:rsidR="00196006" w:rsidRPr="00196006">
              <w:rPr>
                <w:rFonts w:ascii="Garamond" w:hAnsi="Garamond"/>
                <w:lang w:val="en-AU"/>
              </w:rPr>
              <w:t>it</w:t>
            </w:r>
            <w:proofErr w:type="gramEnd"/>
            <w:r w:rsidR="00196006" w:rsidRPr="00196006">
              <w:rPr>
                <w:rFonts w:ascii="Garamond" w:hAnsi="Garamond"/>
                <w:lang w:val="en-AU"/>
              </w:rPr>
              <w:t xml:space="preserve"> works</w:t>
            </w:r>
            <w:r w:rsidR="00196006">
              <w:rPr>
                <w:rFonts w:ascii="Garamond" w:hAnsi="Garamond"/>
                <w:lang w:val="en-AU"/>
              </w:rPr>
              <w:t>’</w:t>
            </w:r>
          </w:p>
        </w:tc>
      </w:tr>
    </w:tbl>
    <w:p w14:paraId="178747C4" w14:textId="77777777" w:rsidR="008A5CE4" w:rsidRPr="00BF1287" w:rsidRDefault="008A5CE4" w:rsidP="008A5CE4">
      <w:pPr>
        <w:keepLines/>
        <w:autoSpaceDE w:val="0"/>
        <w:autoSpaceDN w:val="0"/>
        <w:adjustRightInd w:val="0"/>
        <w:rPr>
          <w:rFonts w:ascii="Garamond" w:hAnsi="Garamond"/>
          <w:bCs/>
          <w:lang w:val="en-AU"/>
        </w:rPr>
      </w:pPr>
    </w:p>
    <w:p w14:paraId="15B7B81D" w14:textId="2EEC45D1" w:rsidR="00693ED0" w:rsidRPr="00BF1287" w:rsidRDefault="00693ED0" w:rsidP="0011649B">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person-centred care, see </w:t>
      </w:r>
      <w:hyperlink r:id="rId19" w:history="1">
        <w:r w:rsidRPr="00BF1287">
          <w:rPr>
            <w:rStyle w:val="Hyperlink"/>
            <w:rFonts w:ascii="Garamond" w:hAnsi="Garamond"/>
            <w:bCs/>
            <w:lang w:val="en-AU"/>
          </w:rPr>
          <w:t>https://www.safetyandquality.gov.au/our-work/partnering-consumers/person-centred-care</w:t>
        </w:r>
      </w:hyperlink>
    </w:p>
    <w:p w14:paraId="6EF8E5F3" w14:textId="77777777" w:rsidR="00693ED0" w:rsidRPr="00BF1287" w:rsidRDefault="00693ED0" w:rsidP="0011649B">
      <w:pPr>
        <w:keepLines/>
        <w:autoSpaceDE w:val="0"/>
        <w:autoSpaceDN w:val="0"/>
        <w:adjustRightInd w:val="0"/>
        <w:rPr>
          <w:rFonts w:ascii="Garamond" w:hAnsi="Garamond"/>
          <w:bCs/>
          <w:lang w:val="en-AU"/>
        </w:rPr>
      </w:pPr>
    </w:p>
    <w:p w14:paraId="5E9E50C7" w14:textId="4D809CFB" w:rsidR="0071448D" w:rsidRPr="00BF1287" w:rsidRDefault="00693ED0" w:rsidP="005444BD">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environmentally sustainable healthcare, see </w:t>
      </w:r>
      <w:hyperlink r:id="rId20" w:history="1">
        <w:r w:rsidRPr="00BF1287">
          <w:rPr>
            <w:rStyle w:val="Hyperlink"/>
            <w:rFonts w:ascii="Garamond" w:hAnsi="Garamond"/>
            <w:bCs/>
            <w:lang w:val="en-AU"/>
          </w:rPr>
          <w:t>Environmentally Sustainable Healthcare | Australian Commission on Safety and Quality in Health Care</w:t>
        </w:r>
      </w:hyperlink>
    </w:p>
    <w:p w14:paraId="7615FA7A" w14:textId="77777777" w:rsidR="00693ED0" w:rsidRPr="00BF1287" w:rsidRDefault="00693ED0" w:rsidP="005444BD">
      <w:pPr>
        <w:keepLines/>
        <w:autoSpaceDE w:val="0"/>
        <w:autoSpaceDN w:val="0"/>
        <w:adjustRightInd w:val="0"/>
        <w:rPr>
          <w:rFonts w:ascii="Garamond" w:hAnsi="Garamond"/>
          <w:bCs/>
          <w:lang w:val="en-AU"/>
        </w:rPr>
      </w:pPr>
    </w:p>
    <w:p w14:paraId="727275C9" w14:textId="77777777" w:rsidR="00321DAB" w:rsidRPr="00BF1287" w:rsidRDefault="00321DAB" w:rsidP="005444BD">
      <w:pPr>
        <w:keepLines/>
        <w:autoSpaceDE w:val="0"/>
        <w:autoSpaceDN w:val="0"/>
        <w:adjustRightInd w:val="0"/>
        <w:rPr>
          <w:rFonts w:ascii="Garamond" w:hAnsi="Garamond"/>
          <w:bCs/>
          <w:lang w:val="en-AU"/>
        </w:rPr>
      </w:pPr>
    </w:p>
    <w:p w14:paraId="604EB9F1" w14:textId="0765AA6F" w:rsidR="00E02472" w:rsidRDefault="00E02472" w:rsidP="000A3862">
      <w:pPr>
        <w:keepNext/>
        <w:keepLines/>
        <w:autoSpaceDE w:val="0"/>
        <w:autoSpaceDN w:val="0"/>
        <w:adjustRightInd w:val="0"/>
        <w:rPr>
          <w:rFonts w:ascii="Garamond" w:hAnsi="Garamond"/>
          <w:b/>
          <w:lang w:val="en-AU"/>
        </w:rPr>
      </w:pPr>
      <w:r w:rsidRPr="00BF1287">
        <w:rPr>
          <w:rFonts w:ascii="Garamond" w:hAnsi="Garamond"/>
          <w:b/>
          <w:lang w:val="en-AU"/>
        </w:rPr>
        <w:lastRenderedPageBreak/>
        <w:t>Journal articles</w:t>
      </w:r>
    </w:p>
    <w:p w14:paraId="599B9A4E" w14:textId="77777777" w:rsidR="008106EF" w:rsidRPr="00BF1287" w:rsidRDefault="008106EF" w:rsidP="000A3862">
      <w:pPr>
        <w:keepNext/>
        <w:keepLines/>
        <w:autoSpaceDE w:val="0"/>
        <w:autoSpaceDN w:val="0"/>
        <w:adjustRightInd w:val="0"/>
        <w:rPr>
          <w:rFonts w:ascii="Garamond" w:hAnsi="Garamond"/>
          <w:b/>
          <w:lang w:val="en-AU"/>
        </w:rPr>
      </w:pPr>
    </w:p>
    <w:p w14:paraId="0EA006F7" w14:textId="77777777" w:rsidR="008106EF" w:rsidRPr="00595A0B" w:rsidRDefault="008106EF" w:rsidP="008106EF">
      <w:pPr>
        <w:keepNext/>
        <w:keepLines/>
        <w:autoSpaceDE w:val="0"/>
        <w:autoSpaceDN w:val="0"/>
        <w:adjustRightInd w:val="0"/>
        <w:rPr>
          <w:rFonts w:ascii="Garamond" w:hAnsi="Garamond"/>
          <w:bCs/>
          <w:i/>
          <w:iCs/>
          <w:lang w:val="en-AU"/>
        </w:rPr>
      </w:pPr>
      <w:r w:rsidRPr="00595A0B">
        <w:rPr>
          <w:rFonts w:ascii="Garamond" w:hAnsi="Garamond"/>
          <w:bCs/>
          <w:i/>
          <w:iCs/>
          <w:lang w:val="en-AU"/>
        </w:rPr>
        <w:t>Delirium and adverse clinical outcomes: a matched cohort study in the UK Biobank</w:t>
      </w:r>
    </w:p>
    <w:p w14:paraId="2C37D7B8" w14:textId="77777777" w:rsidR="008106EF" w:rsidRDefault="008106EF" w:rsidP="008106EF">
      <w:pPr>
        <w:keepNext/>
        <w:keepLines/>
        <w:autoSpaceDE w:val="0"/>
        <w:autoSpaceDN w:val="0"/>
        <w:adjustRightInd w:val="0"/>
        <w:rPr>
          <w:rFonts w:ascii="Garamond" w:hAnsi="Garamond"/>
          <w:bCs/>
          <w:lang w:val="en-AU"/>
        </w:rPr>
      </w:pPr>
      <w:r w:rsidRPr="00595A0B">
        <w:rPr>
          <w:rFonts w:ascii="Garamond" w:hAnsi="Garamond"/>
          <w:bCs/>
          <w:lang w:val="en-AU"/>
        </w:rPr>
        <w:t xml:space="preserve">Haapanen MJ, Ward DD, </w:t>
      </w:r>
      <w:proofErr w:type="spellStart"/>
      <w:r w:rsidRPr="00595A0B">
        <w:rPr>
          <w:rFonts w:ascii="Garamond" w:hAnsi="Garamond"/>
          <w:bCs/>
          <w:lang w:val="en-AU"/>
        </w:rPr>
        <w:t>Mudge</w:t>
      </w:r>
      <w:proofErr w:type="spellEnd"/>
      <w:r w:rsidRPr="00595A0B">
        <w:rPr>
          <w:rFonts w:ascii="Garamond" w:hAnsi="Garamond"/>
          <w:bCs/>
          <w:lang w:val="en-AU"/>
        </w:rPr>
        <w:t xml:space="preserve"> AM, Gordon EH, Graham FA, Rockwood K, et al</w:t>
      </w:r>
    </w:p>
    <w:p w14:paraId="755B8B34" w14:textId="77777777" w:rsidR="008106EF" w:rsidRPr="00BF1287" w:rsidRDefault="008106EF" w:rsidP="008106EF">
      <w:pPr>
        <w:keepNext/>
        <w:keepLines/>
        <w:autoSpaceDE w:val="0"/>
        <w:autoSpaceDN w:val="0"/>
        <w:adjustRightInd w:val="0"/>
        <w:rPr>
          <w:rFonts w:ascii="Garamond" w:hAnsi="Garamond"/>
          <w:bCs/>
          <w:lang w:val="en-AU"/>
        </w:rPr>
      </w:pPr>
      <w:r w:rsidRPr="00595A0B">
        <w:rPr>
          <w:rFonts w:ascii="Garamond" w:hAnsi="Garamond"/>
          <w:bCs/>
          <w:lang w:val="en-AU"/>
        </w:rPr>
        <w:t>The Lancet Healthy Longevity. 2026.</w:t>
      </w:r>
    </w:p>
    <w:tbl>
      <w:tblPr>
        <w:tblStyle w:val="TableGrid"/>
        <w:tblW w:w="9360" w:type="dxa"/>
        <w:tblInd w:w="288" w:type="dxa"/>
        <w:tblLayout w:type="fixed"/>
        <w:tblLook w:val="01E0" w:firstRow="1" w:lastRow="1" w:firstColumn="1" w:lastColumn="1" w:noHBand="0" w:noVBand="0"/>
      </w:tblPr>
      <w:tblGrid>
        <w:gridCol w:w="1080"/>
        <w:gridCol w:w="8280"/>
      </w:tblGrid>
      <w:tr w:rsidR="008106EF" w:rsidRPr="00BF1287" w14:paraId="473A336B"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53F8302B" w14:textId="77777777" w:rsidR="008106EF" w:rsidRPr="00BF1287" w:rsidRDefault="008106EF" w:rsidP="008106EF">
            <w:pPr>
              <w:keepNext/>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35CB936" w14:textId="77777777" w:rsidR="008106EF" w:rsidRPr="00BF1287" w:rsidRDefault="008106EF" w:rsidP="008106EF">
            <w:pPr>
              <w:keepNext/>
              <w:rPr>
                <w:rStyle w:val="Hyperlink"/>
                <w:rFonts w:ascii="Garamond" w:hAnsi="Garamond"/>
                <w:color w:val="auto"/>
                <w:u w:val="none"/>
                <w:lang w:val="en-AU"/>
              </w:rPr>
            </w:pPr>
            <w:hyperlink r:id="rId21" w:history="1">
              <w:r w:rsidRPr="00A777F9">
                <w:rPr>
                  <w:rStyle w:val="Hyperlink"/>
                  <w:rFonts w:ascii="Garamond" w:hAnsi="Garamond"/>
                  <w:lang w:val="en-AU"/>
                </w:rPr>
                <w:t>https://doi.org/10.1016/j.lanhl.2025.100816</w:t>
              </w:r>
            </w:hyperlink>
          </w:p>
        </w:tc>
      </w:tr>
      <w:tr w:rsidR="008106EF" w:rsidRPr="00BF1287" w14:paraId="2818520E"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1ED371CE" w14:textId="77777777" w:rsidR="008106EF" w:rsidRPr="00BF1287" w:rsidRDefault="008106EF" w:rsidP="00C92C8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0C1AED3" w14:textId="77777777" w:rsidR="008106EF" w:rsidRDefault="008106EF" w:rsidP="00C92C81">
            <w:pPr>
              <w:rPr>
                <w:rFonts w:ascii="Garamond" w:hAnsi="Garamond"/>
                <w:lang w:val="en-AU"/>
              </w:rPr>
            </w:pPr>
            <w:r>
              <w:rPr>
                <w:rFonts w:ascii="Garamond" w:hAnsi="Garamond"/>
                <w:lang w:val="en-AU"/>
              </w:rPr>
              <w:t>Paper reporting on a study that sought to ‘</w:t>
            </w:r>
            <w:r w:rsidRPr="00595A0B">
              <w:rPr>
                <w:rFonts w:ascii="Garamond" w:hAnsi="Garamond"/>
                <w:lang w:val="en-AU"/>
              </w:rPr>
              <w:t xml:space="preserve">examine the association of in-hospital delirium with the occurrence of a range of adverse outcomes during later </w:t>
            </w:r>
            <w:proofErr w:type="gramStart"/>
            <w:r w:rsidRPr="00595A0B">
              <w:rPr>
                <w:rFonts w:ascii="Garamond" w:hAnsi="Garamond"/>
                <w:lang w:val="en-AU"/>
              </w:rPr>
              <w:t>hospitalisations</w:t>
            </w:r>
            <w:r>
              <w:rPr>
                <w:rFonts w:ascii="Garamond" w:hAnsi="Garamond"/>
                <w:lang w:val="en-AU"/>
              </w:rPr>
              <w:t>’</w:t>
            </w:r>
            <w:proofErr w:type="gramEnd"/>
            <w:r>
              <w:rPr>
                <w:rFonts w:ascii="Garamond" w:hAnsi="Garamond"/>
                <w:lang w:val="en-AU"/>
              </w:rPr>
              <w:t>. The study was ‘</w:t>
            </w:r>
            <w:r w:rsidRPr="00595A0B">
              <w:rPr>
                <w:rFonts w:ascii="Garamond" w:hAnsi="Garamond"/>
                <w:lang w:val="en-AU"/>
              </w:rPr>
              <w:t>a matched cohort study among hospitalised UK Biobank participants</w:t>
            </w:r>
            <w:r>
              <w:rPr>
                <w:rFonts w:ascii="Garamond" w:hAnsi="Garamond"/>
                <w:lang w:val="en-AU"/>
              </w:rPr>
              <w:t>’</w:t>
            </w:r>
            <w:r w:rsidRPr="00595A0B">
              <w:rPr>
                <w:rFonts w:ascii="Garamond" w:hAnsi="Garamond"/>
                <w:lang w:val="en-AU"/>
              </w:rPr>
              <w:t xml:space="preserve"> </w:t>
            </w:r>
            <w:r>
              <w:rPr>
                <w:rFonts w:ascii="Garamond" w:hAnsi="Garamond"/>
                <w:lang w:val="en-AU"/>
              </w:rPr>
              <w:t>that ‘</w:t>
            </w:r>
            <w:r w:rsidRPr="00595A0B">
              <w:rPr>
                <w:rFonts w:ascii="Garamond" w:hAnsi="Garamond"/>
                <w:lang w:val="en-AU"/>
              </w:rPr>
              <w:t>matched 14</w:t>
            </w:r>
            <w:r w:rsidRPr="00595A0B">
              <w:rPr>
                <w:lang w:val="en-AU"/>
              </w:rPr>
              <w:t> </w:t>
            </w:r>
            <w:r w:rsidRPr="00595A0B">
              <w:rPr>
                <w:rFonts w:ascii="Garamond" w:hAnsi="Garamond"/>
                <w:lang w:val="en-AU"/>
              </w:rPr>
              <w:t>909 individuals with delirium (1:1) to hospitalised control individuals without delirium by age, sex, Hospital Frailty Risk Score, primary diagnosis, episode length of stay, and intensive care unit length of stay of the index episode.</w:t>
            </w:r>
            <w:r>
              <w:rPr>
                <w:rFonts w:ascii="Garamond" w:hAnsi="Garamond"/>
                <w:lang w:val="en-AU"/>
              </w:rPr>
              <w:t>’ The authors report that ‘</w:t>
            </w:r>
            <w:r w:rsidRPr="00595A0B">
              <w:rPr>
                <w:rFonts w:ascii="Garamond" w:hAnsi="Garamond"/>
                <w:b/>
                <w:bCs/>
                <w:lang w:val="en-AU"/>
              </w:rPr>
              <w:t>In-hospital delirium was consistently and dose-responsively associated with a range of adverse outcomes</w:t>
            </w:r>
            <w:r w:rsidRPr="00595A0B">
              <w:rPr>
                <w:rFonts w:ascii="Garamond" w:hAnsi="Garamond"/>
                <w:lang w:val="en-AU"/>
              </w:rPr>
              <w:t>, independent of frailty and pre-existing dementia, supporting its recognition as a sentinel event indicating longer-term vulnerability.</w:t>
            </w:r>
            <w:r>
              <w:rPr>
                <w:rFonts w:ascii="Garamond" w:hAnsi="Garamond"/>
                <w:lang w:val="en-AU"/>
              </w:rPr>
              <w:t xml:space="preserve">’ </w:t>
            </w:r>
          </w:p>
          <w:p w14:paraId="115C96F8" w14:textId="77777777" w:rsidR="008106EF" w:rsidRPr="00BF1287" w:rsidRDefault="008106EF" w:rsidP="00C92C81">
            <w:pPr>
              <w:rPr>
                <w:rFonts w:ascii="Garamond" w:hAnsi="Garamond"/>
                <w:lang w:val="en-AU"/>
              </w:rPr>
            </w:pPr>
            <w:r>
              <w:rPr>
                <w:rFonts w:ascii="Garamond" w:hAnsi="Garamond"/>
                <w:lang w:val="en-AU"/>
              </w:rPr>
              <w:t xml:space="preserve">The Australian Commission on Safety and Quality in Health Care has included delirium on the </w:t>
            </w:r>
            <w:hyperlink r:id="rId22" w:anchor="hospital-acquired-complications-list" w:history="1">
              <w:r w:rsidRPr="00595A0B">
                <w:rPr>
                  <w:rStyle w:val="Hyperlink"/>
                  <w:rFonts w:ascii="Garamond" w:hAnsi="Garamond"/>
                  <w:lang w:val="en-AU"/>
                </w:rPr>
                <w:t>national list of hospital-acquired complications</w:t>
              </w:r>
            </w:hyperlink>
            <w:r>
              <w:rPr>
                <w:rFonts w:ascii="Garamond" w:hAnsi="Garamond"/>
                <w:lang w:val="en-AU"/>
              </w:rPr>
              <w:t>.</w:t>
            </w:r>
          </w:p>
        </w:tc>
      </w:tr>
    </w:tbl>
    <w:p w14:paraId="4810B223" w14:textId="77777777" w:rsidR="008106EF" w:rsidRDefault="008106EF" w:rsidP="008106EF">
      <w:pPr>
        <w:keepLines/>
        <w:autoSpaceDE w:val="0"/>
        <w:autoSpaceDN w:val="0"/>
        <w:adjustRightInd w:val="0"/>
        <w:rPr>
          <w:rFonts w:ascii="Garamond" w:hAnsi="Garamond"/>
          <w:bCs/>
          <w:lang w:val="en-AU"/>
        </w:rPr>
      </w:pPr>
    </w:p>
    <w:p w14:paraId="438EB464" w14:textId="6C017635" w:rsidR="008106EF" w:rsidRDefault="008106EF" w:rsidP="008106EF">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c</w:t>
      </w:r>
      <w:r w:rsidRPr="004437DF">
        <w:rPr>
          <w:rFonts w:ascii="Garamond" w:hAnsi="Garamond"/>
          <w:bCs/>
          <w:lang w:val="en-AU"/>
        </w:rPr>
        <w:t>ognitive impairment</w:t>
      </w:r>
      <w:r>
        <w:rPr>
          <w:rFonts w:ascii="Garamond" w:hAnsi="Garamond"/>
          <w:bCs/>
          <w:lang w:val="en-AU"/>
        </w:rPr>
        <w:t>, including dementia and delirium</w:t>
      </w:r>
      <w:r w:rsidR="00E71D6E">
        <w:rPr>
          <w:rFonts w:ascii="Garamond" w:hAnsi="Garamond"/>
          <w:bCs/>
          <w:lang w:val="en-AU"/>
        </w:rPr>
        <w:t xml:space="preserve"> and the </w:t>
      </w:r>
      <w:r w:rsidR="00E71D6E" w:rsidRPr="00E71D6E">
        <w:rPr>
          <w:rFonts w:ascii="Garamond" w:hAnsi="Garamond"/>
          <w:bCs/>
          <w:i/>
          <w:iCs/>
          <w:lang w:val="en-AU"/>
        </w:rPr>
        <w:t>Delirium Clinical Care Standard</w:t>
      </w:r>
      <w:r>
        <w:rPr>
          <w:rFonts w:ascii="Garamond" w:hAnsi="Garamond"/>
          <w:bCs/>
          <w:lang w:val="en-AU"/>
        </w:rPr>
        <w:t xml:space="preserve">, see </w:t>
      </w:r>
      <w:hyperlink r:id="rId23" w:history="1">
        <w:r w:rsidRPr="00A777F9">
          <w:rPr>
            <w:rStyle w:val="Hyperlink"/>
            <w:rFonts w:ascii="Garamond" w:hAnsi="Garamond"/>
            <w:bCs/>
            <w:lang w:val="en-AU"/>
          </w:rPr>
          <w:t>https://www.safetyandquality.gov.au/our-work/cognitive-impairment</w:t>
        </w:r>
      </w:hyperlink>
    </w:p>
    <w:p w14:paraId="54AB4BB3" w14:textId="77777777" w:rsidR="008106EF" w:rsidRPr="00BF1287" w:rsidRDefault="008106EF" w:rsidP="008106EF">
      <w:pPr>
        <w:keepLines/>
        <w:autoSpaceDE w:val="0"/>
        <w:autoSpaceDN w:val="0"/>
        <w:adjustRightInd w:val="0"/>
        <w:rPr>
          <w:rFonts w:ascii="Garamond" w:hAnsi="Garamond"/>
          <w:bCs/>
          <w:lang w:val="en-AU"/>
        </w:rPr>
      </w:pPr>
    </w:p>
    <w:p w14:paraId="4A83F708" w14:textId="77777777" w:rsidR="008106EF" w:rsidRPr="0063124F" w:rsidRDefault="008106EF" w:rsidP="008106EF">
      <w:pPr>
        <w:keepLines/>
        <w:autoSpaceDE w:val="0"/>
        <w:autoSpaceDN w:val="0"/>
        <w:adjustRightInd w:val="0"/>
        <w:rPr>
          <w:rFonts w:ascii="Garamond" w:hAnsi="Garamond"/>
          <w:bCs/>
          <w:i/>
          <w:iCs/>
          <w:lang w:val="en-AU"/>
        </w:rPr>
      </w:pPr>
      <w:r w:rsidRPr="0063124F">
        <w:rPr>
          <w:rFonts w:ascii="Garamond" w:hAnsi="Garamond"/>
          <w:bCs/>
          <w:i/>
          <w:iCs/>
          <w:lang w:val="en-AU"/>
        </w:rPr>
        <w:t xml:space="preserve">Health Literacy-Focused Communication Training for Primary Healthcare Providers Working </w:t>
      </w:r>
      <w:proofErr w:type="gramStart"/>
      <w:r w:rsidRPr="0063124F">
        <w:rPr>
          <w:rFonts w:ascii="Garamond" w:hAnsi="Garamond"/>
          <w:bCs/>
          <w:i/>
          <w:iCs/>
          <w:lang w:val="en-AU"/>
        </w:rPr>
        <w:t>With</w:t>
      </w:r>
      <w:proofErr w:type="gramEnd"/>
      <w:r w:rsidRPr="0063124F">
        <w:rPr>
          <w:rFonts w:ascii="Garamond" w:hAnsi="Garamond"/>
          <w:bCs/>
          <w:i/>
          <w:iCs/>
          <w:lang w:val="en-AU"/>
        </w:rPr>
        <w:t xml:space="preserve"> Older Adults: A Co-Designed Prototype</w:t>
      </w:r>
    </w:p>
    <w:p w14:paraId="43A8C20D" w14:textId="77777777" w:rsidR="008106EF" w:rsidRDefault="008106EF" w:rsidP="008106EF">
      <w:pPr>
        <w:keepLines/>
        <w:autoSpaceDE w:val="0"/>
        <w:autoSpaceDN w:val="0"/>
        <w:adjustRightInd w:val="0"/>
        <w:rPr>
          <w:rFonts w:ascii="Garamond" w:hAnsi="Garamond"/>
          <w:bCs/>
          <w:lang w:val="en-AU"/>
        </w:rPr>
      </w:pPr>
      <w:r w:rsidRPr="0063124F">
        <w:rPr>
          <w:rFonts w:ascii="Garamond" w:hAnsi="Garamond"/>
          <w:bCs/>
          <w:lang w:val="en-AU"/>
        </w:rPr>
        <w:t xml:space="preserve">O'Brien L, Lawless M, </w:t>
      </w:r>
      <w:proofErr w:type="spellStart"/>
      <w:r w:rsidRPr="0063124F">
        <w:rPr>
          <w:rFonts w:ascii="Garamond" w:hAnsi="Garamond"/>
          <w:bCs/>
          <w:lang w:val="en-AU"/>
        </w:rPr>
        <w:t>Townsin</w:t>
      </w:r>
      <w:proofErr w:type="spellEnd"/>
      <w:r w:rsidRPr="0063124F">
        <w:rPr>
          <w:rFonts w:ascii="Garamond" w:hAnsi="Garamond"/>
          <w:bCs/>
          <w:lang w:val="en-AU"/>
        </w:rPr>
        <w:t xml:space="preserve"> L, Mills P, Ta D, Beilby J, et al</w:t>
      </w:r>
    </w:p>
    <w:p w14:paraId="3C2945E3" w14:textId="77777777" w:rsidR="008106EF" w:rsidRPr="00BF1287" w:rsidRDefault="008106EF" w:rsidP="008106EF">
      <w:pPr>
        <w:keepLines/>
        <w:autoSpaceDE w:val="0"/>
        <w:autoSpaceDN w:val="0"/>
        <w:adjustRightInd w:val="0"/>
        <w:rPr>
          <w:rFonts w:ascii="Garamond" w:hAnsi="Garamond"/>
          <w:bCs/>
          <w:lang w:val="en-AU"/>
        </w:rPr>
      </w:pPr>
      <w:r w:rsidRPr="0063124F">
        <w:rPr>
          <w:rFonts w:ascii="Garamond" w:hAnsi="Garamond"/>
          <w:bCs/>
          <w:lang w:val="en-AU"/>
        </w:rPr>
        <w:t>Health Expectations. 2026;29(1</w:t>
      </w:r>
      <w:proofErr w:type="gramStart"/>
      <w:r w:rsidRPr="0063124F">
        <w:rPr>
          <w:rFonts w:ascii="Garamond" w:hAnsi="Garamond"/>
          <w:bCs/>
          <w:lang w:val="en-AU"/>
        </w:rPr>
        <w:t>):e</w:t>
      </w:r>
      <w:proofErr w:type="gramEnd"/>
      <w:r w:rsidRPr="0063124F">
        <w:rPr>
          <w:rFonts w:ascii="Garamond" w:hAnsi="Garamond"/>
          <w:bCs/>
          <w:lang w:val="en-AU"/>
        </w:rPr>
        <w:t>70590.</w:t>
      </w:r>
    </w:p>
    <w:tbl>
      <w:tblPr>
        <w:tblStyle w:val="TableGrid"/>
        <w:tblW w:w="9360" w:type="dxa"/>
        <w:tblInd w:w="288" w:type="dxa"/>
        <w:tblLayout w:type="fixed"/>
        <w:tblLook w:val="01E0" w:firstRow="1" w:lastRow="1" w:firstColumn="1" w:lastColumn="1" w:noHBand="0" w:noVBand="0"/>
      </w:tblPr>
      <w:tblGrid>
        <w:gridCol w:w="1080"/>
        <w:gridCol w:w="8280"/>
      </w:tblGrid>
      <w:tr w:rsidR="008106EF" w:rsidRPr="00BF1287" w14:paraId="0D1D4A97"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166AF527" w14:textId="77777777" w:rsidR="008106EF" w:rsidRPr="00BF1287" w:rsidRDefault="008106EF" w:rsidP="00C92C81">
            <w:pPr>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04B8AEC" w14:textId="77777777" w:rsidR="008106EF" w:rsidRPr="00BF1287" w:rsidRDefault="008106EF" w:rsidP="00C92C81">
            <w:pPr>
              <w:rPr>
                <w:rStyle w:val="Hyperlink"/>
                <w:rFonts w:ascii="Garamond" w:hAnsi="Garamond"/>
                <w:color w:val="auto"/>
                <w:u w:val="none"/>
                <w:lang w:val="en-AU"/>
              </w:rPr>
            </w:pPr>
            <w:hyperlink r:id="rId24" w:history="1">
              <w:r w:rsidRPr="00FC074E">
                <w:rPr>
                  <w:rStyle w:val="Hyperlink"/>
                  <w:rFonts w:ascii="Garamond" w:hAnsi="Garamond"/>
                  <w:lang w:val="en-AU"/>
                </w:rPr>
                <w:t>https://doi.org/10.1111/hex.70590</w:t>
              </w:r>
            </w:hyperlink>
          </w:p>
        </w:tc>
      </w:tr>
      <w:tr w:rsidR="008106EF" w:rsidRPr="00BF1287" w14:paraId="2A452AEB"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37C347F1" w14:textId="77777777" w:rsidR="008106EF" w:rsidRPr="00BF1287" w:rsidRDefault="008106EF" w:rsidP="00C92C8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9ABAE28" w14:textId="77777777" w:rsidR="008106EF" w:rsidRPr="00BF1287" w:rsidRDefault="008106EF" w:rsidP="00C92C81">
            <w:pPr>
              <w:rPr>
                <w:rFonts w:ascii="Garamond" w:hAnsi="Garamond"/>
                <w:lang w:val="en-AU"/>
              </w:rPr>
            </w:pPr>
            <w:r>
              <w:rPr>
                <w:rFonts w:ascii="Garamond" w:hAnsi="Garamond"/>
                <w:lang w:val="en-AU"/>
              </w:rPr>
              <w:t>Health literacy is a safety and quality issue. This paper describes the development of a training program for those working in primary healthcare to improve health literacy communication, particularly with older patients. The project ‘</w:t>
            </w:r>
            <w:r w:rsidRPr="0063124F">
              <w:rPr>
                <w:rFonts w:ascii="Garamond" w:hAnsi="Garamond"/>
                <w:lang w:val="en-AU"/>
              </w:rPr>
              <w:t>drew on an Experience-Based Co-Design approach</w:t>
            </w:r>
            <w:r>
              <w:rPr>
                <w:rFonts w:ascii="Garamond" w:hAnsi="Garamond"/>
                <w:lang w:val="en-AU"/>
              </w:rPr>
              <w:t>’ with workshops of ‘</w:t>
            </w:r>
            <w:r w:rsidRPr="0063124F">
              <w:rPr>
                <w:rFonts w:ascii="Garamond" w:hAnsi="Garamond"/>
                <w:lang w:val="en-AU"/>
              </w:rPr>
              <w:t>adults aged 50+ years and primary healthcare professionals</w:t>
            </w:r>
            <w:r>
              <w:rPr>
                <w:rFonts w:ascii="Garamond" w:hAnsi="Garamond"/>
                <w:lang w:val="en-AU"/>
              </w:rPr>
              <w:t>’ and led to the development of ‘</w:t>
            </w:r>
            <w:r w:rsidRPr="0063124F">
              <w:rPr>
                <w:rFonts w:ascii="Garamond" w:hAnsi="Garamond"/>
                <w:lang w:val="en-AU"/>
              </w:rPr>
              <w:t>a final training program that integrates real-world needs with pedagogical frameworks and aligns with evidence from prior training interventions. There is potential for implementation in primary healthcare provider training environments.</w:t>
            </w:r>
            <w:r>
              <w:rPr>
                <w:rFonts w:ascii="Garamond" w:hAnsi="Garamond"/>
                <w:lang w:val="en-AU"/>
              </w:rPr>
              <w:t>’</w:t>
            </w:r>
          </w:p>
        </w:tc>
      </w:tr>
    </w:tbl>
    <w:p w14:paraId="3A8C52E9" w14:textId="77777777" w:rsidR="008106EF" w:rsidRDefault="008106EF" w:rsidP="008106EF">
      <w:pPr>
        <w:keepLines/>
        <w:autoSpaceDE w:val="0"/>
        <w:autoSpaceDN w:val="0"/>
        <w:adjustRightInd w:val="0"/>
        <w:rPr>
          <w:rFonts w:ascii="Garamond" w:hAnsi="Garamond"/>
          <w:bCs/>
          <w:lang w:val="en-AU"/>
        </w:rPr>
      </w:pPr>
    </w:p>
    <w:p w14:paraId="345590CF" w14:textId="77777777" w:rsidR="008106EF" w:rsidRDefault="008106EF" w:rsidP="008106EF">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w:t>
      </w:r>
      <w:r>
        <w:rPr>
          <w:rFonts w:ascii="Garamond" w:hAnsi="Garamond"/>
          <w:bCs/>
          <w:lang w:val="en-AU"/>
        </w:rPr>
        <w:t>health literacy</w:t>
      </w:r>
      <w:r w:rsidRPr="00BF1287">
        <w:rPr>
          <w:rFonts w:ascii="Garamond" w:hAnsi="Garamond"/>
          <w:bCs/>
          <w:lang w:val="en-AU"/>
        </w:rPr>
        <w:t xml:space="preserve">, </w:t>
      </w:r>
      <w:r>
        <w:rPr>
          <w:rFonts w:ascii="Garamond" w:hAnsi="Garamond"/>
          <w:bCs/>
          <w:lang w:val="en-AU"/>
        </w:rPr>
        <w:t xml:space="preserve">including the 2014 </w:t>
      </w:r>
      <w:r w:rsidRPr="0063124F">
        <w:rPr>
          <w:rFonts w:ascii="Garamond" w:hAnsi="Garamond"/>
          <w:bCs/>
          <w:i/>
          <w:iCs/>
          <w:lang w:val="en-AU"/>
        </w:rPr>
        <w:t>National Statement on Health Literacy</w:t>
      </w:r>
      <w:r>
        <w:rPr>
          <w:rFonts w:ascii="Garamond" w:hAnsi="Garamond"/>
          <w:bCs/>
          <w:lang w:val="en-AU"/>
        </w:rPr>
        <w:t xml:space="preserve">, </w:t>
      </w:r>
      <w:r w:rsidRPr="00BF1287">
        <w:rPr>
          <w:rFonts w:ascii="Garamond" w:hAnsi="Garamond"/>
          <w:bCs/>
          <w:lang w:val="en-AU"/>
        </w:rPr>
        <w:t>see</w:t>
      </w:r>
      <w:r>
        <w:rPr>
          <w:rFonts w:ascii="Garamond" w:hAnsi="Garamond"/>
          <w:bCs/>
          <w:lang w:val="en-AU"/>
        </w:rPr>
        <w:t xml:space="preserve"> </w:t>
      </w:r>
      <w:hyperlink r:id="rId25" w:history="1">
        <w:r w:rsidRPr="00FC074E">
          <w:rPr>
            <w:rStyle w:val="Hyperlink"/>
            <w:rFonts w:ascii="Garamond" w:hAnsi="Garamond"/>
            <w:bCs/>
            <w:lang w:val="en-AU"/>
          </w:rPr>
          <w:t>https://www.safetyandquality.gov.au/our-work/patient-and-consumer-centred-care/health-literacy</w:t>
        </w:r>
      </w:hyperlink>
    </w:p>
    <w:p w14:paraId="51A118B5" w14:textId="77777777" w:rsidR="008106EF" w:rsidRDefault="008106EF" w:rsidP="008106EF">
      <w:pPr>
        <w:keepLines/>
        <w:autoSpaceDE w:val="0"/>
        <w:autoSpaceDN w:val="0"/>
        <w:adjustRightInd w:val="0"/>
        <w:rPr>
          <w:rFonts w:ascii="Garamond" w:hAnsi="Garamond"/>
          <w:bCs/>
          <w:lang w:val="en-AU"/>
        </w:rPr>
      </w:pPr>
    </w:p>
    <w:p w14:paraId="76A7B743" w14:textId="77777777" w:rsidR="00877224" w:rsidRDefault="00877224">
      <w:pPr>
        <w:rPr>
          <w:i/>
          <w:iCs/>
          <w:lang w:val="en-AU"/>
        </w:rPr>
      </w:pPr>
      <w:r>
        <w:rPr>
          <w:i/>
          <w:iCs/>
          <w:lang w:val="en-AU"/>
        </w:rPr>
        <w:br w:type="page"/>
      </w:r>
    </w:p>
    <w:p w14:paraId="52EF0823" w14:textId="370930F3" w:rsidR="008106EF" w:rsidRPr="00BF1287" w:rsidRDefault="008106EF" w:rsidP="008106EF">
      <w:pPr>
        <w:keepLines/>
        <w:autoSpaceDE w:val="0"/>
        <w:autoSpaceDN w:val="0"/>
        <w:adjustRightInd w:val="0"/>
        <w:rPr>
          <w:rFonts w:ascii="Garamond" w:hAnsi="Garamond"/>
          <w:bCs/>
          <w:lang w:val="en-AU"/>
        </w:rPr>
      </w:pPr>
      <w:r w:rsidRPr="00BF1287">
        <w:rPr>
          <w:i/>
          <w:iCs/>
          <w:lang w:val="en-AU"/>
        </w:rPr>
        <w:lastRenderedPageBreak/>
        <w:t>When Protocol Meets Reality</w:t>
      </w:r>
      <w:r w:rsidRPr="00BF1287">
        <w:rPr>
          <w:i/>
          <w:iCs/>
          <w:lang w:val="en-AU"/>
        </w:rPr>
        <w:br/>
      </w:r>
      <w:r w:rsidRPr="00BF1287">
        <w:rPr>
          <w:lang w:val="en-AU"/>
        </w:rPr>
        <w:t>Burks W</w:t>
      </w:r>
      <w:r w:rsidRPr="00BF1287">
        <w:rPr>
          <w:lang w:val="en-AU"/>
        </w:rPr>
        <w:b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8106EF" w:rsidRPr="00BF1287" w14:paraId="38B427DD"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371807E6" w14:textId="77777777" w:rsidR="008106EF" w:rsidRPr="00BF1287" w:rsidRDefault="008106EF" w:rsidP="00C92C81">
            <w:pPr>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FF3D80D" w14:textId="77777777" w:rsidR="008106EF" w:rsidRPr="00BF1287" w:rsidRDefault="008106EF" w:rsidP="00C92C81">
            <w:pPr>
              <w:rPr>
                <w:rStyle w:val="Hyperlink"/>
                <w:rFonts w:ascii="Garamond" w:hAnsi="Garamond"/>
                <w:color w:val="auto"/>
                <w:u w:val="none"/>
                <w:lang w:val="en-AU"/>
              </w:rPr>
            </w:pPr>
            <w:hyperlink r:id="rId26" w:history="1">
              <w:r w:rsidRPr="00BF1287">
                <w:rPr>
                  <w:rStyle w:val="Hyperlink"/>
                  <w:rFonts w:ascii="Garamond" w:hAnsi="Garamond"/>
                  <w:lang w:val="en-AU"/>
                </w:rPr>
                <w:t>https://doi.org/10.1001/jama.2026.0064</w:t>
              </w:r>
            </w:hyperlink>
          </w:p>
        </w:tc>
      </w:tr>
      <w:tr w:rsidR="008106EF" w:rsidRPr="00BF1287" w14:paraId="1AC714E8" w14:textId="77777777" w:rsidTr="00C92C81">
        <w:tc>
          <w:tcPr>
            <w:tcW w:w="1080" w:type="dxa"/>
            <w:tcBorders>
              <w:top w:val="single" w:sz="4" w:space="0" w:color="auto"/>
              <w:left w:val="single" w:sz="4" w:space="0" w:color="auto"/>
              <w:bottom w:val="single" w:sz="4" w:space="0" w:color="auto"/>
              <w:right w:val="single" w:sz="4" w:space="0" w:color="auto"/>
            </w:tcBorders>
            <w:vAlign w:val="center"/>
            <w:hideMark/>
          </w:tcPr>
          <w:p w14:paraId="726A2B83" w14:textId="77777777" w:rsidR="008106EF" w:rsidRPr="00BF1287" w:rsidRDefault="008106EF" w:rsidP="00C92C8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E1445CF" w14:textId="77777777" w:rsidR="008106EF" w:rsidRPr="00BF1287" w:rsidRDefault="008106EF" w:rsidP="00C92C81">
            <w:pPr>
              <w:rPr>
                <w:rFonts w:ascii="Garamond" w:hAnsi="Garamond"/>
                <w:lang w:val="en-AU"/>
              </w:rPr>
            </w:pPr>
            <w:r>
              <w:rPr>
                <w:lang w:val="en-AU"/>
              </w:rPr>
              <w:t xml:space="preserve">This </w:t>
            </w:r>
            <w:r w:rsidRPr="00BF1287">
              <w:rPr>
                <w:lang w:val="en-AU"/>
              </w:rPr>
              <w:t xml:space="preserve">piece </w:t>
            </w:r>
            <w:r>
              <w:rPr>
                <w:lang w:val="en-AU"/>
              </w:rPr>
              <w:t xml:space="preserve">in </w:t>
            </w:r>
            <w:r w:rsidRPr="00BF1287">
              <w:rPr>
                <w:i/>
                <w:iCs/>
                <w:lang w:val="en-AU"/>
              </w:rPr>
              <w:t>JAMA</w:t>
            </w:r>
            <w:r>
              <w:rPr>
                <w:lang w:val="en-AU"/>
              </w:rPr>
              <w:t xml:space="preserve"> </w:t>
            </w:r>
            <w:r w:rsidRPr="00BF1287">
              <w:rPr>
                <w:lang w:val="en-AU"/>
              </w:rPr>
              <w:t>that reflects on person-centred care, in the setting of advanced dementia and emergency hospitalisation</w:t>
            </w:r>
            <w:r>
              <w:rPr>
                <w:lang w:val="en-AU"/>
              </w:rPr>
              <w:t>. Written by a clinician who has ‘</w:t>
            </w:r>
            <w:r w:rsidRPr="00BF1287">
              <w:rPr>
                <w:lang w:val="en-AU"/>
              </w:rPr>
              <w:t>spent more than 4 decades in medicine, much of it caring for children and their families and helping to lead large health care systems</w:t>
            </w:r>
            <w:r>
              <w:rPr>
                <w:lang w:val="en-AU"/>
              </w:rPr>
              <w:t xml:space="preserve">’ and thought he had </w:t>
            </w:r>
            <w:r w:rsidRPr="00BF1287">
              <w:rPr>
                <w:lang w:val="en-AU"/>
              </w:rPr>
              <w:t>understood what it meant to meet patients where they were emotionally and developmentally</w:t>
            </w:r>
            <w:r>
              <w:rPr>
                <w:lang w:val="en-AU"/>
              </w:rPr>
              <w:t>. His experience of caring for his partner as ‘</w:t>
            </w:r>
            <w:r w:rsidRPr="00BF1287">
              <w:rPr>
                <w:lang w:val="en-AU"/>
              </w:rPr>
              <w:t>she has moved through the stages of Alzheimer disease</w:t>
            </w:r>
            <w:r>
              <w:rPr>
                <w:lang w:val="en-AU"/>
              </w:rPr>
              <w:t>’. He observes that ‘</w:t>
            </w:r>
            <w:r w:rsidRPr="00BF1287">
              <w:rPr>
                <w:lang w:val="en-AU"/>
              </w:rPr>
              <w:t>nothing prepared me for how sharply the worlds of protocol and lived reality can collide in a moment of crisi</w:t>
            </w:r>
            <w:r>
              <w:rPr>
                <w:lang w:val="en-AU"/>
              </w:rPr>
              <w:t>s’, particularly how clinicians tended to follow protocols rather than recognise the lived reality of the patient before them. The author concludes with the observation ‘</w:t>
            </w:r>
            <w:r w:rsidRPr="00245583">
              <w:rPr>
                <w:lang w:val="en-AU"/>
              </w:rPr>
              <w:t>When protocol meets reality, the human connection between clinician, patient, and caregiver becomes the most reliable tool we have. And when clinicians approach dementia care with that awareness, the room becomes just a little gentler—for everyone.</w:t>
            </w:r>
            <w:r>
              <w:rPr>
                <w:lang w:val="en-AU"/>
              </w:rPr>
              <w:t>’</w:t>
            </w:r>
          </w:p>
        </w:tc>
      </w:tr>
    </w:tbl>
    <w:p w14:paraId="6279C1C0" w14:textId="77777777" w:rsidR="008106EF" w:rsidRDefault="008106EF" w:rsidP="008106EF">
      <w:pPr>
        <w:keepLines/>
        <w:autoSpaceDE w:val="0"/>
        <w:autoSpaceDN w:val="0"/>
        <w:adjustRightInd w:val="0"/>
        <w:rPr>
          <w:rFonts w:ascii="Garamond" w:hAnsi="Garamond"/>
          <w:bCs/>
          <w:lang w:val="en-AU"/>
        </w:rPr>
      </w:pPr>
    </w:p>
    <w:p w14:paraId="740AC8CD" w14:textId="77777777" w:rsidR="008106EF" w:rsidRPr="00BF1287" w:rsidRDefault="008106EF" w:rsidP="008106EF">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person-centred care, see </w:t>
      </w:r>
      <w:hyperlink r:id="rId27" w:history="1">
        <w:r w:rsidRPr="00BF1287">
          <w:rPr>
            <w:rStyle w:val="Hyperlink"/>
            <w:rFonts w:ascii="Garamond" w:hAnsi="Garamond"/>
            <w:bCs/>
            <w:lang w:val="en-AU"/>
          </w:rPr>
          <w:t>https://www.safetyandquality.gov.au/our-work/partnering-consumers/person-centred-care</w:t>
        </w:r>
      </w:hyperlink>
    </w:p>
    <w:p w14:paraId="0123BBFA" w14:textId="77777777" w:rsidR="008106EF" w:rsidRPr="00BF1287" w:rsidRDefault="008106EF" w:rsidP="008106EF">
      <w:pPr>
        <w:keepLines/>
        <w:autoSpaceDE w:val="0"/>
        <w:autoSpaceDN w:val="0"/>
        <w:adjustRightInd w:val="0"/>
        <w:rPr>
          <w:rFonts w:ascii="Garamond" w:hAnsi="Garamond"/>
          <w:bCs/>
          <w:lang w:val="en-AU"/>
        </w:rPr>
      </w:pPr>
    </w:p>
    <w:p w14:paraId="5D60344A" w14:textId="7869A46A" w:rsidR="00D56D5E" w:rsidRPr="00BF1287" w:rsidRDefault="00BF1287" w:rsidP="00196006">
      <w:pPr>
        <w:keepNext/>
        <w:keepLines/>
        <w:autoSpaceDE w:val="0"/>
        <w:autoSpaceDN w:val="0"/>
        <w:adjustRightInd w:val="0"/>
        <w:rPr>
          <w:rFonts w:ascii="Garamond" w:hAnsi="Garamond"/>
          <w:bCs/>
          <w:lang w:val="en-AU"/>
        </w:rPr>
      </w:pPr>
      <w:r w:rsidRPr="00BF1287">
        <w:rPr>
          <w:i/>
          <w:iCs/>
          <w:lang w:val="en-AU"/>
        </w:rPr>
        <w:t>Coffee and Tea Intake, Dementia Risk, and Cognitive Function</w:t>
      </w:r>
      <w:r w:rsidRPr="00BF1287">
        <w:rPr>
          <w:lang w:val="en-AU"/>
        </w:rPr>
        <w:t xml:space="preserve"> </w:t>
      </w:r>
      <w:r w:rsidRPr="00BF1287">
        <w:rPr>
          <w:lang w:val="en-AU"/>
        </w:rPr>
        <w:br/>
        <w:t>Zhang Y, Liu Y, Li Y, Li Y, Gu X, Kang JH, et al</w:t>
      </w:r>
      <w:r w:rsidRPr="00BF1287">
        <w:rPr>
          <w:lang w:val="en-AU"/>
        </w:rPr>
        <w:b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D56D5E" w:rsidRPr="00BF1287" w14:paraId="1398A1EE" w14:textId="77777777" w:rsidTr="00C038ED">
        <w:tc>
          <w:tcPr>
            <w:tcW w:w="1080" w:type="dxa"/>
            <w:tcBorders>
              <w:top w:val="single" w:sz="4" w:space="0" w:color="auto"/>
              <w:left w:val="single" w:sz="4" w:space="0" w:color="auto"/>
              <w:bottom w:val="single" w:sz="4" w:space="0" w:color="auto"/>
              <w:right w:val="single" w:sz="4" w:space="0" w:color="auto"/>
            </w:tcBorders>
            <w:vAlign w:val="center"/>
            <w:hideMark/>
          </w:tcPr>
          <w:p w14:paraId="473CB035" w14:textId="39CADD47" w:rsidR="00D56D5E" w:rsidRPr="00BF1287" w:rsidRDefault="00D56D5E" w:rsidP="00196006">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E40B625" w14:textId="07D564BB" w:rsidR="00D56D5E" w:rsidRPr="00BF1287" w:rsidRDefault="00BF1287" w:rsidP="00196006">
            <w:pPr>
              <w:keepNext/>
              <w:keepLines/>
              <w:autoSpaceDE w:val="0"/>
              <w:autoSpaceDN w:val="0"/>
              <w:adjustRightInd w:val="0"/>
              <w:rPr>
                <w:rStyle w:val="Hyperlink"/>
                <w:rFonts w:ascii="Garamond" w:hAnsi="Garamond"/>
                <w:color w:val="auto"/>
                <w:u w:val="none"/>
                <w:lang w:val="en-AU"/>
              </w:rPr>
            </w:pPr>
            <w:hyperlink r:id="rId28" w:history="1">
              <w:r w:rsidRPr="00BF1287">
                <w:rPr>
                  <w:rStyle w:val="Hyperlink"/>
                  <w:lang w:val="en-AU"/>
                </w:rPr>
                <w:t>https://doi.org/10.1001/jama.2025.27259</w:t>
              </w:r>
            </w:hyperlink>
          </w:p>
        </w:tc>
      </w:tr>
      <w:tr w:rsidR="00D56D5E" w:rsidRPr="00BF1287" w14:paraId="60A18A66" w14:textId="77777777" w:rsidTr="00C038ED">
        <w:tc>
          <w:tcPr>
            <w:tcW w:w="1080" w:type="dxa"/>
            <w:tcBorders>
              <w:top w:val="single" w:sz="4" w:space="0" w:color="auto"/>
              <w:left w:val="single" w:sz="4" w:space="0" w:color="auto"/>
              <w:bottom w:val="single" w:sz="4" w:space="0" w:color="auto"/>
              <w:right w:val="single" w:sz="4" w:space="0" w:color="auto"/>
            </w:tcBorders>
            <w:vAlign w:val="center"/>
            <w:hideMark/>
          </w:tcPr>
          <w:p w14:paraId="6188DDEF" w14:textId="77777777" w:rsidR="00D56D5E" w:rsidRPr="00BF1287" w:rsidRDefault="00D56D5E" w:rsidP="00C038ED">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7FC2EF0" w14:textId="144BA1CD" w:rsidR="00D56D5E" w:rsidRPr="00BF1287" w:rsidRDefault="00F77D93" w:rsidP="00D56D5E">
            <w:pPr>
              <w:rPr>
                <w:rFonts w:ascii="Garamond" w:hAnsi="Garamond"/>
                <w:lang w:val="en-AU"/>
              </w:rPr>
            </w:pPr>
            <w:r>
              <w:rPr>
                <w:rFonts w:ascii="Garamond" w:hAnsi="Garamond"/>
                <w:lang w:val="en-AU"/>
              </w:rPr>
              <w:t>Possibly not the most important paper published recently, but one that is likely to garner a lot of attention. The paper reports on a ‘</w:t>
            </w:r>
            <w:r w:rsidRPr="00F77D93">
              <w:rPr>
                <w:rFonts w:ascii="Garamond" w:hAnsi="Garamond"/>
                <w:lang w:val="en-AU"/>
              </w:rPr>
              <w:t>Prospective cohort study that included female participants from the Nurses’ Health Study (NHS; n</w:t>
            </w:r>
            <w:r w:rsidRPr="00F77D93">
              <w:rPr>
                <w:lang w:val="en-AU"/>
              </w:rPr>
              <w:t> </w:t>
            </w:r>
            <w:r w:rsidRPr="00F77D93">
              <w:rPr>
                <w:rFonts w:ascii="Garamond" w:hAnsi="Garamond"/>
                <w:lang w:val="en-AU"/>
              </w:rPr>
              <w:t>=</w:t>
            </w:r>
            <w:r w:rsidRPr="00F77D93">
              <w:rPr>
                <w:lang w:val="en-AU"/>
              </w:rPr>
              <w:t> </w:t>
            </w:r>
            <w:r w:rsidRPr="00F77D93">
              <w:rPr>
                <w:rFonts w:ascii="Garamond" w:hAnsi="Garamond"/>
                <w:lang w:val="en-AU"/>
              </w:rPr>
              <w:t>86</w:t>
            </w:r>
            <w:r w:rsidRPr="00F77D93">
              <w:rPr>
                <w:lang w:val="en-AU"/>
              </w:rPr>
              <w:t> </w:t>
            </w:r>
            <w:r w:rsidRPr="00F77D93">
              <w:rPr>
                <w:rFonts w:ascii="Garamond" w:hAnsi="Garamond"/>
                <w:lang w:val="en-AU"/>
              </w:rPr>
              <w:t>606 with data from 1980-2023) and male participants from the Health Professionals Follow-up Study (HPFS; n</w:t>
            </w:r>
            <w:r w:rsidRPr="00F77D93">
              <w:rPr>
                <w:lang w:val="en-AU"/>
              </w:rPr>
              <w:t> </w:t>
            </w:r>
            <w:r w:rsidRPr="00F77D93">
              <w:rPr>
                <w:rFonts w:ascii="Garamond" w:hAnsi="Garamond"/>
                <w:lang w:val="en-AU"/>
              </w:rPr>
              <w:t>=</w:t>
            </w:r>
            <w:r w:rsidRPr="00F77D93">
              <w:rPr>
                <w:lang w:val="en-AU"/>
              </w:rPr>
              <w:t> </w:t>
            </w:r>
            <w:r w:rsidRPr="00F77D93">
              <w:rPr>
                <w:rFonts w:ascii="Garamond" w:hAnsi="Garamond"/>
                <w:lang w:val="en-AU"/>
              </w:rPr>
              <w:t>45</w:t>
            </w:r>
            <w:r w:rsidRPr="00F77D93">
              <w:rPr>
                <w:lang w:val="en-AU"/>
              </w:rPr>
              <w:t> </w:t>
            </w:r>
            <w:r w:rsidRPr="00F77D93">
              <w:rPr>
                <w:rFonts w:ascii="Garamond" w:hAnsi="Garamond"/>
                <w:lang w:val="en-AU"/>
              </w:rPr>
              <w:t>215 with data from 1986-2023) who did not have cancer, Parkinson disease, or dementia at study entry (baseline) in the US.</w:t>
            </w:r>
            <w:r>
              <w:rPr>
                <w:rFonts w:ascii="Garamond" w:hAnsi="Garamond"/>
                <w:lang w:val="en-AU"/>
              </w:rPr>
              <w:t>’ The participants’ ‘</w:t>
            </w:r>
            <w:r w:rsidRPr="00F77D93">
              <w:rPr>
                <w:rFonts w:ascii="Garamond" w:hAnsi="Garamond"/>
                <w:lang w:val="en-AU"/>
              </w:rPr>
              <w:t>Dietary intake was collected every 2 to 4 years using validated food frequency questionnaires.</w:t>
            </w:r>
            <w:r>
              <w:rPr>
                <w:rFonts w:ascii="Garamond" w:hAnsi="Garamond"/>
                <w:lang w:val="en-AU"/>
              </w:rPr>
              <w:t>’ The authors report that ‘</w:t>
            </w:r>
            <w:r w:rsidRPr="00F77D93">
              <w:rPr>
                <w:rFonts w:ascii="Garamond" w:hAnsi="Garamond"/>
                <w:lang w:val="en-AU"/>
              </w:rPr>
              <w:t>Among 131</w:t>
            </w:r>
            <w:r w:rsidRPr="00F77D93">
              <w:rPr>
                <w:lang w:val="en-AU"/>
              </w:rPr>
              <w:t> </w:t>
            </w:r>
            <w:r w:rsidRPr="00F77D93">
              <w:rPr>
                <w:rFonts w:ascii="Garamond" w:hAnsi="Garamond"/>
                <w:lang w:val="en-AU"/>
              </w:rPr>
              <w:t xml:space="preserve">821 participants </w:t>
            </w:r>
            <w:r>
              <w:rPr>
                <w:rFonts w:ascii="Garamond" w:hAnsi="Garamond"/>
                <w:lang w:val="en-AU"/>
              </w:rPr>
              <w:t>…</w:t>
            </w:r>
            <w:r w:rsidR="00F33D89">
              <w:rPr>
                <w:rFonts w:ascii="Garamond" w:hAnsi="Garamond"/>
                <w:lang w:val="en-AU"/>
              </w:rPr>
              <w:t xml:space="preserve"> </w:t>
            </w:r>
            <w:r w:rsidRPr="00F77D93">
              <w:rPr>
                <w:rFonts w:ascii="Garamond" w:hAnsi="Garamond"/>
                <w:lang w:val="en-AU"/>
              </w:rPr>
              <w:t xml:space="preserve">during up to 43 years of follow-up </w:t>
            </w:r>
            <w:r>
              <w:rPr>
                <w:rFonts w:ascii="Garamond" w:hAnsi="Garamond"/>
                <w:lang w:val="en-AU"/>
              </w:rPr>
              <w:t>…</w:t>
            </w:r>
            <w:r w:rsidRPr="00F77D93">
              <w:rPr>
                <w:rFonts w:ascii="Garamond" w:hAnsi="Garamond"/>
                <w:lang w:val="en-AU"/>
              </w:rPr>
              <w:t>there were 11</w:t>
            </w:r>
            <w:r w:rsidRPr="00F77D93">
              <w:rPr>
                <w:lang w:val="en-AU"/>
              </w:rPr>
              <w:t> </w:t>
            </w:r>
            <w:r w:rsidRPr="00F77D93">
              <w:rPr>
                <w:rFonts w:ascii="Garamond" w:hAnsi="Garamond"/>
                <w:lang w:val="en-AU"/>
              </w:rPr>
              <w:t>033 cases of incident dementia.</w:t>
            </w:r>
            <w:r>
              <w:rPr>
                <w:rFonts w:ascii="Garamond" w:hAnsi="Garamond"/>
                <w:lang w:val="en-AU"/>
              </w:rPr>
              <w:t>’ From their analyses, the authors found ‘</w:t>
            </w:r>
            <w:r w:rsidRPr="00060026">
              <w:rPr>
                <w:rFonts w:ascii="Garamond" w:hAnsi="Garamond"/>
                <w:b/>
                <w:bCs/>
                <w:lang w:val="en-AU"/>
              </w:rPr>
              <w:t>Greater consumption of caffeinated coffee and tea was associated with lower risk of dementia and modestly better cognitive function</w:t>
            </w:r>
            <w:r w:rsidRPr="00F77D93">
              <w:rPr>
                <w:rFonts w:ascii="Garamond" w:hAnsi="Garamond"/>
                <w:lang w:val="en-AU"/>
              </w:rPr>
              <w:t>, with the most pronounced association at moderate intake levels.</w:t>
            </w:r>
            <w:r>
              <w:rPr>
                <w:rFonts w:ascii="Garamond" w:hAnsi="Garamond"/>
                <w:lang w:val="en-AU"/>
              </w:rPr>
              <w:t>’ They observe that ‘</w:t>
            </w:r>
            <w:r w:rsidRPr="00F77D93">
              <w:rPr>
                <w:rFonts w:ascii="Garamond" w:hAnsi="Garamond"/>
                <w:lang w:val="en-AU"/>
              </w:rPr>
              <w:t>The most pronounced associated differences were observed with intake of approximately 2 to 3 cups per day of caffeinated coffee or 1 to 2 cups per day of tea.</w:t>
            </w:r>
            <w:r>
              <w:rPr>
                <w:rFonts w:ascii="Garamond" w:hAnsi="Garamond"/>
                <w:lang w:val="en-AU"/>
              </w:rPr>
              <w:t>’</w:t>
            </w:r>
          </w:p>
        </w:tc>
      </w:tr>
    </w:tbl>
    <w:p w14:paraId="558CD079" w14:textId="77777777" w:rsidR="00D56D5E" w:rsidRPr="00BF1287" w:rsidRDefault="00D56D5E" w:rsidP="00D56D5E">
      <w:pPr>
        <w:keepLines/>
        <w:autoSpaceDE w:val="0"/>
        <w:autoSpaceDN w:val="0"/>
        <w:adjustRightInd w:val="0"/>
        <w:rPr>
          <w:rFonts w:ascii="Garamond" w:hAnsi="Garamond"/>
          <w:bCs/>
          <w:lang w:val="en-AU"/>
        </w:rPr>
      </w:pPr>
    </w:p>
    <w:p w14:paraId="39758264" w14:textId="77777777" w:rsidR="00E3027E" w:rsidRPr="006A76F0" w:rsidRDefault="00E3027E" w:rsidP="00E3027E">
      <w:pPr>
        <w:keepNext/>
        <w:keepLines/>
        <w:tabs>
          <w:tab w:val="left" w:pos="3569"/>
        </w:tabs>
        <w:autoSpaceDE w:val="0"/>
        <w:autoSpaceDN w:val="0"/>
        <w:adjustRightInd w:val="0"/>
        <w:rPr>
          <w:rFonts w:ascii="Garamond" w:hAnsi="Garamond"/>
          <w:i/>
        </w:rPr>
      </w:pPr>
      <w:r w:rsidRPr="006A76F0">
        <w:rPr>
          <w:rFonts w:ascii="Garamond" w:hAnsi="Garamond"/>
          <w:i/>
        </w:rPr>
        <w:t>BMJ Quality &amp; Safety</w:t>
      </w:r>
    </w:p>
    <w:p w14:paraId="6C180839" w14:textId="07774647" w:rsidR="00E3027E" w:rsidRPr="006A76F0" w:rsidRDefault="00E3027E" w:rsidP="00E3027E">
      <w:pPr>
        <w:keepNext/>
        <w:keepLines/>
        <w:autoSpaceDE w:val="0"/>
        <w:autoSpaceDN w:val="0"/>
        <w:adjustRightInd w:val="0"/>
        <w:rPr>
          <w:rFonts w:ascii="Garamond" w:hAnsi="Garamond"/>
          <w:iCs/>
        </w:rPr>
      </w:pPr>
      <w:r w:rsidRPr="006A76F0">
        <w:rPr>
          <w:rFonts w:ascii="Garamond" w:hAnsi="Garamond"/>
          <w:iCs/>
        </w:rPr>
        <w:t>Volume 3</w:t>
      </w:r>
      <w:r>
        <w:rPr>
          <w:rFonts w:ascii="Garamond" w:hAnsi="Garamond"/>
          <w:iCs/>
        </w:rPr>
        <w:t>5</w:t>
      </w:r>
      <w:r w:rsidRPr="006A76F0">
        <w:rPr>
          <w:rFonts w:ascii="Garamond" w:hAnsi="Garamond"/>
          <w:iCs/>
        </w:rPr>
        <w:t xml:space="preserve">, Issue </w:t>
      </w:r>
      <w:r>
        <w:rPr>
          <w:rFonts w:ascii="Garamond" w:hAnsi="Garamond"/>
          <w:iCs/>
        </w:rPr>
        <w:t>3</w:t>
      </w:r>
      <w:r w:rsidRPr="006A76F0">
        <w:rPr>
          <w:rFonts w:ascii="Garamond" w:hAnsi="Garamond"/>
          <w:iCs/>
        </w:rPr>
        <w:t xml:space="preserve">, </w:t>
      </w:r>
      <w:r>
        <w:rPr>
          <w:rFonts w:ascii="Garamond" w:hAnsi="Garamond"/>
          <w:iCs/>
        </w:rPr>
        <w:t xml:space="preserve">March </w:t>
      </w:r>
      <w:r w:rsidRPr="006A76F0">
        <w:rPr>
          <w:rFonts w:ascii="Garamond" w:hAnsi="Garamond"/>
          <w:iCs/>
        </w:rPr>
        <w:t>202</w:t>
      </w:r>
      <w:r>
        <w:rPr>
          <w:rFonts w:ascii="Garamond" w:hAnsi="Garamond"/>
          <w:iCs/>
        </w:rPr>
        <w:t>6</w:t>
      </w:r>
    </w:p>
    <w:tbl>
      <w:tblPr>
        <w:tblStyle w:val="TableGrid"/>
        <w:tblW w:w="9360" w:type="dxa"/>
        <w:tblInd w:w="288" w:type="dxa"/>
        <w:tblLayout w:type="fixed"/>
        <w:tblLook w:val="01E0" w:firstRow="1" w:lastRow="1" w:firstColumn="1" w:lastColumn="1" w:noHBand="0" w:noVBand="0"/>
      </w:tblPr>
      <w:tblGrid>
        <w:gridCol w:w="1080"/>
        <w:gridCol w:w="8280"/>
      </w:tblGrid>
      <w:tr w:rsidR="00E3027E" w:rsidRPr="006A76F0" w14:paraId="391EEF06" w14:textId="77777777" w:rsidTr="00AB67EA">
        <w:tc>
          <w:tcPr>
            <w:tcW w:w="1080" w:type="dxa"/>
            <w:tcBorders>
              <w:top w:val="single" w:sz="4" w:space="0" w:color="auto"/>
              <w:left w:val="single" w:sz="4" w:space="0" w:color="auto"/>
              <w:bottom w:val="single" w:sz="4" w:space="0" w:color="auto"/>
              <w:right w:val="single" w:sz="4" w:space="0" w:color="auto"/>
            </w:tcBorders>
            <w:vAlign w:val="center"/>
            <w:hideMark/>
          </w:tcPr>
          <w:p w14:paraId="71006100" w14:textId="77777777" w:rsidR="00E3027E" w:rsidRPr="006A76F0" w:rsidRDefault="00E3027E" w:rsidP="00AB67EA">
            <w:pPr>
              <w:keepLines/>
              <w:autoSpaceDE w:val="0"/>
              <w:autoSpaceDN w:val="0"/>
              <w:adjustRightInd w:val="0"/>
              <w:rPr>
                <w:rFonts w:ascii="Garamond" w:hAnsi="Garamond"/>
                <w:u w:val="single"/>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696253A" w14:textId="501B549E" w:rsidR="00E3027E" w:rsidRPr="006A76F0" w:rsidRDefault="00E3027E" w:rsidP="00E3027E">
            <w:pPr>
              <w:keepLines/>
              <w:autoSpaceDE w:val="0"/>
              <w:autoSpaceDN w:val="0"/>
              <w:adjustRightInd w:val="0"/>
            </w:pPr>
            <w:hyperlink r:id="rId29" w:history="1">
              <w:r w:rsidRPr="00E379DD">
                <w:rPr>
                  <w:rStyle w:val="Hyperlink"/>
                  <w:rFonts w:ascii="Garamond" w:hAnsi="Garamond"/>
                </w:rPr>
                <w:t>https://qualitysafety.bmj.com/content/35/3</w:t>
              </w:r>
            </w:hyperlink>
          </w:p>
        </w:tc>
      </w:tr>
      <w:tr w:rsidR="00E3027E" w:rsidRPr="006A76F0" w14:paraId="158EA756" w14:textId="77777777" w:rsidTr="00AB67EA">
        <w:tc>
          <w:tcPr>
            <w:tcW w:w="1080" w:type="dxa"/>
            <w:tcBorders>
              <w:top w:val="single" w:sz="4" w:space="0" w:color="auto"/>
              <w:left w:val="single" w:sz="4" w:space="0" w:color="auto"/>
              <w:bottom w:val="single" w:sz="4" w:space="0" w:color="auto"/>
              <w:right w:val="single" w:sz="4" w:space="0" w:color="auto"/>
            </w:tcBorders>
            <w:vAlign w:val="center"/>
            <w:hideMark/>
          </w:tcPr>
          <w:p w14:paraId="72C4818F" w14:textId="77777777" w:rsidR="00E3027E" w:rsidRPr="006A76F0" w:rsidRDefault="00E3027E" w:rsidP="00AB67EA">
            <w:pPr>
              <w:keepLines/>
              <w:autoSpaceDE w:val="0"/>
              <w:autoSpaceDN w:val="0"/>
              <w:adjustRightInd w:val="0"/>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7AB369E" w14:textId="77777777" w:rsidR="00E3027E" w:rsidRPr="006A76F0" w:rsidRDefault="00E3027E" w:rsidP="00AB67EA">
            <w:pPr>
              <w:keepLines/>
              <w:autoSpaceDE w:val="0"/>
              <w:autoSpaceDN w:val="0"/>
              <w:adjustRightInd w:val="0"/>
              <w:rPr>
                <w:rFonts w:ascii="Garamond" w:hAnsi="Garamond"/>
              </w:rPr>
            </w:pPr>
            <w:r w:rsidRPr="006A76F0">
              <w:rPr>
                <w:rFonts w:ascii="Garamond" w:hAnsi="Garamond"/>
              </w:rPr>
              <w:t xml:space="preserve">A new issue of </w:t>
            </w:r>
            <w:r w:rsidRPr="006A76F0">
              <w:rPr>
                <w:rFonts w:ascii="Garamond" w:hAnsi="Garamond"/>
                <w:i/>
                <w:iCs/>
              </w:rPr>
              <w:t>BMJ Quality &amp; Safety</w:t>
            </w:r>
            <w:r w:rsidRPr="006A76F0">
              <w:rPr>
                <w:rFonts w:ascii="Garamond" w:hAnsi="Garamond"/>
              </w:rPr>
              <w:t xml:space="preserve"> has been published. Many of the papers in this issue have been referred to in previous editions of </w:t>
            </w:r>
            <w:r w:rsidRPr="006A76F0">
              <w:rPr>
                <w:rFonts w:ascii="Garamond" w:hAnsi="Garamond"/>
                <w:i/>
                <w:iCs/>
              </w:rPr>
              <w:t>On the Radar</w:t>
            </w:r>
            <w:r w:rsidRPr="006A76F0">
              <w:rPr>
                <w:rFonts w:ascii="Garamond" w:hAnsi="Garamond"/>
              </w:rPr>
              <w:t xml:space="preserve"> (when they were released online). Articles in this issue of </w:t>
            </w:r>
            <w:r w:rsidRPr="006A76F0">
              <w:rPr>
                <w:rFonts w:ascii="Garamond" w:hAnsi="Garamond"/>
                <w:i/>
                <w:iCs/>
              </w:rPr>
              <w:t>BMJ Quality &amp; Safety</w:t>
            </w:r>
            <w:r w:rsidRPr="006A76F0">
              <w:rPr>
                <w:rFonts w:ascii="Garamond" w:hAnsi="Garamond"/>
              </w:rPr>
              <w:t xml:space="preserve"> include:</w:t>
            </w:r>
          </w:p>
          <w:p w14:paraId="3A242F90" w14:textId="094BF2E5" w:rsidR="00E3027E" w:rsidRPr="00E3027E" w:rsidRDefault="00E3027E" w:rsidP="00930FB4">
            <w:pPr>
              <w:keepLines/>
              <w:numPr>
                <w:ilvl w:val="0"/>
                <w:numId w:val="20"/>
              </w:numPr>
              <w:autoSpaceDE w:val="0"/>
              <w:autoSpaceDN w:val="0"/>
              <w:adjustRightInd w:val="0"/>
              <w:rPr>
                <w:rFonts w:ascii="Garamond" w:hAnsi="Garamond"/>
              </w:rPr>
            </w:pPr>
            <w:r w:rsidRPr="00E3027E">
              <w:rPr>
                <w:rFonts w:ascii="Garamond" w:hAnsi="Garamond"/>
              </w:rPr>
              <w:t xml:space="preserve">Editorial: Translation without substitution: the need for </w:t>
            </w:r>
            <w:r w:rsidRPr="00E3027E">
              <w:rPr>
                <w:rFonts w:ascii="Garamond" w:hAnsi="Garamond"/>
                <w:b/>
                <w:bCs/>
              </w:rPr>
              <w:t>responsible AI integration in patient instructions</w:t>
            </w:r>
            <w:r w:rsidRPr="00E3027E">
              <w:rPr>
                <w:rFonts w:ascii="Garamond" w:hAnsi="Garamond"/>
              </w:rPr>
              <w:t xml:space="preserve"> (Ricky Odedra, Ruud Gerard Nijman, Phoebe Averill, Erik Mayer</w:t>
            </w:r>
            <w:r>
              <w:rPr>
                <w:rFonts w:ascii="Garamond" w:hAnsi="Garamond"/>
              </w:rPr>
              <w:t>)</w:t>
            </w:r>
          </w:p>
          <w:p w14:paraId="550EB886" w14:textId="66A0E3C6" w:rsidR="00E3027E" w:rsidRPr="00E3027E" w:rsidRDefault="00E3027E" w:rsidP="00330189">
            <w:pPr>
              <w:keepLines/>
              <w:numPr>
                <w:ilvl w:val="0"/>
                <w:numId w:val="20"/>
              </w:numPr>
              <w:autoSpaceDE w:val="0"/>
              <w:autoSpaceDN w:val="0"/>
              <w:adjustRightInd w:val="0"/>
              <w:rPr>
                <w:rFonts w:ascii="Garamond" w:hAnsi="Garamond"/>
              </w:rPr>
            </w:pPr>
            <w:r w:rsidRPr="00E3027E">
              <w:rPr>
                <w:rFonts w:ascii="Garamond" w:hAnsi="Garamond"/>
              </w:rPr>
              <w:lastRenderedPageBreak/>
              <w:t xml:space="preserve">Evaluation of the accuracy and safety of </w:t>
            </w:r>
            <w:r w:rsidRPr="00E3027E">
              <w:rPr>
                <w:rFonts w:ascii="Garamond" w:hAnsi="Garamond"/>
                <w:b/>
                <w:bCs/>
              </w:rPr>
              <w:t>machine translation of patient-specific discharge instructions</w:t>
            </w:r>
            <w:r w:rsidRPr="00E3027E">
              <w:rPr>
                <w:rFonts w:ascii="Garamond" w:hAnsi="Garamond"/>
              </w:rPr>
              <w:t xml:space="preserve">: a comparative analysis (Marianna Kong, Alicia Fernandez, Jaskaran Bains, Ana Milisavljevic, Katherine C Brooks, Akash Shanmugam, Leslie Avilez, J Li, V Honcharov, A Yang, E C </w:t>
            </w:r>
            <w:proofErr w:type="spellStart"/>
            <w:r w:rsidRPr="00E3027E">
              <w:rPr>
                <w:rFonts w:ascii="Garamond" w:hAnsi="Garamond"/>
              </w:rPr>
              <w:t>Khoong</w:t>
            </w:r>
            <w:proofErr w:type="spellEnd"/>
            <w:r>
              <w:rPr>
                <w:rFonts w:ascii="Garamond" w:hAnsi="Garamond"/>
              </w:rPr>
              <w:t>)</w:t>
            </w:r>
          </w:p>
          <w:p w14:paraId="493EC907" w14:textId="2A88E73B" w:rsidR="00E3027E" w:rsidRPr="00E3027E" w:rsidRDefault="00E3027E" w:rsidP="00756A1A">
            <w:pPr>
              <w:keepLines/>
              <w:numPr>
                <w:ilvl w:val="0"/>
                <w:numId w:val="20"/>
              </w:numPr>
              <w:autoSpaceDE w:val="0"/>
              <w:autoSpaceDN w:val="0"/>
              <w:adjustRightInd w:val="0"/>
              <w:rPr>
                <w:rFonts w:ascii="Garamond" w:hAnsi="Garamond"/>
              </w:rPr>
            </w:pPr>
            <w:r w:rsidRPr="00E3027E">
              <w:rPr>
                <w:rFonts w:ascii="Garamond" w:hAnsi="Garamond"/>
              </w:rPr>
              <w:t xml:space="preserve">Investigators are human too: outcome bias and perceptions of individual culpability in </w:t>
            </w:r>
            <w:r w:rsidRPr="00E3027E">
              <w:rPr>
                <w:rFonts w:ascii="Garamond" w:hAnsi="Garamond"/>
                <w:b/>
                <w:bCs/>
              </w:rPr>
              <w:t>patient safety incident investigations</w:t>
            </w:r>
            <w:r w:rsidRPr="00E3027E">
              <w:rPr>
                <w:rFonts w:ascii="Garamond" w:hAnsi="Garamond"/>
              </w:rPr>
              <w:t xml:space="preserve"> (William Lea, Luke Budworth, Jane O'Hara, Charles Vincent, Rebecca Lawton</w:t>
            </w:r>
            <w:r>
              <w:rPr>
                <w:rFonts w:ascii="Garamond" w:hAnsi="Garamond"/>
              </w:rPr>
              <w:t>)</w:t>
            </w:r>
          </w:p>
          <w:p w14:paraId="53C61738" w14:textId="65F38292" w:rsidR="00E3027E" w:rsidRPr="00E3027E" w:rsidRDefault="00E3027E" w:rsidP="00F37D16">
            <w:pPr>
              <w:keepLines/>
              <w:numPr>
                <w:ilvl w:val="0"/>
                <w:numId w:val="20"/>
              </w:numPr>
              <w:autoSpaceDE w:val="0"/>
              <w:autoSpaceDN w:val="0"/>
              <w:adjustRightInd w:val="0"/>
              <w:rPr>
                <w:rFonts w:ascii="Garamond" w:hAnsi="Garamond"/>
              </w:rPr>
            </w:pPr>
            <w:r w:rsidRPr="00E3027E">
              <w:rPr>
                <w:rFonts w:ascii="Garamond" w:hAnsi="Garamond"/>
              </w:rPr>
              <w:t xml:space="preserve">Understanding </w:t>
            </w:r>
            <w:r w:rsidRPr="00E3027E">
              <w:rPr>
                <w:rFonts w:ascii="Garamond" w:hAnsi="Garamond"/>
                <w:b/>
                <w:bCs/>
              </w:rPr>
              <w:t>patient safety during earthquakes</w:t>
            </w:r>
            <w:r w:rsidRPr="00E3027E">
              <w:rPr>
                <w:rFonts w:ascii="Garamond" w:hAnsi="Garamond"/>
              </w:rPr>
              <w:t>: a phenomenological study of disaster response (</w:t>
            </w:r>
            <w:proofErr w:type="spellStart"/>
            <w:r w:rsidRPr="00E3027E">
              <w:rPr>
                <w:rFonts w:ascii="Garamond" w:hAnsi="Garamond"/>
              </w:rPr>
              <w:t>Tunçay</w:t>
            </w:r>
            <w:proofErr w:type="spellEnd"/>
            <w:r w:rsidRPr="00E3027E">
              <w:rPr>
                <w:rFonts w:ascii="Garamond" w:hAnsi="Garamond"/>
              </w:rPr>
              <w:t xml:space="preserve"> </w:t>
            </w:r>
            <w:proofErr w:type="spellStart"/>
            <w:r w:rsidRPr="00E3027E">
              <w:rPr>
                <w:rFonts w:ascii="Garamond" w:hAnsi="Garamond"/>
              </w:rPr>
              <w:t>Palteki</w:t>
            </w:r>
            <w:proofErr w:type="spellEnd"/>
            <w:r w:rsidRPr="00E3027E">
              <w:rPr>
                <w:rFonts w:ascii="Garamond" w:hAnsi="Garamond"/>
              </w:rPr>
              <w:t xml:space="preserve">, Saleh Salimi, </w:t>
            </w:r>
            <w:proofErr w:type="spellStart"/>
            <w:r w:rsidRPr="00E3027E">
              <w:rPr>
                <w:rFonts w:ascii="Garamond" w:hAnsi="Garamond"/>
              </w:rPr>
              <w:t>Ahtisham</w:t>
            </w:r>
            <w:proofErr w:type="spellEnd"/>
            <w:r w:rsidRPr="00E3027E">
              <w:rPr>
                <w:rFonts w:ascii="Garamond" w:hAnsi="Garamond"/>
              </w:rPr>
              <w:t xml:space="preserve"> Younas, Selahattin Taylan, Emre Aydın</w:t>
            </w:r>
            <w:r>
              <w:rPr>
                <w:rFonts w:ascii="Garamond" w:hAnsi="Garamond"/>
              </w:rPr>
              <w:t>)</w:t>
            </w:r>
          </w:p>
          <w:p w14:paraId="4A3452B5" w14:textId="36445E11" w:rsidR="00E3027E" w:rsidRPr="00E3027E" w:rsidRDefault="00E3027E" w:rsidP="00A42EDD">
            <w:pPr>
              <w:keepLines/>
              <w:numPr>
                <w:ilvl w:val="0"/>
                <w:numId w:val="20"/>
              </w:numPr>
              <w:autoSpaceDE w:val="0"/>
              <w:autoSpaceDN w:val="0"/>
              <w:adjustRightInd w:val="0"/>
              <w:rPr>
                <w:rFonts w:ascii="Garamond" w:hAnsi="Garamond"/>
              </w:rPr>
            </w:pPr>
            <w:r w:rsidRPr="00E3027E">
              <w:rPr>
                <w:rFonts w:ascii="Garamond" w:hAnsi="Garamond"/>
              </w:rPr>
              <w:t xml:space="preserve">Patient portal messaging to address </w:t>
            </w:r>
            <w:r w:rsidRPr="00E3027E">
              <w:rPr>
                <w:rFonts w:ascii="Garamond" w:hAnsi="Garamond"/>
                <w:b/>
                <w:bCs/>
              </w:rPr>
              <w:t>delayed follow-up for uncontrolled diabetes</w:t>
            </w:r>
            <w:r w:rsidRPr="00E3027E">
              <w:rPr>
                <w:rFonts w:ascii="Garamond" w:hAnsi="Garamond"/>
              </w:rPr>
              <w:t xml:space="preserve">: a pragmatic, </w:t>
            </w:r>
            <w:proofErr w:type="spellStart"/>
            <w:r w:rsidRPr="00E3027E">
              <w:rPr>
                <w:rFonts w:ascii="Garamond" w:hAnsi="Garamond"/>
              </w:rPr>
              <w:t>randomised</w:t>
            </w:r>
            <w:proofErr w:type="spellEnd"/>
            <w:r w:rsidRPr="00E3027E">
              <w:rPr>
                <w:rFonts w:ascii="Garamond" w:hAnsi="Garamond"/>
              </w:rPr>
              <w:t xml:space="preserve"> clinical trial (Arielle R Nagler, Leora Idit Horwitz, Aamina Ahmed, Amrita Mukhopadhyay, Isaac Dapkins, William King, Simon A Jones, Adam Szerencsy, C Pulgarin, J Gray, T Mei, S Blecker</w:t>
            </w:r>
            <w:r>
              <w:rPr>
                <w:rFonts w:ascii="Garamond" w:hAnsi="Garamond"/>
              </w:rPr>
              <w:t>)</w:t>
            </w:r>
          </w:p>
          <w:p w14:paraId="4AAF0369" w14:textId="2362469A" w:rsidR="00E3027E" w:rsidRPr="00E3027E" w:rsidRDefault="00E3027E" w:rsidP="00164887">
            <w:pPr>
              <w:keepLines/>
              <w:numPr>
                <w:ilvl w:val="0"/>
                <w:numId w:val="20"/>
              </w:numPr>
              <w:autoSpaceDE w:val="0"/>
              <w:autoSpaceDN w:val="0"/>
              <w:adjustRightInd w:val="0"/>
              <w:rPr>
                <w:rFonts w:ascii="Garamond" w:hAnsi="Garamond"/>
              </w:rPr>
            </w:pPr>
            <w:r w:rsidRPr="00E3027E">
              <w:rPr>
                <w:rFonts w:ascii="Garamond" w:hAnsi="Garamond"/>
                <w:b/>
                <w:bCs/>
              </w:rPr>
              <w:t>Confidence and certainty in medical diagnoses</w:t>
            </w:r>
            <w:r w:rsidRPr="00E3027E">
              <w:rPr>
                <w:rFonts w:ascii="Garamond" w:hAnsi="Garamond"/>
              </w:rPr>
              <w:t xml:space="preserve"> within acute healthcare: a scoping review (Sriraj Aiyer, Helen Higham, Nick Yeung</w:t>
            </w:r>
            <w:r>
              <w:rPr>
                <w:rFonts w:ascii="Garamond" w:hAnsi="Garamond"/>
              </w:rPr>
              <w:t>)</w:t>
            </w:r>
          </w:p>
          <w:p w14:paraId="6F204C82" w14:textId="426C085D" w:rsidR="00E3027E" w:rsidRPr="00E3027E" w:rsidRDefault="00E3027E" w:rsidP="00B02C16">
            <w:pPr>
              <w:keepLines/>
              <w:numPr>
                <w:ilvl w:val="0"/>
                <w:numId w:val="20"/>
              </w:numPr>
              <w:autoSpaceDE w:val="0"/>
              <w:autoSpaceDN w:val="0"/>
              <w:adjustRightInd w:val="0"/>
              <w:rPr>
                <w:rFonts w:ascii="Garamond" w:hAnsi="Garamond"/>
              </w:rPr>
            </w:pPr>
            <w:r w:rsidRPr="00E3027E">
              <w:rPr>
                <w:rFonts w:ascii="Garamond" w:hAnsi="Garamond"/>
              </w:rPr>
              <w:t xml:space="preserve">Re-establishing control limits in </w:t>
            </w:r>
            <w:r w:rsidRPr="00E3027E">
              <w:rPr>
                <w:rFonts w:ascii="Garamond" w:hAnsi="Garamond"/>
                <w:b/>
                <w:bCs/>
              </w:rPr>
              <w:t>statistical process control analyses</w:t>
            </w:r>
            <w:r w:rsidRPr="00E3027E">
              <w:rPr>
                <w:rFonts w:ascii="Garamond" w:hAnsi="Garamond"/>
              </w:rPr>
              <w:t>: the stable shift algorithm (Thomas Woodcock, Imogen O’Connor, Derek Bell</w:t>
            </w:r>
            <w:r>
              <w:rPr>
                <w:rFonts w:ascii="Garamond" w:hAnsi="Garamond"/>
              </w:rPr>
              <w:t>)</w:t>
            </w:r>
          </w:p>
          <w:p w14:paraId="0CD9AB56" w14:textId="458923A5" w:rsidR="00E3027E" w:rsidRPr="006A76F0" w:rsidRDefault="00E3027E" w:rsidP="00E3027E">
            <w:pPr>
              <w:keepLines/>
              <w:numPr>
                <w:ilvl w:val="0"/>
                <w:numId w:val="20"/>
              </w:numPr>
              <w:autoSpaceDE w:val="0"/>
              <w:autoSpaceDN w:val="0"/>
              <w:adjustRightInd w:val="0"/>
              <w:rPr>
                <w:rFonts w:ascii="Garamond" w:hAnsi="Garamond"/>
              </w:rPr>
            </w:pPr>
            <w:r w:rsidRPr="00E3027E">
              <w:rPr>
                <w:rFonts w:ascii="Garamond" w:hAnsi="Garamond"/>
                <w:b/>
                <w:bCs/>
              </w:rPr>
              <w:t>Advancing AI in healthcare</w:t>
            </w:r>
            <w:r w:rsidRPr="00E3027E">
              <w:rPr>
                <w:rFonts w:ascii="Garamond" w:hAnsi="Garamond"/>
              </w:rPr>
              <w:t>: three strategic roles for quality and safety leaders (Jeffrey Rakover, Marina Lynne Renton, Pierre Barker, Gareth Kantor</w:t>
            </w:r>
            <w:r>
              <w:rPr>
                <w:rFonts w:ascii="Garamond" w:hAnsi="Garamond"/>
              </w:rPr>
              <w:t>)</w:t>
            </w:r>
          </w:p>
        </w:tc>
      </w:tr>
    </w:tbl>
    <w:p w14:paraId="3815DABE" w14:textId="77777777" w:rsidR="00E3027E" w:rsidRPr="00BF1287" w:rsidRDefault="00E3027E" w:rsidP="00984320">
      <w:pPr>
        <w:keepLines/>
        <w:autoSpaceDE w:val="0"/>
        <w:autoSpaceDN w:val="0"/>
        <w:adjustRightInd w:val="0"/>
        <w:rPr>
          <w:rFonts w:ascii="Garamond" w:hAnsi="Garamond"/>
          <w:bCs/>
          <w:lang w:val="en-AU"/>
        </w:rPr>
      </w:pPr>
    </w:p>
    <w:p w14:paraId="453FBB2A" w14:textId="227AA50A" w:rsidR="00FB5761" w:rsidRPr="00BF1287" w:rsidRDefault="00FB5761" w:rsidP="00FB5761">
      <w:pPr>
        <w:keepNext/>
        <w:rPr>
          <w:rFonts w:ascii="Garamond" w:hAnsi="Garamond"/>
          <w:i/>
          <w:lang w:val="en-AU"/>
        </w:rPr>
      </w:pPr>
      <w:r w:rsidRPr="00BF1287">
        <w:rPr>
          <w:rFonts w:ascii="Garamond" w:hAnsi="Garamond"/>
          <w:i/>
          <w:lang w:val="en-AU"/>
        </w:rPr>
        <w:t>J</w:t>
      </w:r>
      <w:r w:rsidR="006A06E2">
        <w:rPr>
          <w:rFonts w:ascii="Garamond" w:hAnsi="Garamond"/>
          <w:i/>
          <w:lang w:val="en-AU"/>
        </w:rPr>
        <w:t>ournal of Patient Experience</w:t>
      </w:r>
    </w:p>
    <w:p w14:paraId="38FC2136" w14:textId="1029767E" w:rsidR="00FB5761" w:rsidRPr="00BF1287" w:rsidRDefault="00FB5761" w:rsidP="00FB5761">
      <w:pPr>
        <w:keepNext/>
        <w:rPr>
          <w:rFonts w:ascii="Garamond" w:hAnsi="Garamond"/>
          <w:iCs/>
          <w:lang w:val="en-AU"/>
        </w:rPr>
      </w:pPr>
      <w:r w:rsidRPr="00BF1287">
        <w:rPr>
          <w:rFonts w:ascii="Garamond" w:hAnsi="Garamond"/>
          <w:iCs/>
          <w:lang w:val="en-AU"/>
        </w:rPr>
        <w:t xml:space="preserve">Volume </w:t>
      </w:r>
      <w:r w:rsidR="006A06E2">
        <w:rPr>
          <w:rFonts w:ascii="Garamond" w:hAnsi="Garamond"/>
          <w:iCs/>
          <w:lang w:val="en-AU"/>
        </w:rPr>
        <w:t>1</w:t>
      </w:r>
      <w:r w:rsidRPr="00BF1287">
        <w:rPr>
          <w:rFonts w:ascii="Garamond" w:hAnsi="Garamond"/>
          <w:iCs/>
          <w:lang w:val="en-AU"/>
        </w:rPr>
        <w:t xml:space="preserve">2, </w:t>
      </w:r>
      <w:r w:rsidR="006A06E2">
        <w:rPr>
          <w:rFonts w:ascii="Garamond" w:hAnsi="Garamond"/>
          <w:iCs/>
          <w:lang w:val="en-AU"/>
        </w:rPr>
        <w:t>January–December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FB5761" w:rsidRPr="00BF1287" w14:paraId="6092FB92"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3B92DE1F" w14:textId="77777777" w:rsidR="00FB5761" w:rsidRPr="00BF1287" w:rsidRDefault="00FB5761" w:rsidP="002010B1">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602C5F" w14:textId="56F23A01" w:rsidR="008A5CE4" w:rsidRPr="00BF1287" w:rsidRDefault="006A06E2" w:rsidP="008A5CE4">
            <w:pPr>
              <w:rPr>
                <w:rStyle w:val="Hyperlink"/>
                <w:rFonts w:ascii="Garamond" w:hAnsi="Garamond"/>
                <w:color w:val="auto"/>
                <w:u w:val="none"/>
                <w:lang w:val="en-AU"/>
              </w:rPr>
            </w:pPr>
            <w:hyperlink r:id="rId30" w:history="1">
              <w:r w:rsidRPr="00702D91">
                <w:rPr>
                  <w:rStyle w:val="Hyperlink"/>
                  <w:rFonts w:ascii="Garamond" w:hAnsi="Garamond"/>
                  <w:lang w:val="en-AU"/>
                </w:rPr>
                <w:t>https://journals.sagepub.com/toc/jpxa/12</w:t>
              </w:r>
            </w:hyperlink>
          </w:p>
        </w:tc>
      </w:tr>
      <w:tr w:rsidR="00FB5761" w:rsidRPr="0073722E" w14:paraId="242D0F11"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01C9FFB0" w14:textId="77777777" w:rsidR="00FB5761" w:rsidRPr="00BF1287" w:rsidRDefault="00FB5761" w:rsidP="002010B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0A1C5E5" w14:textId="2F3E1306" w:rsidR="0073722E" w:rsidRDefault="006A06E2" w:rsidP="002010B1">
            <w:pPr>
              <w:rPr>
                <w:rFonts w:ascii="Garamond" w:hAnsi="Garamond"/>
                <w:lang w:val="en-AU"/>
              </w:rPr>
            </w:pPr>
            <w:r>
              <w:rPr>
                <w:rFonts w:ascii="Garamond" w:hAnsi="Garamond"/>
                <w:lang w:val="en-AU"/>
              </w:rPr>
              <w:t xml:space="preserve">The 2025 volume of the </w:t>
            </w:r>
            <w:r w:rsidRPr="00BF1287">
              <w:rPr>
                <w:rFonts w:ascii="Garamond" w:hAnsi="Garamond"/>
                <w:i/>
                <w:lang w:val="en-AU"/>
              </w:rPr>
              <w:t>J</w:t>
            </w:r>
            <w:r>
              <w:rPr>
                <w:rFonts w:ascii="Garamond" w:hAnsi="Garamond"/>
                <w:i/>
                <w:lang w:val="en-AU"/>
              </w:rPr>
              <w:t>ournal of Patient Experience</w:t>
            </w:r>
            <w:r w:rsidRPr="00BF1287">
              <w:rPr>
                <w:rFonts w:ascii="Garamond" w:hAnsi="Garamond"/>
                <w:lang w:val="en-AU"/>
              </w:rPr>
              <w:t xml:space="preserve"> </w:t>
            </w:r>
            <w:r>
              <w:rPr>
                <w:rFonts w:ascii="Garamond" w:hAnsi="Garamond"/>
                <w:lang w:val="en-AU"/>
              </w:rPr>
              <w:t xml:space="preserve">is now available. Various journals have moved to models in which the discrete issues are less clearly delineated. This may be accompanied with a switch to online-only publication. This </w:t>
            </w:r>
            <w:r w:rsidR="00D4526C">
              <w:rPr>
                <w:rFonts w:ascii="Garamond" w:hAnsi="Garamond"/>
                <w:lang w:val="en-AU"/>
              </w:rPr>
              <w:t xml:space="preserve">shift </w:t>
            </w:r>
            <w:r>
              <w:rPr>
                <w:rFonts w:ascii="Garamond" w:hAnsi="Garamond"/>
                <w:lang w:val="en-AU"/>
              </w:rPr>
              <w:t xml:space="preserve">may provide more flexibility and </w:t>
            </w:r>
            <w:r w:rsidR="0073722E">
              <w:rPr>
                <w:rFonts w:ascii="Garamond" w:hAnsi="Garamond"/>
                <w:lang w:val="en-AU"/>
              </w:rPr>
              <w:t>space for publishers and authors but can pose challenges for readers. These challenges can include overly long listing of contents that frustrate readers as they make it cumbersome and time-consuming to identify the articles that may be relevant to the reader. This is exacerbated when there is a perception that increased volume has led to a diminution of article quality.</w:t>
            </w:r>
          </w:p>
          <w:p w14:paraId="3D62A8C7" w14:textId="443BC151" w:rsidR="00FB5761" w:rsidRPr="00BF1287" w:rsidRDefault="00FB5761" w:rsidP="002010B1">
            <w:pPr>
              <w:rPr>
                <w:rFonts w:ascii="Garamond" w:hAnsi="Garamond"/>
                <w:lang w:val="en-AU"/>
              </w:rPr>
            </w:pPr>
            <w:r w:rsidRPr="00BF1287">
              <w:rPr>
                <w:rFonts w:ascii="Garamond" w:hAnsi="Garamond"/>
                <w:lang w:val="en-AU"/>
              </w:rPr>
              <w:t xml:space="preserve">Articles in this </w:t>
            </w:r>
            <w:r w:rsidR="006A06E2">
              <w:rPr>
                <w:rFonts w:ascii="Garamond" w:hAnsi="Garamond"/>
                <w:lang w:val="en-AU"/>
              </w:rPr>
              <w:t xml:space="preserve">volume of the </w:t>
            </w:r>
            <w:r w:rsidR="006A06E2" w:rsidRPr="00BF1287">
              <w:rPr>
                <w:rFonts w:ascii="Garamond" w:hAnsi="Garamond"/>
                <w:i/>
                <w:lang w:val="en-AU"/>
              </w:rPr>
              <w:t>J</w:t>
            </w:r>
            <w:r w:rsidR="006A06E2">
              <w:rPr>
                <w:rFonts w:ascii="Garamond" w:hAnsi="Garamond"/>
                <w:i/>
                <w:lang w:val="en-AU"/>
              </w:rPr>
              <w:t>ournal of Patient Experience</w:t>
            </w:r>
            <w:r w:rsidR="006A06E2" w:rsidRPr="00BF1287">
              <w:rPr>
                <w:rFonts w:ascii="Garamond" w:hAnsi="Garamond"/>
                <w:lang w:val="en-AU"/>
              </w:rPr>
              <w:t xml:space="preserve"> </w:t>
            </w:r>
            <w:r w:rsidRPr="00BF1287">
              <w:rPr>
                <w:rFonts w:ascii="Garamond" w:hAnsi="Garamond"/>
                <w:lang w:val="en-AU"/>
              </w:rPr>
              <w:t>include:</w:t>
            </w:r>
          </w:p>
          <w:p w14:paraId="3E686D89" w14:textId="77777777" w:rsidR="00FB5761" w:rsidRDefault="00D4526C" w:rsidP="00D4526C">
            <w:pPr>
              <w:pStyle w:val="ListParagraph"/>
              <w:numPr>
                <w:ilvl w:val="0"/>
                <w:numId w:val="18"/>
              </w:numPr>
              <w:rPr>
                <w:rFonts w:ascii="Garamond" w:hAnsi="Garamond"/>
                <w:lang w:val="en-AU"/>
              </w:rPr>
            </w:pPr>
            <w:r w:rsidRPr="00D4526C">
              <w:rPr>
                <w:rFonts w:ascii="Garamond" w:hAnsi="Garamond"/>
                <w:lang w:val="en-AU"/>
              </w:rPr>
              <w:t xml:space="preserve">Developing and Validating a User-Friendly Quality Benchmark: Enhancing the </w:t>
            </w:r>
            <w:r w:rsidRPr="00D4526C">
              <w:rPr>
                <w:rFonts w:ascii="Garamond" w:hAnsi="Garamond"/>
                <w:b/>
                <w:bCs/>
                <w:lang w:val="en-AU"/>
              </w:rPr>
              <w:t>Integrity of Online Health Information</w:t>
            </w:r>
            <w:r w:rsidRPr="00D4526C">
              <w:rPr>
                <w:rFonts w:ascii="Garamond" w:hAnsi="Garamond"/>
                <w:lang w:val="en-AU"/>
              </w:rPr>
              <w:t xml:space="preserve"> for Patients and Clinicians (Lubna Daraz</w:t>
            </w:r>
            <w:r>
              <w:rPr>
                <w:rFonts w:ascii="Garamond" w:hAnsi="Garamond"/>
                <w:lang w:val="en-AU"/>
              </w:rPr>
              <w:t xml:space="preserve">, </w:t>
            </w:r>
            <w:r w:rsidRPr="00D4526C">
              <w:rPr>
                <w:rFonts w:ascii="Garamond" w:hAnsi="Garamond"/>
                <w:lang w:val="en-AU"/>
              </w:rPr>
              <w:t>Cicek Dogu</w:t>
            </w:r>
            <w:r>
              <w:rPr>
                <w:rFonts w:ascii="Garamond" w:hAnsi="Garamond"/>
                <w:lang w:val="en-AU"/>
              </w:rPr>
              <w:t>)</w:t>
            </w:r>
          </w:p>
          <w:p w14:paraId="1D12A77C" w14:textId="503CD9FF" w:rsidR="0052185E" w:rsidRPr="0052185E" w:rsidRDefault="0052185E" w:rsidP="00273EC8">
            <w:pPr>
              <w:pStyle w:val="ListParagraph"/>
              <w:numPr>
                <w:ilvl w:val="0"/>
                <w:numId w:val="18"/>
              </w:numPr>
              <w:rPr>
                <w:rFonts w:ascii="Garamond" w:hAnsi="Garamond"/>
                <w:lang w:val="en-AU"/>
              </w:rPr>
            </w:pPr>
            <w:r w:rsidRPr="0052185E">
              <w:rPr>
                <w:rFonts w:ascii="Garamond" w:hAnsi="Garamond"/>
                <w:lang w:val="en-AU"/>
              </w:rPr>
              <w:t xml:space="preserve">Reflecting on the </w:t>
            </w:r>
            <w:r w:rsidRPr="0052185E">
              <w:rPr>
                <w:rFonts w:ascii="Garamond" w:hAnsi="Garamond"/>
                <w:b/>
                <w:bCs/>
                <w:lang w:val="en-AU"/>
              </w:rPr>
              <w:t>Deaf Experience in Healthcare</w:t>
            </w:r>
            <w:r w:rsidRPr="0052185E">
              <w:rPr>
                <w:rFonts w:ascii="Garamond" w:hAnsi="Garamond"/>
                <w:lang w:val="en-AU"/>
              </w:rPr>
              <w:t xml:space="preserve"> (Bruna Tavares Leite, Ligia F N </w:t>
            </w:r>
            <w:proofErr w:type="spellStart"/>
            <w:r w:rsidRPr="0052185E">
              <w:rPr>
                <w:rFonts w:ascii="Garamond" w:hAnsi="Garamond"/>
                <w:lang w:val="en-AU"/>
              </w:rPr>
              <w:t>Reato</w:t>
            </w:r>
            <w:proofErr w:type="spellEnd"/>
            <w:r w:rsidRPr="0052185E">
              <w:rPr>
                <w:rFonts w:ascii="Garamond" w:hAnsi="Garamond"/>
                <w:lang w:val="en-AU"/>
              </w:rPr>
              <w:t>, Patrícia Pereira, Luciana Pereira</w:t>
            </w:r>
            <w:r>
              <w:rPr>
                <w:rFonts w:ascii="Garamond" w:hAnsi="Garamond"/>
                <w:lang w:val="en-AU"/>
              </w:rPr>
              <w:t>)</w:t>
            </w:r>
          </w:p>
          <w:p w14:paraId="15C037E3" w14:textId="0A2CA9F4" w:rsidR="00D4526C" w:rsidRDefault="00D87836" w:rsidP="00D87836">
            <w:pPr>
              <w:pStyle w:val="ListParagraph"/>
              <w:numPr>
                <w:ilvl w:val="0"/>
                <w:numId w:val="18"/>
              </w:numPr>
              <w:rPr>
                <w:rFonts w:ascii="Garamond" w:hAnsi="Garamond"/>
                <w:lang w:val="en-AU"/>
              </w:rPr>
            </w:pPr>
            <w:r w:rsidRPr="00D87836">
              <w:rPr>
                <w:rFonts w:ascii="Garamond" w:hAnsi="Garamond"/>
                <w:lang w:val="en-AU"/>
              </w:rPr>
              <w:t xml:space="preserve">Investigating </w:t>
            </w:r>
            <w:r w:rsidRPr="00D87836">
              <w:rPr>
                <w:rFonts w:ascii="Garamond" w:hAnsi="Garamond"/>
                <w:b/>
                <w:bCs/>
                <w:lang w:val="en-AU"/>
              </w:rPr>
              <w:t>Inpatient Acceptance of a Unique Telemedicine Service</w:t>
            </w:r>
            <w:r w:rsidRPr="00D87836">
              <w:rPr>
                <w:rFonts w:ascii="Garamond" w:hAnsi="Garamond"/>
                <w:lang w:val="en-AU"/>
              </w:rPr>
              <w:t xml:space="preserve"> Trialled in the Acute Ward in Rural Australia</w:t>
            </w:r>
            <w:r>
              <w:rPr>
                <w:rFonts w:ascii="Garamond" w:hAnsi="Garamond"/>
                <w:lang w:val="en-AU"/>
              </w:rPr>
              <w:t xml:space="preserve"> (</w:t>
            </w:r>
            <w:r w:rsidRPr="00D87836">
              <w:rPr>
                <w:rFonts w:ascii="Garamond" w:hAnsi="Garamond"/>
                <w:lang w:val="en-AU"/>
              </w:rPr>
              <w:t>Carol J Reid, Catherine Church</w:t>
            </w:r>
            <w:r>
              <w:rPr>
                <w:rFonts w:ascii="Garamond" w:hAnsi="Garamond"/>
                <w:lang w:val="en-AU"/>
              </w:rPr>
              <w:t>)</w:t>
            </w:r>
          </w:p>
          <w:p w14:paraId="629A8822"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Understanding </w:t>
            </w:r>
            <w:r w:rsidRPr="00D87836">
              <w:rPr>
                <w:rFonts w:ascii="Garamond" w:hAnsi="Garamond"/>
                <w:b/>
                <w:bCs/>
                <w:lang w:val="en-AU"/>
              </w:rPr>
              <w:t>Patient Registries for Diabetes</w:t>
            </w:r>
            <w:r w:rsidRPr="00D87836">
              <w:rPr>
                <w:rFonts w:ascii="Garamond" w:hAnsi="Garamond"/>
                <w:lang w:val="en-AU"/>
              </w:rPr>
              <w:t>: A Scoping Review of Published Literature</w:t>
            </w:r>
            <w:r>
              <w:rPr>
                <w:rFonts w:ascii="Garamond" w:hAnsi="Garamond"/>
                <w:lang w:val="en-AU"/>
              </w:rPr>
              <w:t xml:space="preserve"> (</w:t>
            </w:r>
            <w:r w:rsidRPr="00D87836">
              <w:rPr>
                <w:rFonts w:ascii="Garamond" w:hAnsi="Garamond"/>
                <w:lang w:val="en-AU"/>
              </w:rPr>
              <w:t>Lana Moayad, Paige Alliston</w:t>
            </w:r>
            <w:r>
              <w:rPr>
                <w:rFonts w:ascii="Garamond" w:hAnsi="Garamond"/>
                <w:lang w:val="en-AU"/>
              </w:rPr>
              <w:t xml:space="preserve"> </w:t>
            </w:r>
            <w:r w:rsidRPr="00D87836">
              <w:rPr>
                <w:rFonts w:ascii="Garamond" w:hAnsi="Garamond"/>
                <w:lang w:val="en-AU"/>
              </w:rPr>
              <w:t>and Diana Sherifali</w:t>
            </w:r>
            <w:r>
              <w:rPr>
                <w:rFonts w:ascii="Garamond" w:hAnsi="Garamond"/>
                <w:lang w:val="en-AU"/>
              </w:rPr>
              <w:t>)</w:t>
            </w:r>
          </w:p>
          <w:p w14:paraId="677E0CE3"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Development of a Brief Client Satisfaction and Quality Improvement Tool for </w:t>
            </w:r>
            <w:r w:rsidRPr="00D87836">
              <w:rPr>
                <w:rFonts w:ascii="Garamond" w:hAnsi="Garamond"/>
                <w:b/>
                <w:bCs/>
                <w:lang w:val="en-AU"/>
              </w:rPr>
              <w:t>Hospital-Based Violence Intervention Programs</w:t>
            </w:r>
            <w:r w:rsidRPr="00D87836">
              <w:rPr>
                <w:rFonts w:ascii="Garamond" w:hAnsi="Garamond"/>
                <w:lang w:val="en-AU"/>
              </w:rPr>
              <w:t>: Opportunities for Enhancing Client Perspectives (Rachel K Myers, Hillary M Kapa, Stephanie M Garcia, Laura Vega</w:t>
            </w:r>
            <w:r>
              <w:rPr>
                <w:rFonts w:ascii="Garamond" w:hAnsi="Garamond"/>
                <w:lang w:val="en-AU"/>
              </w:rPr>
              <w:t xml:space="preserve">, </w:t>
            </w:r>
            <w:r w:rsidRPr="00D87836">
              <w:rPr>
                <w:rFonts w:ascii="Garamond" w:hAnsi="Garamond"/>
                <w:lang w:val="en-AU"/>
              </w:rPr>
              <w:t>Joel A Fein</w:t>
            </w:r>
            <w:r>
              <w:rPr>
                <w:rFonts w:ascii="Garamond" w:hAnsi="Garamond"/>
                <w:lang w:val="en-AU"/>
              </w:rPr>
              <w:t>)</w:t>
            </w:r>
          </w:p>
          <w:p w14:paraId="1E2723D2" w14:textId="77777777" w:rsidR="00D87836" w:rsidRDefault="00D87836" w:rsidP="007E4D4D">
            <w:pPr>
              <w:pStyle w:val="ListParagraph"/>
              <w:numPr>
                <w:ilvl w:val="0"/>
                <w:numId w:val="18"/>
              </w:numPr>
              <w:rPr>
                <w:rFonts w:ascii="Garamond" w:hAnsi="Garamond"/>
                <w:lang w:val="en-AU"/>
              </w:rPr>
            </w:pPr>
            <w:r w:rsidRPr="00D87836">
              <w:rPr>
                <w:rFonts w:ascii="Garamond" w:hAnsi="Garamond"/>
                <w:lang w:val="en-AU"/>
              </w:rPr>
              <w:t xml:space="preserve">Impact of </w:t>
            </w:r>
            <w:r w:rsidRPr="00D87836">
              <w:rPr>
                <w:rFonts w:ascii="Garamond" w:hAnsi="Garamond"/>
                <w:b/>
                <w:bCs/>
                <w:lang w:val="en-AU"/>
              </w:rPr>
              <w:t>Standardized Reporting Systems on Patient Experience</w:t>
            </w:r>
            <w:r w:rsidRPr="00D87836">
              <w:rPr>
                <w:rFonts w:ascii="Garamond" w:hAnsi="Garamond"/>
                <w:lang w:val="en-AU"/>
              </w:rPr>
              <w:t xml:space="preserve"> in Radiology (Igor Toker, Sven Jansen, Daniel Lorenz</w:t>
            </w:r>
            <w:r>
              <w:rPr>
                <w:rFonts w:ascii="Garamond" w:hAnsi="Garamond"/>
                <w:lang w:val="en-AU"/>
              </w:rPr>
              <w:t>)</w:t>
            </w:r>
          </w:p>
          <w:p w14:paraId="042A267B" w14:textId="20D8014E" w:rsidR="00D87836" w:rsidRPr="00BF1287" w:rsidRDefault="00D87836" w:rsidP="00D87836">
            <w:pPr>
              <w:pStyle w:val="ListParagraph"/>
              <w:numPr>
                <w:ilvl w:val="0"/>
                <w:numId w:val="18"/>
              </w:numPr>
              <w:rPr>
                <w:rFonts w:ascii="Garamond" w:hAnsi="Garamond"/>
                <w:lang w:val="en-AU"/>
              </w:rPr>
            </w:pPr>
            <w:r w:rsidRPr="00D87836">
              <w:rPr>
                <w:rFonts w:ascii="Garamond" w:hAnsi="Garamond"/>
                <w:b/>
                <w:bCs/>
                <w:lang w:val="en-AU"/>
              </w:rPr>
              <w:lastRenderedPageBreak/>
              <w:t>Patient and Family Experience</w:t>
            </w:r>
            <w:r w:rsidRPr="00D87836">
              <w:rPr>
                <w:rFonts w:ascii="Garamond" w:hAnsi="Garamond"/>
                <w:lang w:val="en-AU"/>
              </w:rPr>
              <w:t xml:space="preserve">: Targets for Improvements in Care and Communication in the ICU (Caitlin A </w:t>
            </w:r>
            <w:proofErr w:type="spellStart"/>
            <w:r w:rsidRPr="00D87836">
              <w:rPr>
                <w:rFonts w:ascii="Garamond" w:hAnsi="Garamond"/>
                <w:lang w:val="en-AU"/>
              </w:rPr>
              <w:t>LaGrotte</w:t>
            </w:r>
            <w:proofErr w:type="spellEnd"/>
            <w:r w:rsidRPr="00D87836">
              <w:rPr>
                <w:rFonts w:ascii="Garamond" w:hAnsi="Garamond"/>
                <w:lang w:val="en-AU"/>
              </w:rPr>
              <w:t>, Caitlin Baldwin, Krystal Hunter, Emily Damuth</w:t>
            </w:r>
            <w:r>
              <w:rPr>
                <w:rFonts w:ascii="Garamond" w:hAnsi="Garamond"/>
                <w:lang w:val="en-AU"/>
              </w:rPr>
              <w:t>)</w:t>
            </w:r>
          </w:p>
          <w:p w14:paraId="1167DCC5"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Use of </w:t>
            </w:r>
            <w:r w:rsidRPr="00D87836">
              <w:rPr>
                <w:rFonts w:ascii="Garamond" w:hAnsi="Garamond"/>
                <w:b/>
                <w:bCs/>
                <w:lang w:val="en-AU"/>
              </w:rPr>
              <w:t>Hospital Patient and Family Advisory Councils</w:t>
            </w:r>
            <w:r w:rsidRPr="00D87836">
              <w:rPr>
                <w:rFonts w:ascii="Garamond" w:hAnsi="Garamond"/>
                <w:lang w:val="en-AU"/>
              </w:rPr>
              <w:t>: A Scoping Study (Barbara Lewis, Chris Cochran, Erika Marquez, Neeraj Bhandari, Jennifer Pharr, Soumya Upadhyay</w:t>
            </w:r>
            <w:r>
              <w:rPr>
                <w:rFonts w:ascii="Garamond" w:hAnsi="Garamond"/>
                <w:lang w:val="en-AU"/>
              </w:rPr>
              <w:t xml:space="preserve">, </w:t>
            </w:r>
            <w:r w:rsidRPr="00D87836">
              <w:rPr>
                <w:rFonts w:ascii="Garamond" w:hAnsi="Garamond"/>
                <w:lang w:val="en-AU"/>
              </w:rPr>
              <w:t>Stowe Shoemaker</w:t>
            </w:r>
            <w:r>
              <w:rPr>
                <w:rFonts w:ascii="Garamond" w:hAnsi="Garamond"/>
                <w:lang w:val="en-AU"/>
              </w:rPr>
              <w:t>)</w:t>
            </w:r>
          </w:p>
          <w:p w14:paraId="0BE0D777"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Reimagining the ADHD Experience: Transforming </w:t>
            </w:r>
            <w:r w:rsidRPr="00D87836">
              <w:rPr>
                <w:rFonts w:ascii="Garamond" w:hAnsi="Garamond"/>
                <w:b/>
                <w:bCs/>
                <w:lang w:val="en-AU"/>
              </w:rPr>
              <w:t>Parent Engagement in ADHD Care</w:t>
            </w:r>
            <w:r w:rsidRPr="00D87836">
              <w:rPr>
                <w:rFonts w:ascii="Garamond" w:hAnsi="Garamond"/>
                <w:lang w:val="en-AU"/>
              </w:rPr>
              <w:t xml:space="preserve"> (Brooke T McLaughlin, Martha L Bruce</w:t>
            </w:r>
            <w:r>
              <w:rPr>
                <w:rFonts w:ascii="Garamond" w:hAnsi="Garamond"/>
                <w:lang w:val="en-AU"/>
              </w:rPr>
              <w:t xml:space="preserve">, </w:t>
            </w:r>
            <w:r w:rsidRPr="00D87836">
              <w:rPr>
                <w:rFonts w:ascii="Garamond" w:hAnsi="Garamond"/>
                <w:lang w:val="en-AU"/>
              </w:rPr>
              <w:t>Susanne E Tanski</w:t>
            </w:r>
            <w:r>
              <w:rPr>
                <w:rFonts w:ascii="Garamond" w:hAnsi="Garamond"/>
                <w:lang w:val="en-AU"/>
              </w:rPr>
              <w:t>)</w:t>
            </w:r>
          </w:p>
          <w:p w14:paraId="39163336"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Orchestrating Excellent Health and Care Experiences: The Essential Role of </w:t>
            </w:r>
            <w:r w:rsidRPr="00D87836">
              <w:rPr>
                <w:rFonts w:ascii="Garamond" w:hAnsi="Garamond"/>
                <w:b/>
                <w:bCs/>
                <w:lang w:val="en-AU"/>
              </w:rPr>
              <w:t>Leadership</w:t>
            </w:r>
            <w:r>
              <w:rPr>
                <w:rFonts w:ascii="Garamond" w:hAnsi="Garamond"/>
                <w:lang w:val="en-AU"/>
              </w:rPr>
              <w:t xml:space="preserve"> (</w:t>
            </w:r>
            <w:r w:rsidRPr="00D87836">
              <w:rPr>
                <w:rFonts w:ascii="Garamond" w:hAnsi="Garamond"/>
                <w:lang w:val="en-AU"/>
              </w:rPr>
              <w:t>Laura Cooley</w:t>
            </w:r>
            <w:r>
              <w:rPr>
                <w:rFonts w:ascii="Garamond" w:hAnsi="Garamond"/>
                <w:lang w:val="en-AU"/>
              </w:rPr>
              <w:t>)</w:t>
            </w:r>
          </w:p>
          <w:p w14:paraId="3B6BF6CC" w14:textId="77777777" w:rsidR="00D87836" w:rsidRDefault="00D87836" w:rsidP="00D87836">
            <w:pPr>
              <w:pStyle w:val="ListParagraph"/>
              <w:numPr>
                <w:ilvl w:val="0"/>
                <w:numId w:val="18"/>
              </w:numPr>
              <w:rPr>
                <w:rFonts w:ascii="Garamond" w:hAnsi="Garamond"/>
                <w:lang w:val="en-AU"/>
              </w:rPr>
            </w:pPr>
            <w:r w:rsidRPr="00D87836">
              <w:rPr>
                <w:rFonts w:ascii="Garamond" w:hAnsi="Garamond"/>
                <w:lang w:val="en-AU"/>
              </w:rPr>
              <w:t xml:space="preserve">Does Communication Effectiveness Assessed by Communication Scholars Correlate with </w:t>
            </w:r>
            <w:r w:rsidRPr="00D87836">
              <w:rPr>
                <w:rFonts w:ascii="Garamond" w:hAnsi="Garamond"/>
                <w:b/>
                <w:bCs/>
                <w:lang w:val="en-AU"/>
              </w:rPr>
              <w:t>Patient Perception of Clinician Empathy</w:t>
            </w:r>
            <w:r w:rsidRPr="00D87836">
              <w:rPr>
                <w:rFonts w:ascii="Garamond" w:hAnsi="Garamond"/>
                <w:lang w:val="en-AU"/>
              </w:rPr>
              <w:t>? (Haley Ponce, Rafael Cordero, Jacinta Tran, Natalie Wellman</w:t>
            </w:r>
            <w:r>
              <w:rPr>
                <w:rFonts w:ascii="Garamond" w:hAnsi="Garamond"/>
                <w:lang w:val="en-AU"/>
              </w:rPr>
              <w:t xml:space="preserve">, </w:t>
            </w:r>
            <w:r w:rsidRPr="00D87836">
              <w:rPr>
                <w:rFonts w:ascii="Garamond" w:hAnsi="Garamond"/>
                <w:lang w:val="en-AU"/>
              </w:rPr>
              <w:t>David Rin</w:t>
            </w:r>
            <w:r>
              <w:rPr>
                <w:rFonts w:ascii="Garamond" w:hAnsi="Garamond"/>
                <w:lang w:val="en-AU"/>
              </w:rPr>
              <w:t>g)</w:t>
            </w:r>
          </w:p>
          <w:p w14:paraId="58590A7D" w14:textId="77777777" w:rsidR="00D87836" w:rsidRDefault="0070239A" w:rsidP="0070239A">
            <w:pPr>
              <w:pStyle w:val="ListParagraph"/>
              <w:numPr>
                <w:ilvl w:val="0"/>
                <w:numId w:val="18"/>
              </w:numPr>
              <w:rPr>
                <w:rFonts w:ascii="Garamond" w:hAnsi="Garamond"/>
                <w:lang w:val="en-AU"/>
              </w:rPr>
            </w:pPr>
            <w:r w:rsidRPr="0070239A">
              <w:rPr>
                <w:rFonts w:ascii="Garamond" w:hAnsi="Garamond"/>
                <w:lang w:val="en-AU"/>
              </w:rPr>
              <w:t xml:space="preserve">A Mixed-Methods Analysis of </w:t>
            </w:r>
            <w:r w:rsidRPr="0070239A">
              <w:rPr>
                <w:rFonts w:ascii="Garamond" w:hAnsi="Garamond"/>
                <w:b/>
                <w:bCs/>
                <w:lang w:val="en-AU"/>
              </w:rPr>
              <w:t>Negative Patient Experiences in Emergency Department Care</w:t>
            </w:r>
            <w:r w:rsidRPr="0070239A">
              <w:rPr>
                <w:rFonts w:ascii="Garamond" w:hAnsi="Garamond"/>
                <w:lang w:val="en-AU"/>
              </w:rPr>
              <w:t>: Identifying Challenges and Evidence-Informed Strategies Across the Care Continuum (J K Fujioka, M Walker, D Rajab</w:t>
            </w:r>
            <w:r>
              <w:rPr>
                <w:rFonts w:ascii="Garamond" w:hAnsi="Garamond"/>
                <w:lang w:val="en-AU"/>
              </w:rPr>
              <w:t>, S</w:t>
            </w:r>
            <w:r w:rsidRPr="0070239A">
              <w:rPr>
                <w:rFonts w:ascii="Garamond" w:hAnsi="Garamond"/>
                <w:lang w:val="en-AU"/>
              </w:rPr>
              <w:t xml:space="preserve"> A Bartel</w:t>
            </w:r>
            <w:r>
              <w:rPr>
                <w:rFonts w:ascii="Garamond" w:hAnsi="Garamond"/>
                <w:lang w:val="en-AU"/>
              </w:rPr>
              <w:t>)</w:t>
            </w:r>
          </w:p>
          <w:p w14:paraId="145EFF39" w14:textId="77777777" w:rsidR="0070239A" w:rsidRDefault="0070239A" w:rsidP="0070239A">
            <w:pPr>
              <w:pStyle w:val="ListParagraph"/>
              <w:numPr>
                <w:ilvl w:val="0"/>
                <w:numId w:val="18"/>
              </w:numPr>
              <w:rPr>
                <w:rFonts w:ascii="Garamond" w:hAnsi="Garamond"/>
                <w:lang w:val="en-AU"/>
              </w:rPr>
            </w:pPr>
            <w:r w:rsidRPr="0070239A">
              <w:rPr>
                <w:rFonts w:ascii="Garamond" w:hAnsi="Garamond"/>
                <w:lang w:val="en-AU"/>
              </w:rPr>
              <w:t xml:space="preserve">Rethinking Patient Motivation for </w:t>
            </w:r>
            <w:r w:rsidRPr="0070239A">
              <w:rPr>
                <w:rFonts w:ascii="Garamond" w:hAnsi="Garamond"/>
                <w:b/>
                <w:bCs/>
                <w:lang w:val="en-AU"/>
              </w:rPr>
              <w:t>More Inclusive Mental Healthcare</w:t>
            </w:r>
            <w:r>
              <w:rPr>
                <w:rFonts w:ascii="Garamond" w:hAnsi="Garamond"/>
                <w:lang w:val="en-AU"/>
              </w:rPr>
              <w:t xml:space="preserve"> (</w:t>
            </w:r>
            <w:r w:rsidRPr="0070239A">
              <w:rPr>
                <w:rFonts w:ascii="Garamond" w:hAnsi="Garamond"/>
                <w:lang w:val="en-AU"/>
              </w:rPr>
              <w:t>James Downs</w:t>
            </w:r>
            <w:r>
              <w:rPr>
                <w:rFonts w:ascii="Garamond" w:hAnsi="Garamond"/>
                <w:lang w:val="en-AU"/>
              </w:rPr>
              <w:t>)</w:t>
            </w:r>
          </w:p>
          <w:p w14:paraId="58A88462" w14:textId="77777777" w:rsidR="0070239A" w:rsidRDefault="0070239A" w:rsidP="0070239A">
            <w:pPr>
              <w:pStyle w:val="ListParagraph"/>
              <w:numPr>
                <w:ilvl w:val="0"/>
                <w:numId w:val="18"/>
              </w:numPr>
              <w:rPr>
                <w:rFonts w:ascii="Garamond" w:hAnsi="Garamond"/>
                <w:lang w:val="en-AU"/>
              </w:rPr>
            </w:pPr>
            <w:r w:rsidRPr="0070239A">
              <w:rPr>
                <w:rFonts w:ascii="Garamond" w:hAnsi="Garamond"/>
                <w:lang w:val="en-AU"/>
              </w:rPr>
              <w:t xml:space="preserve">Putting the WHO Global Patient Safety Action Plan into Practice: Establishing the </w:t>
            </w:r>
            <w:r w:rsidRPr="0070239A">
              <w:rPr>
                <w:rFonts w:ascii="Garamond" w:hAnsi="Garamond"/>
                <w:b/>
                <w:bCs/>
                <w:lang w:val="en-AU"/>
              </w:rPr>
              <w:t>Austrian Patient Council</w:t>
            </w:r>
            <w:r w:rsidRPr="0070239A">
              <w:rPr>
                <w:rFonts w:ascii="Garamond" w:hAnsi="Garamond"/>
                <w:lang w:val="en-AU"/>
              </w:rPr>
              <w:t xml:space="preserve"> as a Best Practice Example of Patient Involvement (Anna Teufel, Elisabeth Klager, Hannah Hausegger, Christiane Grill, Benjamin Schuster, Maria Kletecka-Pulker</w:t>
            </w:r>
            <w:r>
              <w:rPr>
                <w:rFonts w:ascii="Garamond" w:hAnsi="Garamond"/>
                <w:lang w:val="en-AU"/>
              </w:rPr>
              <w:t xml:space="preserve">, </w:t>
            </w:r>
            <w:r w:rsidRPr="0070239A">
              <w:rPr>
                <w:rFonts w:ascii="Garamond" w:hAnsi="Garamond"/>
                <w:lang w:val="en-AU"/>
              </w:rPr>
              <w:t>Eva Schaden</w:t>
            </w:r>
            <w:r>
              <w:rPr>
                <w:rFonts w:ascii="Garamond" w:hAnsi="Garamond"/>
                <w:lang w:val="en-AU"/>
              </w:rPr>
              <w:t>)</w:t>
            </w:r>
          </w:p>
          <w:p w14:paraId="4E2F8E5B" w14:textId="77777777" w:rsidR="0070239A" w:rsidRDefault="006E03E6" w:rsidP="006E03E6">
            <w:pPr>
              <w:pStyle w:val="ListParagraph"/>
              <w:numPr>
                <w:ilvl w:val="0"/>
                <w:numId w:val="18"/>
              </w:numPr>
              <w:rPr>
                <w:rFonts w:ascii="Garamond" w:hAnsi="Garamond"/>
                <w:lang w:val="en-AU"/>
              </w:rPr>
            </w:pPr>
            <w:r w:rsidRPr="006E03E6">
              <w:rPr>
                <w:rFonts w:ascii="Garamond" w:hAnsi="Garamond"/>
                <w:lang w:val="en-AU"/>
              </w:rPr>
              <w:t xml:space="preserve">Addressing </w:t>
            </w:r>
            <w:r w:rsidRPr="006E03E6">
              <w:rPr>
                <w:rFonts w:ascii="Garamond" w:hAnsi="Garamond"/>
                <w:b/>
                <w:bCs/>
                <w:lang w:val="en-AU"/>
              </w:rPr>
              <w:t>Health Communication Gaps</w:t>
            </w:r>
            <w:r w:rsidRPr="006E03E6">
              <w:rPr>
                <w:rFonts w:ascii="Garamond" w:hAnsi="Garamond"/>
                <w:lang w:val="en-AU"/>
              </w:rPr>
              <w:t>: Improving Patient Experiences and Outcomes Through Human-Centered Design</w:t>
            </w:r>
            <w:r>
              <w:rPr>
                <w:rFonts w:ascii="Garamond" w:hAnsi="Garamond"/>
                <w:lang w:val="en-AU"/>
              </w:rPr>
              <w:t xml:space="preserve"> (</w:t>
            </w:r>
            <w:r w:rsidRPr="006E03E6">
              <w:rPr>
                <w:rFonts w:ascii="Garamond" w:hAnsi="Garamond"/>
                <w:lang w:val="en-AU"/>
              </w:rPr>
              <w:t xml:space="preserve">Sylvie </w:t>
            </w:r>
            <w:proofErr w:type="spellStart"/>
            <w:r w:rsidRPr="006E03E6">
              <w:rPr>
                <w:rFonts w:ascii="Garamond" w:hAnsi="Garamond"/>
                <w:lang w:val="en-AU"/>
              </w:rPr>
              <w:t>Leotin</w:t>
            </w:r>
            <w:proofErr w:type="spellEnd"/>
            <w:r>
              <w:rPr>
                <w:rFonts w:ascii="Garamond" w:hAnsi="Garamond"/>
                <w:lang w:val="en-AU"/>
              </w:rPr>
              <w:t>)</w:t>
            </w:r>
          </w:p>
          <w:p w14:paraId="3561447C" w14:textId="77777777" w:rsidR="006E03E6" w:rsidRDefault="006E03E6" w:rsidP="006E03E6">
            <w:pPr>
              <w:pStyle w:val="ListParagraph"/>
              <w:numPr>
                <w:ilvl w:val="0"/>
                <w:numId w:val="18"/>
              </w:numPr>
              <w:rPr>
                <w:rFonts w:ascii="Garamond" w:hAnsi="Garamond"/>
                <w:lang w:val="en-AU"/>
              </w:rPr>
            </w:pPr>
            <w:r w:rsidRPr="006E03E6">
              <w:rPr>
                <w:rFonts w:ascii="Garamond" w:hAnsi="Garamond"/>
                <w:lang w:val="en-AU"/>
              </w:rPr>
              <w:t xml:space="preserve">Towards a Novel Patient Experience Survey System: Incorporating Physician Perspectives into </w:t>
            </w:r>
            <w:r w:rsidRPr="006E03E6">
              <w:rPr>
                <w:rFonts w:ascii="Garamond" w:hAnsi="Garamond"/>
                <w:b/>
                <w:bCs/>
                <w:lang w:val="en-AU"/>
              </w:rPr>
              <w:t>Performance Feedback Dashboard Design</w:t>
            </w:r>
            <w:r w:rsidRPr="006E03E6">
              <w:rPr>
                <w:rFonts w:ascii="Garamond" w:hAnsi="Garamond"/>
                <w:lang w:val="en-AU"/>
              </w:rPr>
              <w:t xml:space="preserve"> (Stacie Vilendrer, </w:t>
            </w:r>
            <w:r>
              <w:rPr>
                <w:rFonts w:ascii="Garamond" w:hAnsi="Garamond"/>
                <w:lang w:val="en-AU"/>
              </w:rPr>
              <w:t xml:space="preserve">C </w:t>
            </w:r>
            <w:r w:rsidRPr="006E03E6">
              <w:rPr>
                <w:rFonts w:ascii="Garamond" w:hAnsi="Garamond"/>
                <w:lang w:val="en-AU"/>
              </w:rPr>
              <w:t>Bragdon, R K Miller-Kuhlmann, N Vora, C A Gold</w:t>
            </w:r>
            <w:r>
              <w:rPr>
                <w:rFonts w:ascii="Garamond" w:hAnsi="Garamond"/>
                <w:lang w:val="en-AU"/>
              </w:rPr>
              <w:t xml:space="preserve">, </w:t>
            </w:r>
            <w:r w:rsidRPr="006E03E6">
              <w:rPr>
                <w:rFonts w:ascii="Garamond" w:hAnsi="Garamond"/>
                <w:lang w:val="en-AU"/>
              </w:rPr>
              <w:t>M Winget</w:t>
            </w:r>
            <w:r>
              <w:rPr>
                <w:rFonts w:ascii="Garamond" w:hAnsi="Garamond"/>
                <w:lang w:val="en-AU"/>
              </w:rPr>
              <w:t>)</w:t>
            </w:r>
          </w:p>
          <w:p w14:paraId="36527FDF" w14:textId="77777777" w:rsidR="008E5102" w:rsidRDefault="008E5102" w:rsidP="008E5102">
            <w:pPr>
              <w:pStyle w:val="ListParagraph"/>
              <w:numPr>
                <w:ilvl w:val="0"/>
                <w:numId w:val="18"/>
              </w:numPr>
              <w:rPr>
                <w:rFonts w:ascii="Garamond" w:hAnsi="Garamond"/>
                <w:lang w:val="en-AU"/>
              </w:rPr>
            </w:pPr>
            <w:r w:rsidRPr="008E5102">
              <w:rPr>
                <w:rFonts w:ascii="Garamond" w:hAnsi="Garamond"/>
                <w:b/>
                <w:bCs/>
                <w:lang w:val="en-AU"/>
              </w:rPr>
              <w:t>Digital Disparities</w:t>
            </w:r>
            <w:r w:rsidRPr="008E5102">
              <w:rPr>
                <w:rFonts w:ascii="Garamond" w:hAnsi="Garamond"/>
                <w:lang w:val="en-AU"/>
              </w:rPr>
              <w:t xml:space="preserve"> in Healthcare: A Tale of the Haves and Have-Nots?</w:t>
            </w:r>
            <w:r>
              <w:rPr>
                <w:rFonts w:ascii="Garamond" w:hAnsi="Garamond"/>
                <w:lang w:val="en-AU"/>
              </w:rPr>
              <w:t xml:space="preserve"> (</w:t>
            </w:r>
            <w:r w:rsidRPr="008E5102">
              <w:rPr>
                <w:rFonts w:ascii="Garamond" w:hAnsi="Garamond"/>
                <w:lang w:val="en-AU"/>
              </w:rPr>
              <w:t>Allen M Chen</w:t>
            </w:r>
            <w:r>
              <w:rPr>
                <w:rFonts w:ascii="Garamond" w:hAnsi="Garamond"/>
                <w:lang w:val="en-AU"/>
              </w:rPr>
              <w:t>)</w:t>
            </w:r>
          </w:p>
          <w:p w14:paraId="2788AB37" w14:textId="77777777" w:rsidR="008E5102" w:rsidRDefault="008E5102" w:rsidP="008E5102">
            <w:pPr>
              <w:pStyle w:val="ListParagraph"/>
              <w:numPr>
                <w:ilvl w:val="0"/>
                <w:numId w:val="18"/>
              </w:numPr>
              <w:rPr>
                <w:rFonts w:ascii="Garamond" w:hAnsi="Garamond"/>
                <w:lang w:val="en-AU"/>
              </w:rPr>
            </w:pPr>
            <w:r w:rsidRPr="008E5102">
              <w:rPr>
                <w:rFonts w:ascii="Garamond" w:hAnsi="Garamond"/>
                <w:lang w:val="en-AU"/>
              </w:rPr>
              <w:t>Patient-</w:t>
            </w:r>
            <w:proofErr w:type="spellStart"/>
            <w:r w:rsidRPr="008E5102">
              <w:rPr>
                <w:rFonts w:ascii="Garamond" w:hAnsi="Garamond"/>
                <w:lang w:val="en-AU"/>
              </w:rPr>
              <w:t>Centered</w:t>
            </w:r>
            <w:proofErr w:type="spellEnd"/>
            <w:r w:rsidRPr="008E5102">
              <w:rPr>
                <w:rFonts w:ascii="Garamond" w:hAnsi="Garamond"/>
                <w:lang w:val="en-AU"/>
              </w:rPr>
              <w:t xml:space="preserve"> Care: A Qualitative Analysis of </w:t>
            </w:r>
            <w:r w:rsidRPr="008E5102">
              <w:rPr>
                <w:rFonts w:ascii="Garamond" w:hAnsi="Garamond"/>
                <w:b/>
                <w:bCs/>
                <w:lang w:val="en-AU"/>
              </w:rPr>
              <w:t>Patient and Caregiver Experiences in a Hospital at Home</w:t>
            </w:r>
            <w:r w:rsidRPr="008E5102">
              <w:rPr>
                <w:rFonts w:ascii="Garamond" w:hAnsi="Garamond"/>
                <w:lang w:val="en-AU"/>
              </w:rPr>
              <w:t xml:space="preserve"> Program (Matthew D Dalstrom, Colleen J Klein, Meagan Rothrock-Magana</w:t>
            </w:r>
            <w:r>
              <w:rPr>
                <w:rFonts w:ascii="Garamond" w:hAnsi="Garamond"/>
                <w:lang w:val="en-AU"/>
              </w:rPr>
              <w:t xml:space="preserve">, </w:t>
            </w:r>
            <w:r w:rsidRPr="008E5102">
              <w:rPr>
                <w:rFonts w:ascii="Garamond" w:hAnsi="Garamond"/>
                <w:lang w:val="en-AU"/>
              </w:rPr>
              <w:t>Melinda Coolin</w:t>
            </w:r>
            <w:r>
              <w:rPr>
                <w:rFonts w:ascii="Garamond" w:hAnsi="Garamond"/>
                <w:lang w:val="en-AU"/>
              </w:rPr>
              <w:t>)</w:t>
            </w:r>
          </w:p>
          <w:p w14:paraId="7804F600" w14:textId="77777777" w:rsidR="008E5102" w:rsidRDefault="008E5102" w:rsidP="008E5102">
            <w:pPr>
              <w:pStyle w:val="ListParagraph"/>
              <w:numPr>
                <w:ilvl w:val="0"/>
                <w:numId w:val="18"/>
              </w:numPr>
              <w:rPr>
                <w:rFonts w:ascii="Garamond" w:hAnsi="Garamond"/>
                <w:lang w:val="en-AU"/>
              </w:rPr>
            </w:pPr>
            <w:r w:rsidRPr="008E5102">
              <w:rPr>
                <w:rFonts w:ascii="Garamond" w:hAnsi="Garamond"/>
                <w:lang w:val="en-AU"/>
              </w:rPr>
              <w:t xml:space="preserve">Exploring </w:t>
            </w:r>
            <w:r w:rsidRPr="008E5102">
              <w:rPr>
                <w:rFonts w:ascii="Garamond" w:hAnsi="Garamond"/>
                <w:b/>
                <w:bCs/>
                <w:lang w:val="en-AU"/>
              </w:rPr>
              <w:t>Positive Health in Cardiac Patients</w:t>
            </w:r>
            <w:r w:rsidRPr="008E5102">
              <w:rPr>
                <w:rFonts w:ascii="Garamond" w:hAnsi="Garamond"/>
                <w:lang w:val="en-AU"/>
              </w:rPr>
              <w:t xml:space="preserve">: Personal Goals and Key Factors for Achieving Improved Well-Being (Marleen Hofman-van der </w:t>
            </w:r>
            <w:proofErr w:type="spellStart"/>
            <w:r w:rsidRPr="008E5102">
              <w:rPr>
                <w:rFonts w:ascii="Garamond" w:hAnsi="Garamond"/>
                <w:lang w:val="en-AU"/>
              </w:rPr>
              <w:t>Gronden</w:t>
            </w:r>
            <w:proofErr w:type="spellEnd"/>
            <w:r w:rsidRPr="008E5102">
              <w:rPr>
                <w:rFonts w:ascii="Garamond" w:hAnsi="Garamond"/>
                <w:lang w:val="en-AU"/>
              </w:rPr>
              <w:t xml:space="preserve">, Martine </w:t>
            </w:r>
            <w:proofErr w:type="spellStart"/>
            <w:r w:rsidRPr="008E5102">
              <w:rPr>
                <w:rFonts w:ascii="Garamond" w:hAnsi="Garamond"/>
                <w:lang w:val="en-AU"/>
              </w:rPr>
              <w:t>te</w:t>
            </w:r>
            <w:proofErr w:type="spellEnd"/>
            <w:r w:rsidRPr="008E5102">
              <w:rPr>
                <w:rFonts w:ascii="Garamond" w:hAnsi="Garamond"/>
                <w:lang w:val="en-AU"/>
              </w:rPr>
              <w:t xml:space="preserve"> </w:t>
            </w:r>
            <w:proofErr w:type="spellStart"/>
            <w:r w:rsidRPr="008E5102">
              <w:rPr>
                <w:rFonts w:ascii="Garamond" w:hAnsi="Garamond"/>
                <w:lang w:val="en-AU"/>
              </w:rPr>
              <w:t>Hoonte-Veehof</w:t>
            </w:r>
            <w:proofErr w:type="spellEnd"/>
            <w:r w:rsidRPr="008E5102">
              <w:rPr>
                <w:rFonts w:ascii="Garamond" w:hAnsi="Garamond"/>
                <w:lang w:val="en-AU"/>
              </w:rPr>
              <w:t xml:space="preserve">, I van </w:t>
            </w:r>
            <w:proofErr w:type="spellStart"/>
            <w:r w:rsidRPr="008E5102">
              <w:rPr>
                <w:rFonts w:ascii="Garamond" w:hAnsi="Garamond"/>
                <w:lang w:val="en-AU"/>
              </w:rPr>
              <w:t>Bunningen</w:t>
            </w:r>
            <w:proofErr w:type="spellEnd"/>
            <w:r>
              <w:rPr>
                <w:rFonts w:ascii="Garamond" w:hAnsi="Garamond"/>
                <w:lang w:val="en-AU"/>
              </w:rPr>
              <w:t xml:space="preserve">, </w:t>
            </w:r>
            <w:r w:rsidRPr="008E5102">
              <w:rPr>
                <w:rFonts w:ascii="Garamond" w:hAnsi="Garamond"/>
                <w:lang w:val="en-AU"/>
              </w:rPr>
              <w:t>S van Hogen-Koster</w:t>
            </w:r>
            <w:r>
              <w:rPr>
                <w:rFonts w:ascii="Garamond" w:hAnsi="Garamond"/>
                <w:lang w:val="en-AU"/>
              </w:rPr>
              <w:t>)</w:t>
            </w:r>
          </w:p>
          <w:p w14:paraId="5FF5325D" w14:textId="77777777" w:rsidR="008E5102" w:rsidRDefault="008E5102" w:rsidP="008E5102">
            <w:pPr>
              <w:pStyle w:val="ListParagraph"/>
              <w:numPr>
                <w:ilvl w:val="0"/>
                <w:numId w:val="18"/>
              </w:numPr>
              <w:rPr>
                <w:rFonts w:ascii="Garamond" w:hAnsi="Garamond"/>
                <w:lang w:val="en-AU"/>
              </w:rPr>
            </w:pPr>
            <w:r w:rsidRPr="008E5102">
              <w:rPr>
                <w:rFonts w:ascii="Garamond" w:hAnsi="Garamond"/>
                <w:lang w:val="en-AU"/>
              </w:rPr>
              <w:t xml:space="preserve">Associations of Patient Experience </w:t>
            </w:r>
            <w:proofErr w:type="gramStart"/>
            <w:r w:rsidRPr="008E5102">
              <w:rPr>
                <w:rFonts w:ascii="Garamond" w:hAnsi="Garamond"/>
                <w:lang w:val="en-AU"/>
              </w:rPr>
              <w:t>With</w:t>
            </w:r>
            <w:proofErr w:type="gramEnd"/>
            <w:r w:rsidRPr="008E5102">
              <w:rPr>
                <w:rFonts w:ascii="Garamond" w:hAnsi="Garamond"/>
                <w:lang w:val="en-AU"/>
              </w:rPr>
              <w:t xml:space="preserve"> Doctor-Patient Communication and Patient-Reported Physical and Mental Health in Seriously Ill Adults (Sarah F D’Ambruoso, Anne M Walling, Neil S Wenger, Rebecca L </w:t>
            </w:r>
            <w:proofErr w:type="spellStart"/>
            <w:r w:rsidRPr="008E5102">
              <w:rPr>
                <w:rFonts w:ascii="Garamond" w:hAnsi="Garamond"/>
                <w:lang w:val="en-AU"/>
              </w:rPr>
              <w:t>Sudore</w:t>
            </w:r>
            <w:proofErr w:type="spellEnd"/>
            <w:r w:rsidRPr="008E5102">
              <w:rPr>
                <w:rFonts w:ascii="Garamond" w:hAnsi="Garamond"/>
                <w:lang w:val="en-AU"/>
              </w:rPr>
              <w:t>, Lisa Gibbs, Maryam Rahimi</w:t>
            </w:r>
            <w:r>
              <w:rPr>
                <w:rFonts w:ascii="Garamond" w:hAnsi="Garamond"/>
                <w:lang w:val="en-AU"/>
              </w:rPr>
              <w:t xml:space="preserve">, </w:t>
            </w:r>
            <w:r w:rsidRPr="008E5102">
              <w:rPr>
                <w:rFonts w:ascii="Garamond" w:hAnsi="Garamond"/>
                <w:lang w:val="en-AU"/>
              </w:rPr>
              <w:t>Ron D Hays</w:t>
            </w:r>
            <w:r>
              <w:rPr>
                <w:rFonts w:ascii="Garamond" w:hAnsi="Garamond"/>
                <w:lang w:val="en-AU"/>
              </w:rPr>
              <w:t>)</w:t>
            </w:r>
          </w:p>
          <w:p w14:paraId="22206106" w14:textId="77777777" w:rsidR="008E5102" w:rsidRDefault="003210A0" w:rsidP="003210A0">
            <w:pPr>
              <w:pStyle w:val="ListParagraph"/>
              <w:numPr>
                <w:ilvl w:val="0"/>
                <w:numId w:val="18"/>
              </w:numPr>
              <w:rPr>
                <w:rFonts w:ascii="Garamond" w:hAnsi="Garamond"/>
                <w:lang w:val="en-AU"/>
              </w:rPr>
            </w:pPr>
            <w:r w:rsidRPr="003210A0">
              <w:rPr>
                <w:rFonts w:ascii="Garamond" w:hAnsi="Garamond"/>
                <w:lang w:val="en-AU"/>
              </w:rPr>
              <w:t xml:space="preserve">The </w:t>
            </w:r>
            <w:proofErr w:type="spellStart"/>
            <w:r w:rsidRPr="003210A0">
              <w:rPr>
                <w:rFonts w:ascii="Garamond" w:hAnsi="Garamond"/>
                <w:b/>
                <w:bCs/>
                <w:lang w:val="en-AU"/>
              </w:rPr>
              <w:t>Pediatric</w:t>
            </w:r>
            <w:proofErr w:type="spellEnd"/>
            <w:r w:rsidRPr="003210A0">
              <w:rPr>
                <w:rFonts w:ascii="Garamond" w:hAnsi="Garamond"/>
                <w:b/>
                <w:bCs/>
                <w:lang w:val="en-AU"/>
              </w:rPr>
              <w:t xml:space="preserve"> Experience Collaborative</w:t>
            </w:r>
            <w:r w:rsidRPr="003210A0">
              <w:rPr>
                <w:rFonts w:ascii="Garamond" w:hAnsi="Garamond"/>
                <w:lang w:val="en-AU"/>
              </w:rPr>
              <w:t xml:space="preserve">: Paving the Way in </w:t>
            </w:r>
            <w:proofErr w:type="spellStart"/>
            <w:r w:rsidRPr="003210A0">
              <w:rPr>
                <w:rFonts w:ascii="Garamond" w:hAnsi="Garamond"/>
                <w:lang w:val="en-AU"/>
              </w:rPr>
              <w:t>Pediatric</w:t>
            </w:r>
            <w:proofErr w:type="spellEnd"/>
            <w:r w:rsidRPr="003210A0">
              <w:rPr>
                <w:rFonts w:ascii="Garamond" w:hAnsi="Garamond"/>
                <w:lang w:val="en-AU"/>
              </w:rPr>
              <w:t xml:space="preserve"> Experience (Lauren Hamilton, Trenton House, Taylor B Sewell, Harris Baden, Brianna Combs, Sara L Toomey, Shehzad Saeed, Jana Rojas, Molly Warneke, Maureen Hoff, Andréa </w:t>
            </w:r>
            <w:proofErr w:type="spellStart"/>
            <w:r w:rsidRPr="003210A0">
              <w:rPr>
                <w:rFonts w:ascii="Garamond" w:hAnsi="Garamond"/>
                <w:lang w:val="en-AU"/>
              </w:rPr>
              <w:t>Aken’Ova</w:t>
            </w:r>
            <w:proofErr w:type="spellEnd"/>
            <w:r w:rsidRPr="003210A0">
              <w:rPr>
                <w:rFonts w:ascii="Garamond" w:hAnsi="Garamond"/>
                <w:lang w:val="en-AU"/>
              </w:rPr>
              <w:t>, Lisa Rubino, Dana I Williams</w:t>
            </w:r>
            <w:r>
              <w:rPr>
                <w:rFonts w:ascii="Garamond" w:hAnsi="Garamond"/>
                <w:lang w:val="en-AU"/>
              </w:rPr>
              <w:t xml:space="preserve">, </w:t>
            </w:r>
            <w:r w:rsidRPr="003210A0">
              <w:rPr>
                <w:rFonts w:ascii="Garamond" w:hAnsi="Garamond"/>
                <w:lang w:val="en-AU"/>
              </w:rPr>
              <w:t>S P Hanke</w:t>
            </w:r>
            <w:r>
              <w:rPr>
                <w:rFonts w:ascii="Garamond" w:hAnsi="Garamond"/>
                <w:lang w:val="en-AU"/>
              </w:rPr>
              <w:t>)</w:t>
            </w:r>
          </w:p>
          <w:p w14:paraId="35777F47" w14:textId="77777777" w:rsidR="00FF0AF1" w:rsidRDefault="00FF0AF1" w:rsidP="00FF0AF1">
            <w:pPr>
              <w:pStyle w:val="ListParagraph"/>
              <w:numPr>
                <w:ilvl w:val="0"/>
                <w:numId w:val="18"/>
              </w:numPr>
              <w:rPr>
                <w:rFonts w:ascii="Garamond" w:hAnsi="Garamond"/>
                <w:lang w:val="en-AU"/>
              </w:rPr>
            </w:pPr>
            <w:r w:rsidRPr="00FF0AF1">
              <w:rPr>
                <w:rFonts w:ascii="Garamond" w:hAnsi="Garamond"/>
                <w:lang w:val="en-AU"/>
              </w:rPr>
              <w:t xml:space="preserve">Exploring Factors That Drive </w:t>
            </w:r>
            <w:r w:rsidRPr="00FF0AF1">
              <w:rPr>
                <w:rFonts w:ascii="Garamond" w:hAnsi="Garamond"/>
                <w:b/>
                <w:bCs/>
                <w:lang w:val="en-AU"/>
              </w:rPr>
              <w:t>Nonurgent Emergency Department Use</w:t>
            </w:r>
            <w:r w:rsidRPr="00FF0AF1">
              <w:rPr>
                <w:rFonts w:ascii="Garamond" w:hAnsi="Garamond"/>
                <w:lang w:val="en-AU"/>
              </w:rPr>
              <w:t xml:space="preserve"> (Carina Mireles-Romo, Eddie Hernandez, I Choi, J Roh, S Saadat</w:t>
            </w:r>
            <w:r>
              <w:rPr>
                <w:rFonts w:ascii="Garamond" w:hAnsi="Garamond"/>
                <w:lang w:val="en-AU"/>
              </w:rPr>
              <w:t xml:space="preserve">, </w:t>
            </w:r>
            <w:r w:rsidRPr="00FF0AF1">
              <w:rPr>
                <w:rFonts w:ascii="Garamond" w:hAnsi="Garamond"/>
                <w:lang w:val="en-AU"/>
              </w:rPr>
              <w:t>S Toohey</w:t>
            </w:r>
            <w:r>
              <w:rPr>
                <w:rFonts w:ascii="Garamond" w:hAnsi="Garamond"/>
                <w:lang w:val="en-AU"/>
              </w:rPr>
              <w:t>)</w:t>
            </w:r>
          </w:p>
          <w:p w14:paraId="6B5511CA" w14:textId="77777777" w:rsidR="00FF0AF1" w:rsidRDefault="00FF0AF1" w:rsidP="00FF0AF1">
            <w:pPr>
              <w:pStyle w:val="ListParagraph"/>
              <w:numPr>
                <w:ilvl w:val="0"/>
                <w:numId w:val="18"/>
              </w:numPr>
              <w:rPr>
                <w:rFonts w:ascii="Garamond" w:hAnsi="Garamond"/>
                <w:lang w:val="en-AU"/>
              </w:rPr>
            </w:pPr>
            <w:r w:rsidRPr="00FF0AF1">
              <w:rPr>
                <w:rFonts w:ascii="Garamond" w:hAnsi="Garamond"/>
                <w:lang w:val="en-AU"/>
              </w:rPr>
              <w:t xml:space="preserve">The Impact of </w:t>
            </w:r>
            <w:r w:rsidRPr="00FF0AF1">
              <w:rPr>
                <w:rFonts w:ascii="Garamond" w:hAnsi="Garamond"/>
                <w:b/>
                <w:bCs/>
                <w:lang w:val="en-AU"/>
              </w:rPr>
              <w:t>Discrimination and Poor Provider Communication</w:t>
            </w:r>
            <w:r w:rsidRPr="00FF0AF1">
              <w:rPr>
                <w:rFonts w:ascii="Garamond" w:hAnsi="Garamond"/>
                <w:lang w:val="en-AU"/>
              </w:rPr>
              <w:t xml:space="preserve"> on Public Trust in Cancer Advice </w:t>
            </w:r>
            <w:proofErr w:type="gramStart"/>
            <w:r w:rsidRPr="00FF0AF1">
              <w:rPr>
                <w:rFonts w:ascii="Garamond" w:hAnsi="Garamond"/>
                <w:lang w:val="en-AU"/>
              </w:rPr>
              <w:t>From</w:t>
            </w:r>
            <w:proofErr w:type="gramEnd"/>
            <w:r w:rsidRPr="00FF0AF1">
              <w:rPr>
                <w:rFonts w:ascii="Garamond" w:hAnsi="Garamond"/>
                <w:lang w:val="en-AU"/>
              </w:rPr>
              <w:t xml:space="preserve"> Physicians (A </w:t>
            </w:r>
            <w:proofErr w:type="spellStart"/>
            <w:r w:rsidRPr="00FF0AF1">
              <w:rPr>
                <w:rFonts w:ascii="Garamond" w:hAnsi="Garamond"/>
                <w:lang w:val="en-AU"/>
              </w:rPr>
              <w:t>Shaykevich</w:t>
            </w:r>
            <w:proofErr w:type="spellEnd"/>
            <w:r>
              <w:rPr>
                <w:rFonts w:ascii="Garamond" w:hAnsi="Garamond"/>
                <w:lang w:val="en-AU"/>
              </w:rPr>
              <w:t xml:space="preserve">, </w:t>
            </w:r>
            <w:r w:rsidRPr="00FF0AF1">
              <w:rPr>
                <w:rFonts w:ascii="Garamond" w:hAnsi="Garamond"/>
                <w:lang w:val="en-AU"/>
              </w:rPr>
              <w:t>M Wojtowyc</w:t>
            </w:r>
            <w:r>
              <w:rPr>
                <w:rFonts w:ascii="Garamond" w:hAnsi="Garamond"/>
                <w:lang w:val="en-AU"/>
              </w:rPr>
              <w:t>)</w:t>
            </w:r>
          </w:p>
          <w:p w14:paraId="75CC1C4F" w14:textId="585F42E5" w:rsidR="00AB565E" w:rsidRPr="00AB565E" w:rsidRDefault="00AB565E" w:rsidP="00317393">
            <w:pPr>
              <w:pStyle w:val="ListParagraph"/>
              <w:numPr>
                <w:ilvl w:val="0"/>
                <w:numId w:val="18"/>
              </w:numPr>
              <w:rPr>
                <w:rFonts w:ascii="Garamond" w:hAnsi="Garamond"/>
                <w:lang w:val="en-AU"/>
              </w:rPr>
            </w:pPr>
            <w:r w:rsidRPr="00AB565E">
              <w:rPr>
                <w:rFonts w:ascii="Garamond" w:hAnsi="Garamond"/>
                <w:b/>
                <w:bCs/>
                <w:lang w:val="en-AU"/>
              </w:rPr>
              <w:lastRenderedPageBreak/>
              <w:t>Hospital Patient and Family Advisory Council</w:t>
            </w:r>
            <w:r w:rsidRPr="00AB565E">
              <w:rPr>
                <w:rFonts w:ascii="Garamond" w:hAnsi="Garamond"/>
                <w:lang w:val="en-AU"/>
              </w:rPr>
              <w:t xml:space="preserve"> Accelerators and Barriers: A Qualitative Study (Barbara Lewis, Erika Marquez, Chris Cochran, Neeraj Bhandari, Soumya Upadhyay, Stowe Shoemake</w:t>
            </w:r>
            <w:r>
              <w:rPr>
                <w:rFonts w:ascii="Garamond" w:hAnsi="Garamond"/>
                <w:lang w:val="en-AU"/>
              </w:rPr>
              <w:t>r)</w:t>
            </w:r>
          </w:p>
          <w:p w14:paraId="550E9A02" w14:textId="735DE55F" w:rsidR="0002352B" w:rsidRPr="0002352B" w:rsidRDefault="0002352B" w:rsidP="00C5799C">
            <w:pPr>
              <w:pStyle w:val="ListParagraph"/>
              <w:numPr>
                <w:ilvl w:val="0"/>
                <w:numId w:val="18"/>
              </w:numPr>
              <w:rPr>
                <w:rFonts w:ascii="Garamond" w:hAnsi="Garamond"/>
                <w:lang w:val="en-AU"/>
              </w:rPr>
            </w:pPr>
            <w:r w:rsidRPr="0002352B">
              <w:rPr>
                <w:rFonts w:ascii="Garamond" w:hAnsi="Garamond"/>
                <w:lang w:val="en-AU"/>
              </w:rPr>
              <w:t xml:space="preserve">I Want to be Known as a Whole Human Being: A Qualitative Study About </w:t>
            </w:r>
            <w:r w:rsidRPr="0002352B">
              <w:rPr>
                <w:rFonts w:ascii="Garamond" w:hAnsi="Garamond"/>
                <w:b/>
                <w:bCs/>
                <w:lang w:val="en-AU"/>
              </w:rPr>
              <w:t>Patients' Experiences of Empathy in Health Care</w:t>
            </w:r>
            <w:r w:rsidRPr="0002352B">
              <w:rPr>
                <w:rFonts w:ascii="Garamond" w:hAnsi="Garamond"/>
                <w:lang w:val="en-AU"/>
              </w:rPr>
              <w:t xml:space="preserve"> (Johanna von Knorring, Arja Lehti, Kristina Lindvall, Olof Semb</w:t>
            </w:r>
            <w:r>
              <w:rPr>
                <w:rFonts w:ascii="Garamond" w:hAnsi="Garamond"/>
                <w:lang w:val="en-AU"/>
              </w:rPr>
              <w:t>)</w:t>
            </w:r>
          </w:p>
          <w:p w14:paraId="624D3418" w14:textId="0E0309C3" w:rsidR="0002352B" w:rsidRPr="0002352B" w:rsidRDefault="0002352B" w:rsidP="002E052F">
            <w:pPr>
              <w:pStyle w:val="ListParagraph"/>
              <w:numPr>
                <w:ilvl w:val="0"/>
                <w:numId w:val="18"/>
              </w:numPr>
              <w:rPr>
                <w:rFonts w:ascii="Garamond" w:hAnsi="Garamond"/>
                <w:lang w:val="en-AU"/>
              </w:rPr>
            </w:pPr>
            <w:r w:rsidRPr="0002352B">
              <w:rPr>
                <w:rFonts w:ascii="Garamond" w:hAnsi="Garamond"/>
                <w:lang w:val="en-AU"/>
              </w:rPr>
              <w:t xml:space="preserve">What Factors Are Associated </w:t>
            </w:r>
            <w:proofErr w:type="gramStart"/>
            <w:r w:rsidRPr="0002352B">
              <w:rPr>
                <w:rFonts w:ascii="Garamond" w:hAnsi="Garamond"/>
                <w:lang w:val="en-AU"/>
              </w:rPr>
              <w:t>With</w:t>
            </w:r>
            <w:proofErr w:type="gramEnd"/>
            <w:r w:rsidRPr="0002352B">
              <w:rPr>
                <w:rFonts w:ascii="Garamond" w:hAnsi="Garamond"/>
                <w:lang w:val="en-AU"/>
              </w:rPr>
              <w:t xml:space="preserve"> </w:t>
            </w:r>
            <w:r w:rsidRPr="0002352B">
              <w:rPr>
                <w:rFonts w:ascii="Garamond" w:hAnsi="Garamond"/>
                <w:b/>
                <w:bCs/>
                <w:lang w:val="en-AU"/>
              </w:rPr>
              <w:t>Trust and Experience</w:t>
            </w:r>
            <w:r w:rsidRPr="0002352B">
              <w:rPr>
                <w:rFonts w:ascii="Garamond" w:hAnsi="Garamond"/>
                <w:lang w:val="en-AU"/>
              </w:rPr>
              <w:t xml:space="preserve"> </w:t>
            </w:r>
            <w:proofErr w:type="gramStart"/>
            <w:r w:rsidRPr="0002352B">
              <w:rPr>
                <w:rFonts w:ascii="Garamond" w:hAnsi="Garamond"/>
                <w:lang w:val="en-AU"/>
              </w:rPr>
              <w:t>With</w:t>
            </w:r>
            <w:proofErr w:type="gramEnd"/>
            <w:r w:rsidRPr="0002352B">
              <w:rPr>
                <w:rFonts w:ascii="Garamond" w:hAnsi="Garamond"/>
                <w:lang w:val="en-AU"/>
              </w:rPr>
              <w:t xml:space="preserve"> the Clinician? (L Bashour, A Razi, J Thompson, R Looman, D Ring, N </w:t>
            </w:r>
            <w:proofErr w:type="spellStart"/>
            <w:r w:rsidRPr="0002352B">
              <w:rPr>
                <w:rFonts w:ascii="Garamond" w:hAnsi="Garamond"/>
                <w:lang w:val="en-AU"/>
              </w:rPr>
              <w:t>Brinkma</w:t>
            </w:r>
            <w:proofErr w:type="spellEnd"/>
            <w:r>
              <w:rPr>
                <w:rFonts w:ascii="Garamond" w:hAnsi="Garamond"/>
                <w:lang w:val="en-AU"/>
              </w:rPr>
              <w:t>)</w:t>
            </w:r>
          </w:p>
          <w:p w14:paraId="181F6C3E" w14:textId="7524F01C" w:rsidR="003960D9" w:rsidRPr="003960D9" w:rsidRDefault="003960D9" w:rsidP="00A44BAE">
            <w:pPr>
              <w:pStyle w:val="ListParagraph"/>
              <w:numPr>
                <w:ilvl w:val="0"/>
                <w:numId w:val="18"/>
              </w:numPr>
              <w:rPr>
                <w:rFonts w:ascii="Garamond" w:hAnsi="Garamond"/>
                <w:lang w:val="en-AU"/>
              </w:rPr>
            </w:pPr>
            <w:r w:rsidRPr="003960D9">
              <w:rPr>
                <w:rFonts w:ascii="Garamond" w:hAnsi="Garamond"/>
                <w:lang w:val="en-AU"/>
              </w:rPr>
              <w:t xml:space="preserve">Barriers and Facilitators to the Recruitment and Engagement of Diverse Populations </w:t>
            </w:r>
            <w:proofErr w:type="gramStart"/>
            <w:r w:rsidRPr="003960D9">
              <w:rPr>
                <w:rFonts w:ascii="Garamond" w:hAnsi="Garamond"/>
                <w:lang w:val="en-AU"/>
              </w:rPr>
              <w:t>Into</w:t>
            </w:r>
            <w:proofErr w:type="gramEnd"/>
            <w:r w:rsidRPr="003960D9">
              <w:rPr>
                <w:rFonts w:ascii="Garamond" w:hAnsi="Garamond"/>
                <w:lang w:val="en-AU"/>
              </w:rPr>
              <w:t xml:space="preserve"> </w:t>
            </w:r>
            <w:r w:rsidRPr="003960D9">
              <w:rPr>
                <w:rFonts w:ascii="Garamond" w:hAnsi="Garamond"/>
                <w:b/>
                <w:bCs/>
                <w:lang w:val="en-AU"/>
              </w:rPr>
              <w:t>Patient and Family Advisory Councils</w:t>
            </w:r>
            <w:r w:rsidRPr="003960D9">
              <w:rPr>
                <w:rFonts w:ascii="Garamond" w:hAnsi="Garamond"/>
                <w:lang w:val="en-AU"/>
              </w:rPr>
              <w:t>: A Scoping Review (Madison P Leia, Kaitlin See, Colleen Cuthbert</w:t>
            </w:r>
            <w:r>
              <w:rPr>
                <w:rFonts w:ascii="Garamond" w:hAnsi="Garamond"/>
                <w:lang w:val="en-AU"/>
              </w:rPr>
              <w:t>)</w:t>
            </w:r>
          </w:p>
          <w:p w14:paraId="77143FBD" w14:textId="4A71E8F5" w:rsidR="003960D9" w:rsidRPr="003960D9" w:rsidRDefault="003960D9" w:rsidP="009E3C69">
            <w:pPr>
              <w:pStyle w:val="ListParagraph"/>
              <w:numPr>
                <w:ilvl w:val="0"/>
                <w:numId w:val="18"/>
              </w:numPr>
              <w:rPr>
                <w:rFonts w:ascii="Garamond" w:hAnsi="Garamond"/>
                <w:lang w:val="en-AU"/>
              </w:rPr>
            </w:pPr>
            <w:r w:rsidRPr="003960D9">
              <w:rPr>
                <w:rFonts w:ascii="Garamond" w:hAnsi="Garamond"/>
                <w:b/>
                <w:bCs/>
                <w:lang w:val="en-AU"/>
              </w:rPr>
              <w:t>Clinician-Caregiver Engagement in Older Adult Care</w:t>
            </w:r>
            <w:r w:rsidRPr="003960D9">
              <w:rPr>
                <w:rFonts w:ascii="Garamond" w:hAnsi="Garamond"/>
                <w:lang w:val="en-AU"/>
              </w:rPr>
              <w:t>. Development of a Validated Caregiver Experience Survey to Inform the Optimization of the Caregiver Role (</w:t>
            </w:r>
            <w:proofErr w:type="spellStart"/>
            <w:r w:rsidRPr="003960D9">
              <w:rPr>
                <w:rFonts w:ascii="Garamond" w:hAnsi="Garamond"/>
                <w:lang w:val="en-AU"/>
              </w:rPr>
              <w:t>Ronaye</w:t>
            </w:r>
            <w:proofErr w:type="spellEnd"/>
            <w:r w:rsidRPr="003960D9">
              <w:rPr>
                <w:rFonts w:ascii="Garamond" w:hAnsi="Garamond"/>
                <w:lang w:val="en-AU"/>
              </w:rPr>
              <w:t xml:space="preserve"> T Gilsenan, Rhonda E Schwartz, Iris A </w:t>
            </w:r>
            <w:proofErr w:type="spellStart"/>
            <w:r w:rsidRPr="003960D9">
              <w:rPr>
                <w:rFonts w:ascii="Garamond" w:hAnsi="Garamond"/>
                <w:lang w:val="en-AU"/>
              </w:rPr>
              <w:t>Gutmanis</w:t>
            </w:r>
            <w:proofErr w:type="spellEnd"/>
            <w:r>
              <w:rPr>
                <w:rFonts w:ascii="Garamond" w:hAnsi="Garamond"/>
                <w:lang w:val="en-AU"/>
              </w:rPr>
              <w:t>)</w:t>
            </w:r>
          </w:p>
          <w:p w14:paraId="227BFDFF" w14:textId="2AC6F637" w:rsidR="007621E7" w:rsidRPr="007621E7" w:rsidRDefault="007621E7" w:rsidP="00005159">
            <w:pPr>
              <w:pStyle w:val="ListParagraph"/>
              <w:numPr>
                <w:ilvl w:val="0"/>
                <w:numId w:val="18"/>
              </w:numPr>
              <w:rPr>
                <w:rFonts w:ascii="Garamond" w:hAnsi="Garamond"/>
                <w:lang w:val="en-AU"/>
              </w:rPr>
            </w:pPr>
            <w:r w:rsidRPr="007621E7">
              <w:rPr>
                <w:rFonts w:ascii="Garamond" w:hAnsi="Garamond"/>
                <w:lang w:val="en-AU"/>
              </w:rPr>
              <w:t xml:space="preserve">A Seat at the Table, But on Whose Terms? </w:t>
            </w:r>
            <w:r w:rsidRPr="007621E7">
              <w:rPr>
                <w:rFonts w:ascii="Garamond" w:hAnsi="Garamond"/>
                <w:b/>
                <w:bCs/>
                <w:lang w:val="en-AU"/>
              </w:rPr>
              <w:t>The Illusion of Meaningful Engagement</w:t>
            </w:r>
            <w:r w:rsidRPr="007621E7">
              <w:rPr>
                <w:rFonts w:ascii="Garamond" w:hAnsi="Garamond"/>
                <w:lang w:val="en-AU"/>
              </w:rPr>
              <w:t xml:space="preserve"> (Mark Thomaz Ugliara Barone, Emma Klatma</w:t>
            </w:r>
            <w:r>
              <w:rPr>
                <w:rFonts w:ascii="Garamond" w:hAnsi="Garamond"/>
                <w:lang w:val="en-AU"/>
              </w:rPr>
              <w:t>)</w:t>
            </w:r>
          </w:p>
          <w:p w14:paraId="2E08D701" w14:textId="5CBEF72D" w:rsidR="00FF0AF1" w:rsidRPr="00BF1287" w:rsidRDefault="009915E8" w:rsidP="009915E8">
            <w:pPr>
              <w:pStyle w:val="ListParagraph"/>
              <w:numPr>
                <w:ilvl w:val="0"/>
                <w:numId w:val="18"/>
              </w:numPr>
              <w:rPr>
                <w:rFonts w:ascii="Garamond" w:hAnsi="Garamond"/>
                <w:lang w:val="en-AU"/>
              </w:rPr>
            </w:pPr>
            <w:r w:rsidRPr="009915E8">
              <w:rPr>
                <w:rFonts w:ascii="Garamond" w:hAnsi="Garamond"/>
                <w:lang w:val="en-AU"/>
              </w:rPr>
              <w:t xml:space="preserve">Experiences of the Development of a Revised, Population-Adjusted Communicative </w:t>
            </w:r>
            <w:r w:rsidRPr="009915E8">
              <w:rPr>
                <w:rFonts w:ascii="Garamond" w:hAnsi="Garamond"/>
                <w:b/>
                <w:bCs/>
                <w:lang w:val="en-AU"/>
              </w:rPr>
              <w:t>Health Literacy Scale</w:t>
            </w:r>
            <w:r w:rsidRPr="009915E8">
              <w:rPr>
                <w:rFonts w:ascii="Garamond" w:hAnsi="Garamond"/>
                <w:lang w:val="en-AU"/>
              </w:rPr>
              <w:t xml:space="preserve"> (Erika Szilágyi-Hornyák, Gabriella Nagy-Pénzes, Gabriella Mátyás, Róza Ádány, Éva Bíró</w:t>
            </w:r>
            <w:r>
              <w:rPr>
                <w:rFonts w:ascii="Garamond" w:hAnsi="Garamond"/>
                <w:lang w:val="en-AU"/>
              </w:rPr>
              <w:t>)</w:t>
            </w:r>
          </w:p>
        </w:tc>
      </w:tr>
    </w:tbl>
    <w:p w14:paraId="603F8911" w14:textId="77777777" w:rsidR="003C125A" w:rsidRPr="0073722E" w:rsidRDefault="003C125A" w:rsidP="003C125A">
      <w:pPr>
        <w:keepLines/>
        <w:autoSpaceDE w:val="0"/>
        <w:autoSpaceDN w:val="0"/>
        <w:adjustRightInd w:val="0"/>
        <w:rPr>
          <w:rFonts w:ascii="Garamond" w:hAnsi="Garamond"/>
          <w:lang w:val="en-AU"/>
        </w:rPr>
      </w:pPr>
    </w:p>
    <w:p w14:paraId="31A22402" w14:textId="77777777" w:rsidR="00F9255C" w:rsidRPr="00BF1287" w:rsidRDefault="00F9255C" w:rsidP="00F9255C">
      <w:pPr>
        <w:keepNext/>
        <w:rPr>
          <w:rFonts w:ascii="Garamond" w:hAnsi="Garamond"/>
          <w:lang w:val="en-AU"/>
        </w:rPr>
      </w:pPr>
      <w:r w:rsidRPr="00BF1287">
        <w:rPr>
          <w:rFonts w:ascii="Garamond" w:hAnsi="Garamond"/>
          <w:i/>
          <w:lang w:val="en-AU"/>
        </w:rPr>
        <w:t xml:space="preserve">BMJ Quality &amp; Safety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BF128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BF1287" w:rsidRDefault="00F9255C">
            <w:pPr>
              <w:keepNext/>
              <w:rPr>
                <w:rFonts w:ascii="Garamond" w:hAnsi="Garamond"/>
                <w:lang w:val="en-AU"/>
              </w:rPr>
            </w:pPr>
            <w:r w:rsidRPr="00BF128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BF1287" w:rsidRDefault="00F963DF">
            <w:pPr>
              <w:keepNext/>
              <w:rPr>
                <w:rFonts w:ascii="Garamond" w:hAnsi="Garamond"/>
                <w:lang w:val="en-AU"/>
              </w:rPr>
            </w:pPr>
            <w:hyperlink r:id="rId31" w:history="1">
              <w:r w:rsidRPr="00BF1287">
                <w:rPr>
                  <w:rStyle w:val="Hyperlink"/>
                  <w:rFonts w:ascii="Garamond" w:hAnsi="Garamond"/>
                  <w:lang w:val="en-AU"/>
                </w:rPr>
                <w:t>https://qualitysafety.bmj.com/content/early/recent</w:t>
              </w:r>
            </w:hyperlink>
          </w:p>
        </w:tc>
      </w:tr>
      <w:tr w:rsidR="00F9255C" w:rsidRPr="00BF128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BF1287" w:rsidRDefault="00F9255C">
            <w:pPr>
              <w:rPr>
                <w:rFonts w:ascii="Garamond" w:hAnsi="Garamond"/>
                <w:lang w:val="en-AU"/>
              </w:rPr>
            </w:pPr>
            <w:r w:rsidRPr="00BF128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BF1287" w:rsidRDefault="00F9255C">
            <w:pPr>
              <w:rPr>
                <w:rFonts w:ascii="Garamond" w:hAnsi="Garamond"/>
                <w:lang w:val="en-AU"/>
              </w:rPr>
            </w:pPr>
            <w:r w:rsidRPr="00BF1287">
              <w:rPr>
                <w:rFonts w:ascii="Garamond" w:hAnsi="Garamond"/>
                <w:i/>
                <w:lang w:val="en-AU"/>
              </w:rPr>
              <w:t>BMJ Quality &amp;Safety</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73D2D8B0" w14:textId="48CB9C51" w:rsidR="00E3027E" w:rsidRPr="00E3027E" w:rsidRDefault="00E3027E" w:rsidP="006B79FA">
            <w:pPr>
              <w:pStyle w:val="ListParagraph"/>
              <w:numPr>
                <w:ilvl w:val="0"/>
                <w:numId w:val="16"/>
              </w:numPr>
              <w:rPr>
                <w:rFonts w:ascii="Garamond" w:hAnsi="Garamond"/>
                <w:lang w:val="en-AU"/>
              </w:rPr>
            </w:pPr>
            <w:r w:rsidRPr="00E3027E">
              <w:rPr>
                <w:rFonts w:ascii="Garamond" w:hAnsi="Garamond"/>
                <w:lang w:val="en-AU"/>
              </w:rPr>
              <w:t xml:space="preserve">‘They don’t know my body’: </w:t>
            </w:r>
            <w:r w:rsidRPr="00E3027E">
              <w:rPr>
                <w:rFonts w:ascii="Garamond" w:hAnsi="Garamond"/>
                <w:b/>
                <w:bCs/>
                <w:lang w:val="en-AU"/>
              </w:rPr>
              <w:t>health consumer recognition and escalation of acute deterioration</w:t>
            </w:r>
            <w:r w:rsidRPr="00E3027E">
              <w:rPr>
                <w:rFonts w:ascii="Garamond" w:hAnsi="Garamond"/>
                <w:lang w:val="en-AU"/>
              </w:rPr>
              <w:t xml:space="preserve"> – a systematic review (James Bonnamy, Janeane Dart, Claire Palermo, Renee Molloy, Kirsten Small, Clifford Connell</w:t>
            </w:r>
            <w:r>
              <w:rPr>
                <w:rFonts w:ascii="Garamond" w:hAnsi="Garamond"/>
                <w:lang w:val="en-AU"/>
              </w:rPr>
              <w:t>)</w:t>
            </w:r>
          </w:p>
          <w:p w14:paraId="62ED10D4" w14:textId="382162AA" w:rsidR="00412C78" w:rsidRPr="00412C78" w:rsidRDefault="00412C78" w:rsidP="00003A0B">
            <w:pPr>
              <w:pStyle w:val="ListParagraph"/>
              <w:numPr>
                <w:ilvl w:val="0"/>
                <w:numId w:val="16"/>
              </w:numPr>
              <w:rPr>
                <w:rFonts w:ascii="Garamond" w:hAnsi="Garamond"/>
                <w:lang w:val="en-AU"/>
              </w:rPr>
            </w:pPr>
            <w:r w:rsidRPr="00412C78">
              <w:rPr>
                <w:rFonts w:ascii="Garamond" w:hAnsi="Garamond"/>
                <w:lang w:val="en-AU"/>
              </w:rPr>
              <w:t xml:space="preserve">Editorial: Quality as a catalyst to achieve </w:t>
            </w:r>
            <w:r w:rsidRPr="00412C78">
              <w:rPr>
                <w:rFonts w:ascii="Garamond" w:hAnsi="Garamond"/>
                <w:b/>
                <w:bCs/>
                <w:lang w:val="en-AU"/>
              </w:rPr>
              <w:t>environmentally sustainable healthcare</w:t>
            </w:r>
            <w:r w:rsidRPr="00412C78">
              <w:rPr>
                <w:rFonts w:ascii="Garamond" w:hAnsi="Garamond"/>
                <w:lang w:val="en-AU"/>
              </w:rPr>
              <w:t xml:space="preserve"> (Sara Ehsan, Hardeep Sing</w:t>
            </w:r>
            <w:r>
              <w:rPr>
                <w:rFonts w:ascii="Garamond" w:hAnsi="Garamond"/>
                <w:lang w:val="en-AU"/>
              </w:rPr>
              <w:t>)</w:t>
            </w:r>
          </w:p>
          <w:p w14:paraId="2F15730C" w14:textId="791CDA3B" w:rsidR="00337152" w:rsidRPr="00BF1287" w:rsidRDefault="008A5CE4" w:rsidP="008A5CE4">
            <w:pPr>
              <w:pStyle w:val="ListParagraph"/>
              <w:numPr>
                <w:ilvl w:val="0"/>
                <w:numId w:val="16"/>
              </w:numPr>
              <w:rPr>
                <w:rFonts w:ascii="Garamond" w:hAnsi="Garamond"/>
                <w:lang w:val="en-AU"/>
              </w:rPr>
            </w:pPr>
            <w:r w:rsidRPr="00BF1287">
              <w:rPr>
                <w:rFonts w:ascii="Garamond" w:hAnsi="Garamond"/>
                <w:lang w:val="en-AU"/>
              </w:rPr>
              <w:t xml:space="preserve">Who chooses to engage? Understanding the characteristics of physicians who voluntarily engage with an </w:t>
            </w:r>
            <w:r w:rsidRPr="00BF1287">
              <w:rPr>
                <w:rFonts w:ascii="Garamond" w:hAnsi="Garamond"/>
                <w:b/>
                <w:bCs/>
                <w:lang w:val="en-AU"/>
              </w:rPr>
              <w:t>audit and feedback intervention</w:t>
            </w:r>
            <w:r w:rsidRPr="00BF1287">
              <w:rPr>
                <w:rFonts w:ascii="Garamond" w:hAnsi="Garamond"/>
                <w:lang w:val="en-AU"/>
              </w:rPr>
              <w:t xml:space="preserve">: a retrospective cohort study (Cherry Chu, Noah Ivers, Braeden Terpou, Mina Tadrous, </w:t>
            </w:r>
            <w:proofErr w:type="spellStart"/>
            <w:r w:rsidRPr="00BF1287">
              <w:rPr>
                <w:rFonts w:ascii="Garamond" w:hAnsi="Garamond"/>
                <w:lang w:val="en-AU"/>
              </w:rPr>
              <w:t>Canyucel</w:t>
            </w:r>
            <w:proofErr w:type="spellEnd"/>
            <w:r w:rsidRPr="00BF1287">
              <w:rPr>
                <w:rFonts w:ascii="Garamond" w:hAnsi="Garamond"/>
                <w:lang w:val="en-AU"/>
              </w:rPr>
              <w:t xml:space="preserve"> Gungor, Geneviève Rouleau, Laura Desveaux)</w:t>
            </w:r>
          </w:p>
        </w:tc>
      </w:tr>
    </w:tbl>
    <w:p w14:paraId="33F1CFEB" w14:textId="77777777" w:rsidR="00F9255C" w:rsidRPr="00BF1287" w:rsidRDefault="00F9255C" w:rsidP="00F9255C">
      <w:pPr>
        <w:keepLines/>
        <w:autoSpaceDE w:val="0"/>
        <w:autoSpaceDN w:val="0"/>
        <w:adjustRightInd w:val="0"/>
        <w:rPr>
          <w:rFonts w:ascii="Garamond" w:hAnsi="Garamond"/>
          <w:i/>
          <w:lang w:val="en-AU"/>
        </w:rPr>
      </w:pPr>
    </w:p>
    <w:p w14:paraId="608E5154" w14:textId="77777777" w:rsidR="00275F7D" w:rsidRPr="00BF1287" w:rsidRDefault="00275F7D" w:rsidP="00275F7D">
      <w:pPr>
        <w:keepNext/>
        <w:rPr>
          <w:rFonts w:ascii="Garamond" w:hAnsi="Garamond"/>
          <w:lang w:val="en-AU"/>
        </w:rPr>
      </w:pPr>
      <w:r w:rsidRPr="00BF1287">
        <w:rPr>
          <w:rFonts w:ascii="Garamond" w:hAnsi="Garamond"/>
          <w:i/>
          <w:lang w:val="en-AU"/>
        </w:rPr>
        <w:t xml:space="preserve">International Journal for Quality in Health Care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BF1287"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BF1287" w:rsidRDefault="00275F7D" w:rsidP="00B8228D">
            <w:pPr>
              <w:keepNext/>
              <w:rPr>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BF1287" w:rsidRDefault="00275F7D" w:rsidP="00B8228D">
            <w:pPr>
              <w:keepNext/>
              <w:rPr>
                <w:rFonts w:ascii="Garamond" w:hAnsi="Garamond"/>
                <w:lang w:val="en-AU"/>
              </w:rPr>
            </w:pPr>
            <w:hyperlink r:id="rId32" w:history="1">
              <w:r w:rsidRPr="00BF1287">
                <w:rPr>
                  <w:rStyle w:val="Hyperlink"/>
                  <w:rFonts w:ascii="Garamond" w:hAnsi="Garamond"/>
                  <w:lang w:val="en-AU"/>
                </w:rPr>
                <w:t>https://academic.oup.com/intqhc/advance-articles</w:t>
              </w:r>
            </w:hyperlink>
          </w:p>
        </w:tc>
      </w:tr>
      <w:tr w:rsidR="00275F7D" w:rsidRPr="00BF1287"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BF1287" w:rsidRDefault="00275F7D" w:rsidP="00B8228D">
            <w:pPr>
              <w:rPr>
                <w:rFonts w:ascii="Garamond" w:hAnsi="Garamond"/>
                <w:lang w:val="en-AU"/>
              </w:rPr>
            </w:pPr>
            <w:r w:rsidRPr="00BF128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BF1287" w:rsidRDefault="00275F7D" w:rsidP="00B8228D">
            <w:pPr>
              <w:rPr>
                <w:rFonts w:ascii="Garamond" w:hAnsi="Garamond"/>
                <w:lang w:val="en-AU"/>
              </w:rPr>
            </w:pPr>
            <w:r w:rsidRPr="00BF1287">
              <w:rPr>
                <w:rFonts w:ascii="Garamond" w:hAnsi="Garamond"/>
                <w:i/>
                <w:iCs/>
                <w:lang w:val="en-AU"/>
              </w:rPr>
              <w:t>International Journal for Quality in Health Care</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3B4669DE" w14:textId="03CA62FB" w:rsidR="00FC3635" w:rsidRDefault="00412C78" w:rsidP="00412C78">
            <w:pPr>
              <w:pStyle w:val="ListParagraph"/>
              <w:numPr>
                <w:ilvl w:val="0"/>
                <w:numId w:val="16"/>
              </w:numPr>
              <w:rPr>
                <w:rFonts w:ascii="Garamond" w:hAnsi="Garamond"/>
                <w:lang w:val="en-AU"/>
              </w:rPr>
            </w:pPr>
            <w:r w:rsidRPr="00412C78">
              <w:rPr>
                <w:rFonts w:ascii="Garamond" w:hAnsi="Garamond"/>
                <w:b/>
                <w:bCs/>
                <w:lang w:val="en-AU"/>
              </w:rPr>
              <w:t>Co-constructing Patient Partnership</w:t>
            </w:r>
            <w:r w:rsidRPr="00412C78">
              <w:rPr>
                <w:rFonts w:ascii="Garamond" w:hAnsi="Garamond"/>
                <w:lang w:val="en-AU"/>
              </w:rPr>
              <w:t xml:space="preserve">: Highlighting Professional Competencies and Tools to Move from Knowledge to Action </w:t>
            </w:r>
            <w:r>
              <w:rPr>
                <w:rFonts w:ascii="Garamond" w:hAnsi="Garamond"/>
                <w:lang w:val="en-AU"/>
              </w:rPr>
              <w:t>(</w:t>
            </w:r>
            <w:r w:rsidRPr="00412C78">
              <w:rPr>
                <w:rFonts w:ascii="Garamond" w:hAnsi="Garamond"/>
                <w:lang w:val="en-AU"/>
              </w:rPr>
              <w:t>Cindy Castro, Stéphane Coendoz, Anthony Staines</w:t>
            </w:r>
            <w:r>
              <w:rPr>
                <w:rFonts w:ascii="Garamond" w:hAnsi="Garamond"/>
                <w:lang w:val="en-AU"/>
              </w:rPr>
              <w:t>)</w:t>
            </w:r>
          </w:p>
          <w:p w14:paraId="2CFA4EAD" w14:textId="0643FA8C" w:rsidR="00972354" w:rsidRDefault="00972354" w:rsidP="00972354">
            <w:pPr>
              <w:pStyle w:val="ListParagraph"/>
              <w:numPr>
                <w:ilvl w:val="0"/>
                <w:numId w:val="16"/>
              </w:numPr>
              <w:rPr>
                <w:rFonts w:ascii="Garamond" w:hAnsi="Garamond"/>
                <w:lang w:val="en-AU"/>
              </w:rPr>
            </w:pPr>
            <w:r w:rsidRPr="00972354">
              <w:rPr>
                <w:rFonts w:ascii="Garamond" w:hAnsi="Garamond"/>
                <w:b/>
                <w:bCs/>
                <w:lang w:val="en-AU"/>
              </w:rPr>
              <w:t>Unintended Retained Surgical Items</w:t>
            </w:r>
            <w:r w:rsidRPr="00972354">
              <w:rPr>
                <w:rFonts w:ascii="Garamond" w:hAnsi="Garamond"/>
                <w:lang w:val="en-AU"/>
              </w:rPr>
              <w:t xml:space="preserve">: A Systematic Review of 743 Cases </w:t>
            </w:r>
            <w:r>
              <w:rPr>
                <w:rFonts w:ascii="Garamond" w:hAnsi="Garamond"/>
                <w:lang w:val="en-AU"/>
              </w:rPr>
              <w:t>(</w:t>
            </w:r>
            <w:r w:rsidRPr="00972354">
              <w:rPr>
                <w:rFonts w:ascii="Garamond" w:hAnsi="Garamond"/>
                <w:lang w:val="en-AU"/>
              </w:rPr>
              <w:t>Seong-Hi Park, Yoon Soo Cho</w:t>
            </w:r>
            <w:r>
              <w:rPr>
                <w:rFonts w:ascii="Garamond" w:hAnsi="Garamond"/>
                <w:lang w:val="en-AU"/>
              </w:rPr>
              <w:t>)</w:t>
            </w:r>
          </w:p>
          <w:p w14:paraId="2AFEA9B2" w14:textId="55642184" w:rsidR="00972354" w:rsidRPr="00BF1287" w:rsidRDefault="00972354" w:rsidP="00972354">
            <w:pPr>
              <w:pStyle w:val="ListParagraph"/>
              <w:numPr>
                <w:ilvl w:val="0"/>
                <w:numId w:val="16"/>
              </w:numPr>
              <w:rPr>
                <w:rFonts w:ascii="Garamond" w:hAnsi="Garamond"/>
                <w:lang w:val="en-AU"/>
              </w:rPr>
            </w:pPr>
            <w:r w:rsidRPr="00972354">
              <w:rPr>
                <w:rFonts w:ascii="Garamond" w:hAnsi="Garamond"/>
                <w:lang w:val="en-AU"/>
              </w:rPr>
              <w:t xml:space="preserve">Characterisation of </w:t>
            </w:r>
            <w:r w:rsidRPr="00972354">
              <w:rPr>
                <w:rFonts w:ascii="Garamond" w:hAnsi="Garamond"/>
                <w:b/>
                <w:bCs/>
                <w:lang w:val="en-AU"/>
              </w:rPr>
              <w:t>adverse events leading to unscheduled intensive care admissions</w:t>
            </w:r>
            <w:r w:rsidRPr="00972354">
              <w:rPr>
                <w:rFonts w:ascii="Garamond" w:hAnsi="Garamond"/>
                <w:lang w:val="en-AU"/>
              </w:rPr>
              <w:t xml:space="preserve"> </w:t>
            </w:r>
            <w:r>
              <w:rPr>
                <w:rFonts w:ascii="Garamond" w:hAnsi="Garamond"/>
                <w:lang w:val="en-AU"/>
              </w:rPr>
              <w:t>(</w:t>
            </w:r>
            <w:r w:rsidRPr="00972354">
              <w:rPr>
                <w:rFonts w:ascii="Garamond" w:hAnsi="Garamond"/>
                <w:lang w:val="en-AU"/>
              </w:rPr>
              <w:t xml:space="preserve">Abid Omar, Julien Carlier, Nordin Zaidi, Lahcen El Hiki, Christian </w:t>
            </w:r>
            <w:proofErr w:type="spellStart"/>
            <w:r w:rsidRPr="00972354">
              <w:rPr>
                <w:rFonts w:ascii="Garamond" w:hAnsi="Garamond"/>
                <w:lang w:val="en-AU"/>
              </w:rPr>
              <w:t>Delvosalle</w:t>
            </w:r>
            <w:proofErr w:type="spellEnd"/>
            <w:r w:rsidRPr="00972354">
              <w:rPr>
                <w:rFonts w:ascii="Garamond" w:hAnsi="Garamond"/>
                <w:lang w:val="en-AU"/>
              </w:rPr>
              <w:t>, Stéphane Carlier</w:t>
            </w:r>
            <w:r>
              <w:rPr>
                <w:rFonts w:ascii="Garamond" w:hAnsi="Garamond"/>
                <w:lang w:val="en-AU"/>
              </w:rPr>
              <w:t>)</w:t>
            </w:r>
          </w:p>
        </w:tc>
      </w:tr>
    </w:tbl>
    <w:p w14:paraId="48D0BEAE" w14:textId="4C4303C1" w:rsidR="00321DAB" w:rsidRDefault="00321DAB">
      <w:pPr>
        <w:rPr>
          <w:rFonts w:ascii="Garamond" w:hAnsi="Garamond"/>
          <w:b/>
          <w:lang w:val="en-AU"/>
        </w:rPr>
      </w:pPr>
    </w:p>
    <w:p w14:paraId="41A742E0" w14:textId="77777777" w:rsidR="00877224" w:rsidRDefault="00877224">
      <w:pPr>
        <w:rPr>
          <w:rFonts w:ascii="Garamond" w:hAnsi="Garamond"/>
          <w:b/>
          <w:lang w:val="en-AU"/>
        </w:rPr>
      </w:pPr>
      <w:r>
        <w:rPr>
          <w:rFonts w:ascii="Garamond" w:hAnsi="Garamond"/>
          <w:b/>
          <w:lang w:val="en-AU"/>
        </w:rPr>
        <w:br w:type="page"/>
      </w:r>
    </w:p>
    <w:p w14:paraId="71069483" w14:textId="41F3D10A" w:rsidR="00FD67E9" w:rsidRPr="00BF1287" w:rsidRDefault="00FD67E9" w:rsidP="00FD67E9">
      <w:pPr>
        <w:keepNext/>
        <w:keepLines/>
        <w:rPr>
          <w:rFonts w:ascii="Garamond" w:hAnsi="Garamond"/>
          <w:b/>
          <w:lang w:val="en-AU"/>
        </w:rPr>
      </w:pPr>
      <w:r w:rsidRPr="00BF1287">
        <w:rPr>
          <w:rFonts w:ascii="Garamond" w:hAnsi="Garamond"/>
          <w:b/>
          <w:lang w:val="en-AU"/>
        </w:rPr>
        <w:lastRenderedPageBreak/>
        <w:t>Online resources</w:t>
      </w:r>
    </w:p>
    <w:p w14:paraId="2C97E649" w14:textId="77777777" w:rsidR="009A08B0" w:rsidRPr="00BF1287" w:rsidRDefault="009A08B0" w:rsidP="00FD67E9">
      <w:pPr>
        <w:keepNext/>
        <w:keepLines/>
        <w:rPr>
          <w:rFonts w:ascii="Garamond" w:hAnsi="Garamond"/>
          <w:b/>
          <w:bCs/>
          <w:iCs/>
          <w:lang w:val="en-AU"/>
        </w:rPr>
      </w:pPr>
    </w:p>
    <w:p w14:paraId="504C11AB" w14:textId="57C14599" w:rsidR="00FD67E9" w:rsidRPr="00BF1287" w:rsidRDefault="00FD67E9" w:rsidP="00FD67E9">
      <w:pPr>
        <w:keepNext/>
        <w:keepLines/>
        <w:rPr>
          <w:rFonts w:ascii="Garamond" w:hAnsi="Garamond"/>
          <w:b/>
          <w:bCs/>
          <w:i/>
          <w:lang w:val="en-AU"/>
        </w:rPr>
      </w:pPr>
      <w:r w:rsidRPr="00BF1287">
        <w:rPr>
          <w:rFonts w:ascii="Garamond" w:hAnsi="Garamond"/>
          <w:b/>
          <w:bCs/>
          <w:i/>
          <w:lang w:val="en-AU"/>
        </w:rPr>
        <w:t>Australian Living Evidence Collaboration</w:t>
      </w:r>
    </w:p>
    <w:p w14:paraId="114EB5E0" w14:textId="77777777" w:rsidR="00FD67E9" w:rsidRPr="00BF1287" w:rsidRDefault="00FD67E9" w:rsidP="00FD67E9">
      <w:pPr>
        <w:keepLines/>
        <w:rPr>
          <w:rFonts w:ascii="Garamond" w:hAnsi="Garamond"/>
          <w:lang w:val="en-AU"/>
        </w:rPr>
      </w:pPr>
      <w:hyperlink r:id="rId33" w:history="1">
        <w:r w:rsidRPr="00BF1287">
          <w:rPr>
            <w:rStyle w:val="Hyperlink"/>
            <w:rFonts w:ascii="Garamond" w:hAnsi="Garamond"/>
            <w:lang w:val="en-AU"/>
          </w:rPr>
          <w:t>https://livingevidence.org.au/</w:t>
        </w:r>
      </w:hyperlink>
    </w:p>
    <w:p w14:paraId="13A4034E" w14:textId="77777777" w:rsidR="00FD67E9" w:rsidRPr="00BF1287" w:rsidRDefault="00FD67E9" w:rsidP="00FD67E9">
      <w:pPr>
        <w:keepNext/>
        <w:rPr>
          <w:rFonts w:ascii="Garamond" w:hAnsi="Garamond"/>
          <w:iCs/>
          <w:lang w:val="en-AU"/>
        </w:rPr>
      </w:pPr>
    </w:p>
    <w:p w14:paraId="520956D8" w14:textId="13B7D7F7" w:rsidR="00275F7D" w:rsidRPr="00BF1287" w:rsidRDefault="00275F7D" w:rsidP="00275F7D">
      <w:pPr>
        <w:keepNext/>
        <w:rPr>
          <w:rFonts w:ascii="Garamond" w:hAnsi="Garamond"/>
          <w:b/>
          <w:bCs/>
          <w:i/>
          <w:lang w:val="en-AU"/>
        </w:rPr>
      </w:pPr>
      <w:r w:rsidRPr="00BF1287">
        <w:rPr>
          <w:rFonts w:ascii="Garamond" w:hAnsi="Garamond"/>
          <w:b/>
          <w:bCs/>
          <w:i/>
          <w:lang w:val="en-AU"/>
        </w:rPr>
        <w:t>[UK] NICE Guidelines and Quality Standards</w:t>
      </w:r>
    </w:p>
    <w:p w14:paraId="4B556BAB" w14:textId="77777777" w:rsidR="00275F7D" w:rsidRPr="00BF1287" w:rsidRDefault="00275F7D" w:rsidP="00275F7D">
      <w:pPr>
        <w:keepNext/>
        <w:rPr>
          <w:rFonts w:ascii="Garamond" w:hAnsi="Garamond"/>
          <w:lang w:val="en-AU"/>
        </w:rPr>
      </w:pPr>
      <w:hyperlink r:id="rId34" w:history="1">
        <w:r w:rsidRPr="00BF1287">
          <w:rPr>
            <w:rStyle w:val="Hyperlink"/>
            <w:rFonts w:ascii="Garamond" w:hAnsi="Garamond"/>
            <w:lang w:val="en-AU"/>
          </w:rPr>
          <w:t>https://www.nice.org.uk/guidance</w:t>
        </w:r>
      </w:hyperlink>
    </w:p>
    <w:p w14:paraId="271058BD" w14:textId="77777777" w:rsidR="00275F7D" w:rsidRPr="00BF1287" w:rsidRDefault="00275F7D" w:rsidP="00275F7D">
      <w:pPr>
        <w:keepNext/>
        <w:rPr>
          <w:rFonts w:ascii="Garamond" w:hAnsi="Garamond"/>
          <w:lang w:val="en-AU"/>
        </w:rPr>
      </w:pPr>
      <w:r w:rsidRPr="00BF1287">
        <w:rPr>
          <w:rFonts w:ascii="Garamond" w:hAnsi="Garamond"/>
          <w:lang w:val="en-AU"/>
        </w:rPr>
        <w:t>The UK’s National Institute for Health and Care Excellence (NICE) has published new (or updated) guidelines and quality standards The latest reviews or updates include:</w:t>
      </w:r>
    </w:p>
    <w:p w14:paraId="149ADA76" w14:textId="149268D7" w:rsidR="003C125A" w:rsidRDefault="004C6D14" w:rsidP="00C725CB">
      <w:pPr>
        <w:pStyle w:val="ListParagraph"/>
        <w:numPr>
          <w:ilvl w:val="0"/>
          <w:numId w:val="14"/>
        </w:numPr>
        <w:rPr>
          <w:rFonts w:ascii="Garamond" w:hAnsi="Garamond"/>
          <w:iCs/>
          <w:lang w:val="en-AU"/>
        </w:rPr>
      </w:pPr>
      <w:r w:rsidRPr="00BF1287">
        <w:rPr>
          <w:rFonts w:ascii="Garamond" w:hAnsi="Garamond"/>
          <w:iCs/>
          <w:lang w:val="en-AU"/>
        </w:rPr>
        <w:t>NICE Guideline NG</w:t>
      </w:r>
      <w:r w:rsidR="008106EF">
        <w:rPr>
          <w:rFonts w:ascii="Garamond" w:hAnsi="Garamond"/>
          <w:iCs/>
          <w:lang w:val="en-AU"/>
        </w:rPr>
        <w:t xml:space="preserve">28 </w:t>
      </w:r>
      <w:r w:rsidR="008106EF" w:rsidRPr="008106EF">
        <w:rPr>
          <w:rFonts w:ascii="Garamond" w:hAnsi="Garamond"/>
          <w:b/>
          <w:bCs/>
          <w:i/>
          <w:lang w:val="en-AU"/>
        </w:rPr>
        <w:t>Type 2 diabetes</w:t>
      </w:r>
      <w:r w:rsidR="008106EF" w:rsidRPr="008106EF">
        <w:rPr>
          <w:rFonts w:ascii="Garamond" w:hAnsi="Garamond"/>
          <w:i/>
          <w:lang w:val="en-AU"/>
        </w:rPr>
        <w:t xml:space="preserve"> in adults: management</w:t>
      </w:r>
      <w:r w:rsidR="008106EF">
        <w:rPr>
          <w:rFonts w:ascii="Garamond" w:hAnsi="Garamond"/>
          <w:iCs/>
          <w:lang w:val="en-AU"/>
        </w:rPr>
        <w:t xml:space="preserve"> </w:t>
      </w:r>
      <w:hyperlink r:id="rId35" w:history="1">
        <w:r w:rsidR="008106EF" w:rsidRPr="00236F2B">
          <w:rPr>
            <w:rStyle w:val="Hyperlink"/>
            <w:rFonts w:ascii="Garamond" w:hAnsi="Garamond"/>
            <w:iCs/>
            <w:lang w:val="en-AU"/>
          </w:rPr>
          <w:t>https://www.nice.org.uk/guidance/ng28</w:t>
        </w:r>
      </w:hyperlink>
    </w:p>
    <w:p w14:paraId="550D1896" w14:textId="299BF5E6" w:rsidR="008106EF" w:rsidRDefault="008106EF" w:rsidP="008106EF">
      <w:pPr>
        <w:pStyle w:val="ListParagraph"/>
        <w:numPr>
          <w:ilvl w:val="0"/>
          <w:numId w:val="14"/>
        </w:numPr>
        <w:rPr>
          <w:rFonts w:ascii="Garamond" w:hAnsi="Garamond"/>
          <w:iCs/>
          <w:lang w:val="en-AU"/>
        </w:rPr>
      </w:pPr>
      <w:r w:rsidRPr="00BF1287">
        <w:rPr>
          <w:rFonts w:ascii="Garamond" w:hAnsi="Garamond"/>
          <w:iCs/>
          <w:lang w:val="en-AU"/>
        </w:rPr>
        <w:t>Quality Standard QS</w:t>
      </w:r>
      <w:r>
        <w:rPr>
          <w:rFonts w:ascii="Garamond" w:hAnsi="Garamond"/>
          <w:iCs/>
          <w:lang w:val="en-AU"/>
        </w:rPr>
        <w:t xml:space="preserve">209 </w:t>
      </w:r>
      <w:r w:rsidRPr="008106EF">
        <w:rPr>
          <w:rFonts w:ascii="Garamond" w:hAnsi="Garamond"/>
          <w:b/>
          <w:bCs/>
          <w:i/>
          <w:lang w:val="en-AU"/>
        </w:rPr>
        <w:t>Type 2 diabetes</w:t>
      </w:r>
      <w:r w:rsidRPr="008106EF">
        <w:rPr>
          <w:rFonts w:ascii="Garamond" w:hAnsi="Garamond"/>
          <w:i/>
          <w:lang w:val="en-AU"/>
        </w:rPr>
        <w:t xml:space="preserve"> in adults</w:t>
      </w:r>
      <w:r>
        <w:rPr>
          <w:rFonts w:ascii="Garamond" w:hAnsi="Garamond"/>
          <w:iCs/>
          <w:lang w:val="en-AU"/>
        </w:rPr>
        <w:t xml:space="preserve"> </w:t>
      </w:r>
      <w:hyperlink r:id="rId36" w:history="1">
        <w:r w:rsidRPr="00236F2B">
          <w:rPr>
            <w:rStyle w:val="Hyperlink"/>
            <w:rFonts w:ascii="Garamond" w:hAnsi="Garamond"/>
            <w:iCs/>
            <w:lang w:val="en-AU"/>
          </w:rPr>
          <w:t>https://www.nice.org.uk/guidance/qs209</w:t>
        </w:r>
      </w:hyperlink>
    </w:p>
    <w:p w14:paraId="3241C018" w14:textId="0690DED7" w:rsidR="00F916F4" w:rsidRPr="00BF1287" w:rsidRDefault="00F916F4" w:rsidP="00275F7D">
      <w:pPr>
        <w:keepNext/>
        <w:keepLines/>
        <w:rPr>
          <w:rFonts w:ascii="Garamond" w:hAnsi="Garamond"/>
          <w:iCs/>
          <w:lang w:val="en-AU"/>
        </w:rPr>
      </w:pPr>
    </w:p>
    <w:p w14:paraId="1CD8AD05" w14:textId="533CDE94" w:rsidR="00275F7D" w:rsidRPr="00BF1287" w:rsidRDefault="00275F7D" w:rsidP="00275F7D">
      <w:pPr>
        <w:keepNext/>
        <w:keepLines/>
        <w:rPr>
          <w:rFonts w:ascii="Garamond" w:hAnsi="Garamond"/>
          <w:b/>
          <w:bCs/>
          <w:i/>
          <w:lang w:val="en-AU"/>
        </w:rPr>
      </w:pPr>
      <w:r w:rsidRPr="00BF1287">
        <w:rPr>
          <w:rFonts w:ascii="Garamond" w:hAnsi="Garamond"/>
          <w:b/>
          <w:bCs/>
          <w:i/>
          <w:lang w:val="en-AU"/>
        </w:rPr>
        <w:t>[USA] Effective Health Care Program reports</w:t>
      </w:r>
    </w:p>
    <w:p w14:paraId="3F726D1D" w14:textId="77777777" w:rsidR="00275F7D" w:rsidRPr="00BF1287" w:rsidRDefault="00275F7D" w:rsidP="00275F7D">
      <w:pPr>
        <w:keepNext/>
        <w:keepLines/>
        <w:rPr>
          <w:rFonts w:ascii="Garamond" w:hAnsi="Garamond"/>
          <w:u w:val="single"/>
          <w:lang w:val="en-AU"/>
        </w:rPr>
      </w:pPr>
      <w:hyperlink r:id="rId37" w:history="1">
        <w:r w:rsidRPr="00BF1287">
          <w:rPr>
            <w:rStyle w:val="Hyperlink"/>
            <w:rFonts w:ascii="Garamond" w:hAnsi="Garamond"/>
            <w:lang w:val="en-AU"/>
          </w:rPr>
          <w:t>https://effectivehealthcare.ahrq.gov/</w:t>
        </w:r>
      </w:hyperlink>
    </w:p>
    <w:p w14:paraId="23D0BDC7" w14:textId="031B5ECD" w:rsidR="00275F7D" w:rsidRPr="00BF1287" w:rsidRDefault="00275F7D" w:rsidP="00275F7D">
      <w:pPr>
        <w:keepNext/>
        <w:keepLines/>
        <w:rPr>
          <w:rFonts w:ascii="Garamond" w:hAnsi="Garamond"/>
          <w:lang w:val="en-AU"/>
        </w:rPr>
      </w:pPr>
      <w:r w:rsidRPr="00BF1287">
        <w:rPr>
          <w:rFonts w:ascii="Garamond" w:hAnsi="Garamond"/>
          <w:lang w:val="en-AU"/>
        </w:rPr>
        <w:t xml:space="preserve">The US Agency for Healthcare Research and Quality (AHRQ) </w:t>
      </w:r>
      <w:proofErr w:type="gramStart"/>
      <w:r w:rsidRPr="00BF1287">
        <w:rPr>
          <w:rFonts w:ascii="Garamond" w:hAnsi="Garamond"/>
          <w:lang w:val="en-AU"/>
        </w:rPr>
        <w:t>has</w:t>
      </w:r>
      <w:proofErr w:type="gramEnd"/>
      <w:r w:rsidRPr="00BF1287">
        <w:rPr>
          <w:rFonts w:ascii="Garamond" w:hAnsi="Garamond"/>
          <w:lang w:val="en-AU"/>
        </w:rPr>
        <w:t xml:space="preserve"> an Effective Health Care (EHC) Program</w:t>
      </w:r>
      <w:r w:rsidR="00FF324F" w:rsidRPr="00BF1287">
        <w:rPr>
          <w:rFonts w:ascii="Garamond" w:hAnsi="Garamond"/>
          <w:lang w:val="en-AU"/>
        </w:rPr>
        <w:t>.</w:t>
      </w:r>
      <w:r w:rsidRPr="00BF1287">
        <w:rPr>
          <w:rFonts w:ascii="Garamond" w:hAnsi="Garamond"/>
          <w:lang w:val="en-AU"/>
        </w:rPr>
        <w:t xml:space="preserve"> The EHC has released the following final reports and updates:</w:t>
      </w:r>
    </w:p>
    <w:p w14:paraId="24CF2800" w14:textId="3012B678" w:rsidR="008106EF" w:rsidRDefault="008106EF" w:rsidP="00275F7D">
      <w:pPr>
        <w:pStyle w:val="ListParagraph"/>
        <w:keepNext/>
        <w:numPr>
          <w:ilvl w:val="0"/>
          <w:numId w:val="14"/>
        </w:numPr>
        <w:rPr>
          <w:rFonts w:ascii="Garamond" w:hAnsi="Garamond"/>
          <w:iCs/>
          <w:lang w:val="en-AU"/>
        </w:rPr>
      </w:pPr>
      <w:r w:rsidRPr="008106EF">
        <w:rPr>
          <w:rFonts w:ascii="Garamond" w:hAnsi="Garamond"/>
          <w:i/>
          <w:lang w:val="en-AU"/>
        </w:rPr>
        <w:t>Machine Learning Tools To (Semi-)Automate Evidence Synthesis: A Rapid Review and Evidence Map</w:t>
      </w:r>
      <w:r>
        <w:rPr>
          <w:rFonts w:ascii="Garamond" w:hAnsi="Garamond"/>
          <w:iCs/>
          <w:lang w:val="en-AU"/>
        </w:rPr>
        <w:t xml:space="preserve"> </w:t>
      </w:r>
      <w:hyperlink r:id="rId38" w:history="1">
        <w:r w:rsidRPr="00236F2B">
          <w:rPr>
            <w:rStyle w:val="Hyperlink"/>
            <w:rFonts w:ascii="Garamond" w:hAnsi="Garamond"/>
            <w:iCs/>
            <w:lang w:val="en-AU"/>
          </w:rPr>
          <w:t>https://effectivehealthcare.ahrq.gov/products/machine-learning-tools/white-paper</w:t>
        </w:r>
      </w:hyperlink>
    </w:p>
    <w:p w14:paraId="362A3C57" w14:textId="77777777" w:rsidR="00CE7A49" w:rsidRPr="00BF1287" w:rsidRDefault="00CE7A49">
      <w:pPr>
        <w:rPr>
          <w:rFonts w:ascii="Garamond" w:hAnsi="Garamond"/>
          <w:b/>
          <w:lang w:val="en-AU"/>
        </w:rPr>
      </w:pPr>
      <w:r w:rsidRPr="00BF1287">
        <w:rPr>
          <w:rFonts w:ascii="Garamond" w:hAnsi="Garamond"/>
          <w:b/>
          <w:lang w:val="en-AU"/>
        </w:rPr>
        <w:br w:type="page"/>
      </w:r>
    </w:p>
    <w:p w14:paraId="6F204B20" w14:textId="6C9DE637" w:rsidR="00087550" w:rsidRPr="00BF1287" w:rsidRDefault="00087550" w:rsidP="00087550">
      <w:pPr>
        <w:keepNext/>
        <w:tabs>
          <w:tab w:val="left" w:pos="0"/>
        </w:tabs>
        <w:rPr>
          <w:rFonts w:ascii="Garamond" w:hAnsi="Garamond"/>
          <w:b/>
          <w:lang w:val="en-AU"/>
        </w:rPr>
      </w:pPr>
      <w:r w:rsidRPr="00BF1287">
        <w:rPr>
          <w:rFonts w:ascii="Garamond" w:hAnsi="Garamond"/>
          <w:b/>
          <w:lang w:val="en-AU"/>
        </w:rPr>
        <w:lastRenderedPageBreak/>
        <w:t>Infection prevention and control resources</w:t>
      </w:r>
    </w:p>
    <w:p w14:paraId="44EF0189" w14:textId="545ED290" w:rsidR="00087550" w:rsidRPr="00BF1287" w:rsidRDefault="00087550" w:rsidP="00087550">
      <w:pPr>
        <w:keepNext/>
        <w:tabs>
          <w:tab w:val="left" w:pos="0"/>
        </w:tabs>
        <w:rPr>
          <w:rFonts w:ascii="Garamond" w:hAnsi="Garamond"/>
          <w:lang w:val="en-AU"/>
        </w:rPr>
      </w:pPr>
      <w:r w:rsidRPr="00BF1287">
        <w:rPr>
          <w:rFonts w:ascii="Garamond" w:hAnsi="Garamond"/>
          <w:lang w:val="en-AU"/>
        </w:rPr>
        <w:t xml:space="preserve">The Australian Commission on Safety and Quality in Health Care has developed </w:t>
      </w:r>
      <w:proofErr w:type="gramStart"/>
      <w:r w:rsidRPr="00BF1287">
        <w:rPr>
          <w:rFonts w:ascii="Garamond" w:hAnsi="Garamond"/>
          <w:lang w:val="en-AU"/>
        </w:rPr>
        <w:t>a number of</w:t>
      </w:r>
      <w:proofErr w:type="gramEnd"/>
      <w:r w:rsidRPr="00BF1287">
        <w:rPr>
          <w:rFonts w:ascii="Garamond" w:hAnsi="Garamond"/>
          <w:lang w:val="en-AU"/>
        </w:rPr>
        <w:t xml:space="preserve"> resources to assist healthcare organisations, facilities and clinicians</w:t>
      </w:r>
      <w:r w:rsidR="008E1962" w:rsidRPr="00BF1287">
        <w:rPr>
          <w:rFonts w:ascii="Garamond" w:hAnsi="Garamond"/>
          <w:lang w:val="en-AU"/>
        </w:rPr>
        <w:t xml:space="preserve"> </w:t>
      </w:r>
      <w:r w:rsidRPr="00BF1287">
        <w:rPr>
          <w:rFonts w:ascii="Garamond" w:hAnsi="Garamond"/>
          <w:lang w:val="en-AU"/>
        </w:rPr>
        <w:t>These resources include:</w:t>
      </w:r>
    </w:p>
    <w:p w14:paraId="201AC8CD" w14:textId="77777777" w:rsidR="00087550" w:rsidRPr="00BF1287" w:rsidRDefault="00087550" w:rsidP="00087550">
      <w:pPr>
        <w:pStyle w:val="ListParagraph"/>
        <w:numPr>
          <w:ilvl w:val="0"/>
          <w:numId w:val="15"/>
        </w:numPr>
        <w:autoSpaceDE w:val="0"/>
        <w:autoSpaceDN w:val="0"/>
        <w:adjustRightInd w:val="0"/>
        <w:rPr>
          <w:rFonts w:ascii="Garamond" w:hAnsi="Garamond"/>
          <w:lang w:val="en-AU"/>
        </w:rPr>
      </w:pPr>
      <w:r w:rsidRPr="00BF1287">
        <w:rPr>
          <w:rFonts w:ascii="Garamond" w:hAnsi="Garamond"/>
          <w:b/>
          <w:i/>
          <w:lang w:val="en-AU"/>
        </w:rPr>
        <w:t xml:space="preserve">Poster – Combined contact and droplet precautions </w:t>
      </w:r>
      <w:hyperlink r:id="rId39" w:history="1">
        <w:r w:rsidRPr="00BF1287">
          <w:rPr>
            <w:rStyle w:val="Hyperlink"/>
            <w:rFonts w:ascii="Garamond" w:hAnsi="Garamond"/>
            <w:lang w:val="en-AU"/>
          </w:rPr>
          <w:t>https://www.safetyandquality.gov.au/publications-and-resources/resource-library/infection-prevention-and-control-poster-combined-contact-and-droplet-precautions</w:t>
        </w:r>
      </w:hyperlink>
      <w:r w:rsidRPr="00BF1287">
        <w:rPr>
          <w:rFonts w:ascii="Garamond" w:hAnsi="Garamond"/>
          <w:lang w:val="en-AU"/>
        </w:rPr>
        <w:br/>
      </w:r>
      <w:r w:rsidRPr="00BF1287">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Poster – Combined airborne and contact precautions</w:t>
      </w:r>
      <w:r w:rsidRPr="00BF1287">
        <w:rPr>
          <w:rFonts w:ascii="Garamond" w:hAnsi="Garamond"/>
          <w:b/>
          <w:i/>
          <w:lang w:val="en-AU"/>
        </w:rPr>
        <w:br/>
      </w:r>
      <w:hyperlink r:id="rId41" w:history="1">
        <w:r w:rsidRPr="00BF1287">
          <w:rPr>
            <w:rStyle w:val="Hyperlink"/>
            <w:rFonts w:ascii="Garamond" w:hAnsi="Garamond"/>
            <w:lang w:val="en-AU"/>
          </w:rPr>
          <w:t>https://www.safetyandquality.gov.au/publications-and-resources/resource-library/infection-prevention-and-control-poster-combined-airborne-and-contact-precautions</w:t>
        </w:r>
      </w:hyperlink>
      <w:r w:rsidRPr="00BF1287">
        <w:rPr>
          <w:rFonts w:ascii="Garamond" w:hAnsi="Garamond"/>
          <w:lang w:val="en-AU"/>
        </w:rPr>
        <w:br/>
      </w:r>
      <w:r w:rsidRPr="00BF128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 xml:space="preserve">Environmental Cleaning and Infection Prevention and Control </w:t>
      </w:r>
      <w:hyperlink r:id="rId43" w:history="1">
        <w:r w:rsidRPr="00BF1287">
          <w:rPr>
            <w:rStyle w:val="Hyperlink"/>
            <w:rFonts w:ascii="Garamond" w:hAnsi="Garamond"/>
            <w:lang w:val="en-AU"/>
          </w:rPr>
          <w:t>www.safetyandquality.gov.au/environmental-cleaning</w:t>
        </w:r>
      </w:hyperlink>
    </w:p>
    <w:p w14:paraId="06BB703A" w14:textId="77777777" w:rsidR="00087550" w:rsidRPr="00BF1287" w:rsidRDefault="00087550" w:rsidP="00087550">
      <w:pPr>
        <w:pStyle w:val="ListParagraph"/>
        <w:numPr>
          <w:ilvl w:val="0"/>
          <w:numId w:val="15"/>
        </w:numPr>
        <w:tabs>
          <w:tab w:val="left" w:pos="0"/>
        </w:tabs>
        <w:rPr>
          <w:rFonts w:ascii="Garamond" w:hAnsi="Garamond"/>
          <w:lang w:val="en-AU"/>
        </w:rPr>
      </w:pPr>
      <w:r w:rsidRPr="00BF1287">
        <w:rPr>
          <w:rFonts w:ascii="Garamond" w:hAnsi="Garamond"/>
          <w:b/>
          <w:i/>
          <w:lang w:val="en-AU"/>
        </w:rPr>
        <w:t xml:space="preserve">Break the chain of infection </w:t>
      </w:r>
      <w:r w:rsidRPr="00BF1287">
        <w:rPr>
          <w:rFonts w:ascii="Garamond" w:hAnsi="Garamond"/>
          <w:lang w:val="en-AU"/>
        </w:rPr>
        <w:t>poster</w:t>
      </w:r>
      <w:r w:rsidRPr="00BF1287">
        <w:rPr>
          <w:rFonts w:ascii="Garamond" w:hAnsi="Garamond"/>
          <w:b/>
          <w:i/>
          <w:lang w:val="en-AU"/>
        </w:rPr>
        <w:t xml:space="preserve"> </w:t>
      </w:r>
      <w:r w:rsidRPr="00BF1287">
        <w:rPr>
          <w:rStyle w:val="Hyperlink"/>
          <w:rFonts w:ascii="Garamond" w:hAnsi="Garamond"/>
          <w:lang w:val="en-AU"/>
        </w:rPr>
        <w:br/>
      </w:r>
      <w:hyperlink r:id="rId44" w:history="1">
        <w:r w:rsidRPr="00BF1287">
          <w:rPr>
            <w:rStyle w:val="Hyperlink"/>
            <w:rFonts w:ascii="Garamond" w:hAnsi="Garamond"/>
            <w:lang w:val="en-AU"/>
          </w:rPr>
          <w:t>https://www.safetyandquality.gov.au/publications-and-resources/resource-library/break-chain-infection-poster</w:t>
        </w:r>
      </w:hyperlink>
      <w:r w:rsidRPr="00BF1287">
        <w:rPr>
          <w:rStyle w:val="Hyperlink"/>
          <w:rFonts w:ascii="Garamond" w:hAnsi="Garamond"/>
          <w:lang w:val="en-AU"/>
        </w:rPr>
        <w:br/>
      </w:r>
      <w:r w:rsidRPr="00BF1287">
        <w:rPr>
          <w:rStyle w:val="Hyperlink"/>
          <w:rFonts w:ascii="Garamond" w:hAnsi="Garamond"/>
          <w:lang w:val="en-AU"/>
        </w:rPr>
        <w:br/>
      </w:r>
      <w:r w:rsidRPr="00BF1287">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BF1287" w:rsidRDefault="00087550" w:rsidP="00087550">
      <w:pPr>
        <w:keepLines/>
        <w:rPr>
          <w:rFonts w:ascii="Garamond" w:hAnsi="Garamond"/>
          <w:lang w:val="en-AU"/>
        </w:rPr>
      </w:pPr>
    </w:p>
    <w:p w14:paraId="003ED1BD" w14:textId="77777777" w:rsidR="004C2887" w:rsidRPr="00BF1287" w:rsidRDefault="004C2887" w:rsidP="009C6AF9">
      <w:pPr>
        <w:keepLines/>
        <w:rPr>
          <w:rFonts w:ascii="Garamond" w:hAnsi="Garamond"/>
          <w:lang w:val="en-AU"/>
        </w:rPr>
      </w:pPr>
    </w:p>
    <w:p w14:paraId="19F966AA" w14:textId="77777777" w:rsidR="00DD64D5" w:rsidRPr="00BF1287" w:rsidRDefault="00DD64D5" w:rsidP="009C6AF9">
      <w:pPr>
        <w:keepLines/>
        <w:rPr>
          <w:rFonts w:ascii="Garamond" w:hAnsi="Garamond"/>
          <w:lang w:val="en-AU"/>
        </w:rPr>
      </w:pPr>
    </w:p>
    <w:p w14:paraId="42F071AC" w14:textId="77777777" w:rsidR="00B02F6E" w:rsidRPr="00BF1287" w:rsidRDefault="00B02F6E" w:rsidP="00B02F6E">
      <w:pPr>
        <w:keepNext/>
        <w:pBdr>
          <w:top w:val="single" w:sz="4" w:space="1" w:color="auto"/>
        </w:pBdr>
        <w:rPr>
          <w:rFonts w:ascii="Garamond" w:hAnsi="Garamond"/>
          <w:b/>
          <w:lang w:val="en-AU"/>
        </w:rPr>
      </w:pPr>
      <w:r w:rsidRPr="00BF1287">
        <w:rPr>
          <w:rFonts w:ascii="Garamond" w:hAnsi="Garamond"/>
          <w:b/>
          <w:lang w:val="en-AU"/>
        </w:rPr>
        <w:t>Disclaimer</w:t>
      </w:r>
    </w:p>
    <w:p w14:paraId="1D459A38" w14:textId="2F02FB9B" w:rsidR="00B02F6E" w:rsidRPr="00BF1287" w:rsidRDefault="00B02F6E" w:rsidP="00477233">
      <w:pPr>
        <w:keepNext/>
        <w:keepLines/>
        <w:jc w:val="both"/>
        <w:rPr>
          <w:rFonts w:ascii="Garamond" w:hAnsi="Garamond"/>
          <w:lang w:val="en-AU"/>
        </w:rPr>
      </w:pPr>
      <w:r w:rsidRPr="00BF1287">
        <w:rPr>
          <w:rFonts w:ascii="Garamond" w:hAnsi="Garamond"/>
          <w:lang w:val="en-AU"/>
        </w:rPr>
        <w:t>On the Radar is an information resource of the Australian Commission on Safety and Quality in Health Care</w:t>
      </w:r>
      <w:r w:rsidR="003A14D6">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The Commission is not responsible for the content of, nor does it endorse, any articles or sites listed</w:t>
      </w:r>
      <w:r w:rsidR="008E1962" w:rsidRPr="00BF1287">
        <w:rPr>
          <w:rFonts w:ascii="Garamond" w:hAnsi="Garamond"/>
          <w:lang w:val="en-AU"/>
        </w:rPr>
        <w:t xml:space="preserve"> </w:t>
      </w:r>
      <w:r w:rsidRPr="00BF1287">
        <w:rPr>
          <w:rFonts w:ascii="Garamond" w:hAnsi="Garamond"/>
          <w:lang w:val="en-AU"/>
        </w:rPr>
        <w:t>The Commission accepts no liability for the information or advice provided by these external links</w:t>
      </w:r>
      <w:r w:rsidR="00BE72DE" w:rsidRPr="00BF1287">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Links are provided on the basis that users make their own decisions about the accuracy, currency and reliability of the information contained therein</w:t>
      </w:r>
      <w:r w:rsidR="008E1962" w:rsidRPr="00BF1287">
        <w:rPr>
          <w:rFonts w:ascii="Garamond" w:hAnsi="Garamond"/>
          <w:lang w:val="en-AU"/>
        </w:rPr>
        <w:t xml:space="preserve"> </w:t>
      </w:r>
      <w:r w:rsidRPr="00BF1287">
        <w:rPr>
          <w:rFonts w:ascii="Garamond" w:hAnsi="Garamond"/>
          <w:lang w:val="en-AU"/>
        </w:rPr>
        <w:t>Any opinions expressed are not necessarily those of the Australian Commission on Safety and Quality in Health Care.</w:t>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008A3C12" w:rsidRPr="00BF1287">
        <w:rPr>
          <w:rFonts w:ascii="Garamond" w:hAnsi="Garamond"/>
          <w:lang w:val="en-AU"/>
        </w:rPr>
        <w:fldChar w:fldCharType="begin"/>
      </w:r>
      <w:r w:rsidR="008A3C12" w:rsidRPr="00BF1287">
        <w:rPr>
          <w:rFonts w:ascii="Garamond" w:hAnsi="Garamond"/>
          <w:lang w:val="en-AU"/>
        </w:rPr>
        <w:instrText xml:space="preserve"> ADDIN </w:instrText>
      </w:r>
      <w:r w:rsidR="008A3C12" w:rsidRPr="00BF1287">
        <w:rPr>
          <w:rFonts w:ascii="Garamond" w:hAnsi="Garamond"/>
          <w:lang w:val="en-AU"/>
        </w:rPr>
        <w:fldChar w:fldCharType="end"/>
      </w:r>
    </w:p>
    <w:sectPr w:rsidR="00B02F6E" w:rsidRPr="00BF1287" w:rsidSect="005C5ABC">
      <w:footerReference w:type="even" r:id="rId47"/>
      <w:footerReference w:type="default" r:id="rId48"/>
      <w:headerReference w:type="first" r:id="rId49"/>
      <w:footerReference w:type="firs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5515" w14:textId="77777777" w:rsidR="00BE02BA" w:rsidRDefault="00BE02BA">
      <w:r>
        <w:separator/>
      </w:r>
    </w:p>
  </w:endnote>
  <w:endnote w:type="continuationSeparator" w:id="0">
    <w:p w14:paraId="33306657" w14:textId="77777777" w:rsidR="00BE02BA" w:rsidRDefault="00B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434210BB"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8A5CE4">
      <w:rPr>
        <w:rFonts w:ascii="Garamond" w:hAnsi="Garamon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2A3A2A2D"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8A5CE4">
      <w:rPr>
        <w:rFonts w:ascii="Garamond" w:hAnsi="Garamond"/>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723D" w14:textId="77777777" w:rsidR="00BE02BA" w:rsidRDefault="00BE02BA">
      <w:r>
        <w:separator/>
      </w:r>
    </w:p>
  </w:footnote>
  <w:footnote w:type="continuationSeparator" w:id="0">
    <w:p w14:paraId="0E8B77A9" w14:textId="77777777" w:rsidR="00BE02BA" w:rsidRDefault="00BE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4"/>
  </w:num>
  <w:num w:numId="2" w16cid:durableId="1683386478">
    <w:abstractNumId w:val="1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7"/>
  </w:num>
  <w:num w:numId="14" w16cid:durableId="28579523">
    <w:abstractNumId w:val="15"/>
  </w:num>
  <w:num w:numId="15" w16cid:durableId="1756245841">
    <w:abstractNumId w:val="16"/>
  </w:num>
  <w:num w:numId="16" w16cid:durableId="1878159678">
    <w:abstractNumId w:val="10"/>
  </w:num>
  <w:num w:numId="17" w16cid:durableId="1406414453">
    <w:abstractNumId w:val="13"/>
  </w:num>
  <w:num w:numId="18" w16cid:durableId="1376396157">
    <w:abstractNumId w:val="11"/>
  </w:num>
  <w:num w:numId="19" w16cid:durableId="695890412">
    <w:abstractNumId w:val="12"/>
  </w:num>
  <w:num w:numId="20" w16cid:durableId="7354752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2B"/>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4DE"/>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2FD"/>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5F5A"/>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A51"/>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AE0"/>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0A0"/>
    <w:rsid w:val="00321213"/>
    <w:rsid w:val="00321236"/>
    <w:rsid w:val="00321601"/>
    <w:rsid w:val="00321757"/>
    <w:rsid w:val="00321949"/>
    <w:rsid w:val="00321AB1"/>
    <w:rsid w:val="00321B69"/>
    <w:rsid w:val="00321CD3"/>
    <w:rsid w:val="00321CEF"/>
    <w:rsid w:val="00321DAA"/>
    <w:rsid w:val="00321DAB"/>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0D9"/>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4D6"/>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78"/>
    <w:rsid w:val="00412CCB"/>
    <w:rsid w:val="00412F59"/>
    <w:rsid w:val="00412FEC"/>
    <w:rsid w:val="0041309D"/>
    <w:rsid w:val="004131EA"/>
    <w:rsid w:val="004135B3"/>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5ED"/>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85E"/>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365"/>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4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18"/>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6E2"/>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8BB"/>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D7C52"/>
    <w:rsid w:val="006E0025"/>
    <w:rsid w:val="006E003C"/>
    <w:rsid w:val="006E00A2"/>
    <w:rsid w:val="006E00DD"/>
    <w:rsid w:val="006E014E"/>
    <w:rsid w:val="006E01F9"/>
    <w:rsid w:val="006E0268"/>
    <w:rsid w:val="006E02F5"/>
    <w:rsid w:val="006E0368"/>
    <w:rsid w:val="006E03E6"/>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39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2E"/>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31B"/>
    <w:rsid w:val="007613B6"/>
    <w:rsid w:val="00761680"/>
    <w:rsid w:val="007618B2"/>
    <w:rsid w:val="007619C6"/>
    <w:rsid w:val="00761B17"/>
    <w:rsid w:val="00761DC3"/>
    <w:rsid w:val="00761EFC"/>
    <w:rsid w:val="00761F3E"/>
    <w:rsid w:val="007620C4"/>
    <w:rsid w:val="007621E7"/>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07"/>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6EF"/>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3C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24"/>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102"/>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354"/>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5E8"/>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B5D"/>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1DA"/>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0F18"/>
    <w:rsid w:val="009F1226"/>
    <w:rsid w:val="009F1338"/>
    <w:rsid w:val="009F13C7"/>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4FFF"/>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65E"/>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940"/>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9DF"/>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2BA"/>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26C"/>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836"/>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0C3"/>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1FB3"/>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B"/>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7E"/>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D6E"/>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DDD"/>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AF1"/>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iris.who.int/handle/10665/384833" TargetMode="External"/><Relationship Id="rId26" Type="http://schemas.openxmlformats.org/officeDocument/2006/relationships/hyperlink" Target="https://doi.org/10.1001/jama.2026.0064" TargetMode="External"/><Relationship Id="rId39" Type="http://schemas.openxmlformats.org/officeDocument/2006/relationships/hyperlink" Target="https://www.safetyandquality.gov.au/publications-and-resources/resource-library/infection-prevention-and-control-poster-combined-contact-and-droplet-precautions" TargetMode="External"/><Relationship Id="rId21" Type="http://schemas.openxmlformats.org/officeDocument/2006/relationships/hyperlink" Target="https://doi.org/10.1016/j.lanhl.2025.100816" TargetMode="External"/><Relationship Id="rId34" Type="http://schemas.openxmlformats.org/officeDocument/2006/relationships/hyperlink" Target="https://www.nice.org.uk/guidance" TargetMode="External"/><Relationship Id="rId42" Type="http://schemas.openxmlformats.org/officeDocument/2006/relationships/image" Target="media/image3.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our-work/antimicrobial-resistance/antimicrobial-use-and-resistance-australia-aura" TargetMode="External"/><Relationship Id="rId29" Type="http://schemas.openxmlformats.org/officeDocument/2006/relationships/hyperlink" Target="https://qualitysafety.bmj.com/content/35/3" TargetMode="External"/><Relationship Id="rId11" Type="http://schemas.openxmlformats.org/officeDocument/2006/relationships/hyperlink" Target="mailto:mail@safetyandquality.gov.au" TargetMode="External"/><Relationship Id="rId24" Type="http://schemas.openxmlformats.org/officeDocument/2006/relationships/hyperlink" Target="https://doi.org/10.1111/hex.70590" TargetMode="External"/><Relationship Id="rId32" Type="http://schemas.openxmlformats.org/officeDocument/2006/relationships/hyperlink" Target="https://academic.oup.com/intqhc/advance-articles" TargetMode="External"/><Relationship Id="rId37" Type="http://schemas.openxmlformats.org/officeDocument/2006/relationships/hyperlink" Target="https://effectivehealthcare.ahrq.gov/" TargetMode="External"/><Relationship Id="rId40" Type="http://schemas.openxmlformats.org/officeDocument/2006/relationships/image" Target="media/image2.PNG"/><Relationship Id="rId4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 Type="http://schemas.openxmlformats.org/officeDocument/2006/relationships/webSettings" Target="webSettings.xml"/><Relationship Id="rId15" Type="http://schemas.openxmlformats.org/officeDocument/2006/relationships/hyperlink" Target="https://www.safetyandquality.gov.au/our-work/antimicrobial-resistance" TargetMode="External"/><Relationship Id="rId23" Type="http://schemas.openxmlformats.org/officeDocument/2006/relationships/hyperlink" Target="https://www.safetyandquality.gov.au/our-work/cognitive-impairment" TargetMode="External"/><Relationship Id="rId28" Type="http://schemas.openxmlformats.org/officeDocument/2006/relationships/hyperlink" Target="https://doi.org/10.1001/jama.2025.27259" TargetMode="External"/><Relationship Id="rId36" Type="http://schemas.openxmlformats.org/officeDocument/2006/relationships/hyperlink" Target="https://www.nice.org.uk/guidance/qs209" TargetMode="External"/><Relationship Id="rId49" Type="http://schemas.openxmlformats.org/officeDocument/2006/relationships/header" Target="head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our-work/partnering-consumers/person-centred-care" TargetMode="External"/><Relationship Id="rId31" Type="http://schemas.openxmlformats.org/officeDocument/2006/relationships/hyperlink" Target="https://qualitysafety.bmj.com/content/early/recent" TargetMode="External"/><Relationship Id="rId44" Type="http://schemas.openxmlformats.org/officeDocument/2006/relationships/hyperlink" Target="https://www.safetyandquality.gov.au/publications-and-resources/resource-library/break-chain-infection-post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cdc.gov.au/newsroom/media-releases/national-snapshot-antimicrobial-resistance-and-use-released" TargetMode="External"/><Relationship Id="rId22" Type="http://schemas.openxmlformats.org/officeDocument/2006/relationships/hyperlink" Target="https://www.safetyandquality.gov.au/our-work/indicators-measurement-and-reporting/hospital-acquired-complications-hacs" TargetMode="External"/><Relationship Id="rId27" Type="http://schemas.openxmlformats.org/officeDocument/2006/relationships/hyperlink" Target="https://www.safetyandquality.gov.au/our-work/partnering-consumers/person-centred-care" TargetMode="External"/><Relationship Id="rId30" Type="http://schemas.openxmlformats.org/officeDocument/2006/relationships/hyperlink" Target="https://journals.sagepub.com/toc/jpxa/12" TargetMode="External"/><Relationship Id="rId35" Type="http://schemas.openxmlformats.org/officeDocument/2006/relationships/hyperlink" Target="https://www.nice.org.uk/guidance/ng28" TargetMode="External"/><Relationship Id="rId43" Type="http://schemas.openxmlformats.org/officeDocument/2006/relationships/hyperlink" Target="http://www.safetyandquality.gov.au/environmental-cleaning"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iris.who.int/handle/10665/384851" TargetMode="External"/><Relationship Id="rId25" Type="http://schemas.openxmlformats.org/officeDocument/2006/relationships/hyperlink" Target="https://www.safetyandquality.gov.au/our-work/patient-and-consumer-centred-care/health-literacy" TargetMode="External"/><Relationship Id="rId33" Type="http://schemas.openxmlformats.org/officeDocument/2006/relationships/hyperlink" Target="https://livingevidence.org.au/" TargetMode="External"/><Relationship Id="rId38" Type="http://schemas.openxmlformats.org/officeDocument/2006/relationships/hyperlink" Target="https://effectivehealthcare.ahrq.gov/products/machine-learning-tools/white-paper" TargetMode="External"/><Relationship Id="rId46" Type="http://schemas.openxmlformats.org/officeDocument/2006/relationships/image" Target="media/image4.png"/><Relationship Id="rId20" Type="http://schemas.openxmlformats.org/officeDocument/2006/relationships/hyperlink" Target="https://www.safetyandquality.gov.au/our-work/environmentally-sustainable-healthcare" TargetMode="External"/><Relationship Id="rId41" Type="http://schemas.openxmlformats.org/officeDocument/2006/relationships/hyperlink" Target="https://www.safetyandquality.gov.au/publications-and-resources/resource-library/infection-prevention-and-control-poster-combined-airborne-and-contact-precautio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12</Pages>
  <Words>2950</Words>
  <Characters>19000</Characters>
  <Application>Microsoft Office Word</Application>
  <DocSecurity>0</DocSecurity>
  <Lines>391</Lines>
  <Paragraphs>146</Paragraphs>
  <ScaleCrop>false</ScaleCrop>
  <HeadingPairs>
    <vt:vector size="2" baseType="variant">
      <vt:variant>
        <vt:lpstr>Title</vt:lpstr>
      </vt:variant>
      <vt:variant>
        <vt:i4>1</vt:i4>
      </vt:variant>
    </vt:vector>
  </HeadingPairs>
  <TitlesOfParts>
    <vt:vector size="1" baseType="lpstr">
      <vt:lpstr>Draft On the Radar Issue 733</vt:lpstr>
    </vt:vector>
  </TitlesOfParts>
  <Company>ACSQHC</Company>
  <LinksUpToDate>false</LinksUpToDate>
  <CharactersWithSpaces>21866</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733</dc:title>
  <dc:subject/>
  <dc:creator>Dr Niall Johnson</dc:creator>
  <cp:keywords>On the Radar</cp:keywords>
  <dc:description/>
  <cp:lastModifiedBy>JOHNSON, Niall</cp:lastModifiedBy>
  <cp:revision>32</cp:revision>
  <cp:lastPrinted>2025-07-31T22:38:00Z</cp:lastPrinted>
  <dcterms:created xsi:type="dcterms:W3CDTF">2026-02-15T21:08:00Z</dcterms:created>
  <dcterms:modified xsi:type="dcterms:W3CDTF">2026-02-19T21:17:00Z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