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14CC1" w14:textId="77777777" w:rsidR="0050438D" w:rsidRDefault="00000000">
      <w:pPr>
        <w:spacing w:before="81" w:line="322" w:lineRule="exact"/>
        <w:ind w:right="151"/>
        <w:jc w:val="right"/>
        <w:rPr>
          <w:b/>
          <w:sz w:val="28"/>
        </w:rPr>
      </w:pPr>
      <w:r>
        <w:rPr>
          <w:b/>
          <w:spacing w:val="-2"/>
          <w:sz w:val="28"/>
        </w:rPr>
        <w:t>FACTSHEET</w:t>
      </w:r>
    </w:p>
    <w:p w14:paraId="6B3A46FA" w14:textId="77777777" w:rsidR="0050438D" w:rsidRDefault="00000000">
      <w:pPr>
        <w:spacing w:line="322" w:lineRule="exact"/>
        <w:ind w:right="155"/>
        <w:jc w:val="right"/>
        <w:rPr>
          <w:sz w:val="28"/>
        </w:rPr>
      </w:pPr>
      <w:r>
        <w:rPr>
          <w:sz w:val="28"/>
        </w:rPr>
        <w:t>Guidance</w:t>
      </w:r>
      <w:r>
        <w:rPr>
          <w:spacing w:val="-5"/>
          <w:sz w:val="28"/>
        </w:rPr>
        <w:t xml:space="preserve"> </w:t>
      </w:r>
      <w:r>
        <w:rPr>
          <w:sz w:val="28"/>
        </w:rPr>
        <w:t>for</w:t>
      </w:r>
      <w:r>
        <w:rPr>
          <w:spacing w:val="-4"/>
          <w:sz w:val="28"/>
        </w:rPr>
        <w:t xml:space="preserve"> </w:t>
      </w:r>
      <w:r>
        <w:rPr>
          <w:sz w:val="28"/>
        </w:rPr>
        <w:t>health</w:t>
      </w:r>
      <w:r>
        <w:rPr>
          <w:spacing w:val="-5"/>
          <w:sz w:val="28"/>
        </w:rPr>
        <w:t xml:space="preserve"> </w:t>
      </w:r>
      <w:r>
        <w:rPr>
          <w:sz w:val="28"/>
        </w:rPr>
        <w:t>service</w:t>
      </w:r>
      <w:r>
        <w:rPr>
          <w:spacing w:val="-5"/>
          <w:sz w:val="28"/>
        </w:rPr>
        <w:t xml:space="preserve"> </w:t>
      </w:r>
      <w:r>
        <w:rPr>
          <w:spacing w:val="-2"/>
          <w:sz w:val="28"/>
        </w:rPr>
        <w:t>organisations</w:t>
      </w:r>
    </w:p>
    <w:p w14:paraId="35C1CDDF" w14:textId="77777777" w:rsidR="0050438D" w:rsidRDefault="00000000">
      <w:pPr>
        <w:ind w:right="150"/>
        <w:jc w:val="right"/>
        <w:rPr>
          <w:sz w:val="28"/>
        </w:rPr>
      </w:pPr>
      <w:r>
        <w:rPr>
          <w:sz w:val="28"/>
        </w:rPr>
        <w:t>and</w:t>
      </w:r>
      <w:r>
        <w:rPr>
          <w:spacing w:val="-3"/>
          <w:sz w:val="28"/>
        </w:rPr>
        <w:t xml:space="preserve"> </w:t>
      </w:r>
      <w:r>
        <w:rPr>
          <w:spacing w:val="-2"/>
          <w:sz w:val="28"/>
        </w:rPr>
        <w:t>clinicians</w:t>
      </w:r>
    </w:p>
    <w:p w14:paraId="6703B0F6" w14:textId="77777777" w:rsidR="0050438D" w:rsidRDefault="00000000">
      <w:pPr>
        <w:pStyle w:val="Title"/>
      </w:pPr>
      <w:r>
        <w:rPr>
          <w:color w:val="00526F"/>
          <w:spacing w:val="-4"/>
        </w:rPr>
        <w:t>Preventing</w:t>
      </w:r>
      <w:r>
        <w:rPr>
          <w:color w:val="00526F"/>
          <w:spacing w:val="-21"/>
        </w:rPr>
        <w:t xml:space="preserve"> </w:t>
      </w:r>
      <w:r>
        <w:rPr>
          <w:color w:val="00526F"/>
          <w:spacing w:val="-4"/>
        </w:rPr>
        <w:t>harm</w:t>
      </w:r>
      <w:r>
        <w:rPr>
          <w:color w:val="00526F"/>
          <w:spacing w:val="-23"/>
        </w:rPr>
        <w:t xml:space="preserve"> </w:t>
      </w:r>
      <w:r>
        <w:rPr>
          <w:color w:val="00526F"/>
          <w:spacing w:val="-4"/>
        </w:rPr>
        <w:t>from</w:t>
      </w:r>
      <w:r>
        <w:rPr>
          <w:color w:val="00526F"/>
          <w:spacing w:val="-21"/>
        </w:rPr>
        <w:t xml:space="preserve"> </w:t>
      </w:r>
      <w:r>
        <w:rPr>
          <w:color w:val="00526F"/>
          <w:spacing w:val="-4"/>
        </w:rPr>
        <w:t>phenol</w:t>
      </w:r>
      <w:r>
        <w:rPr>
          <w:color w:val="00526F"/>
          <w:spacing w:val="-23"/>
        </w:rPr>
        <w:t xml:space="preserve"> </w:t>
      </w:r>
      <w:r>
        <w:rPr>
          <w:color w:val="00526F"/>
          <w:spacing w:val="-4"/>
        </w:rPr>
        <w:t>in</w:t>
      </w:r>
      <w:r>
        <w:rPr>
          <w:color w:val="00526F"/>
          <w:spacing w:val="-22"/>
        </w:rPr>
        <w:t xml:space="preserve"> </w:t>
      </w:r>
      <w:r>
        <w:rPr>
          <w:color w:val="00526F"/>
          <w:spacing w:val="-4"/>
        </w:rPr>
        <w:t>medical</w:t>
      </w:r>
      <w:r>
        <w:rPr>
          <w:color w:val="00526F"/>
          <w:spacing w:val="-21"/>
        </w:rPr>
        <w:t xml:space="preserve"> </w:t>
      </w:r>
      <w:r>
        <w:rPr>
          <w:color w:val="00526F"/>
          <w:spacing w:val="-4"/>
        </w:rPr>
        <w:t>imaging</w:t>
      </w:r>
    </w:p>
    <w:p w14:paraId="13A8BC1D" w14:textId="77777777" w:rsidR="0050438D" w:rsidRDefault="0050438D">
      <w:pPr>
        <w:pStyle w:val="BodyText"/>
        <w:spacing w:before="4"/>
        <w:ind w:left="0"/>
        <w:rPr>
          <w:b/>
          <w:sz w:val="10"/>
        </w:rPr>
      </w:pPr>
    </w:p>
    <w:tbl>
      <w:tblPr>
        <w:tblW w:w="0" w:type="auto"/>
        <w:tblInd w:w="140" w:type="dxa"/>
        <w:tblLayout w:type="fixed"/>
        <w:tblCellMar>
          <w:left w:w="0" w:type="dxa"/>
          <w:right w:w="0" w:type="dxa"/>
        </w:tblCellMar>
        <w:tblLook w:val="01E0" w:firstRow="1" w:lastRow="1" w:firstColumn="1" w:lastColumn="1" w:noHBand="0" w:noVBand="0"/>
      </w:tblPr>
      <w:tblGrid>
        <w:gridCol w:w="9693"/>
      </w:tblGrid>
      <w:tr w:rsidR="0050438D" w14:paraId="40FA5DFB" w14:textId="77777777">
        <w:trPr>
          <w:trHeight w:val="665"/>
        </w:trPr>
        <w:tc>
          <w:tcPr>
            <w:tcW w:w="9693" w:type="dxa"/>
            <w:shd w:val="clear" w:color="auto" w:fill="E6F0F8"/>
          </w:tcPr>
          <w:p w14:paraId="4B4569D8" w14:textId="77777777" w:rsidR="0050438D" w:rsidRDefault="00000000">
            <w:pPr>
              <w:pStyle w:val="TableParagraph"/>
              <w:spacing w:before="282"/>
              <w:ind w:left="286" w:firstLine="0"/>
              <w:rPr>
                <w:b/>
                <w:sz w:val="28"/>
              </w:rPr>
            </w:pPr>
            <w:r>
              <w:rPr>
                <w:b/>
                <w:color w:val="00526F"/>
                <w:sz w:val="28"/>
              </w:rPr>
              <w:t>Key</w:t>
            </w:r>
            <w:r>
              <w:rPr>
                <w:b/>
                <w:color w:val="00526F"/>
                <w:spacing w:val="-3"/>
                <w:sz w:val="28"/>
              </w:rPr>
              <w:t xml:space="preserve"> </w:t>
            </w:r>
            <w:r>
              <w:rPr>
                <w:b/>
                <w:color w:val="00526F"/>
                <w:spacing w:val="-2"/>
                <w:sz w:val="28"/>
              </w:rPr>
              <w:t>messages</w:t>
            </w:r>
          </w:p>
        </w:tc>
      </w:tr>
      <w:tr w:rsidR="0050438D" w14:paraId="66F52F49" w14:textId="77777777">
        <w:trPr>
          <w:trHeight w:val="4615"/>
        </w:trPr>
        <w:tc>
          <w:tcPr>
            <w:tcW w:w="9693" w:type="dxa"/>
            <w:shd w:val="clear" w:color="auto" w:fill="E6F0F8"/>
          </w:tcPr>
          <w:p w14:paraId="5FF45035" w14:textId="77777777" w:rsidR="0050438D" w:rsidRDefault="00000000">
            <w:pPr>
              <w:pStyle w:val="TableParagraph"/>
              <w:numPr>
                <w:ilvl w:val="0"/>
                <w:numId w:val="3"/>
              </w:numPr>
              <w:tabs>
                <w:tab w:val="left" w:pos="1006"/>
              </w:tabs>
              <w:spacing w:before="64" w:line="237" w:lineRule="auto"/>
              <w:ind w:right="1396"/>
            </w:pPr>
            <w:r>
              <w:t>Patient deaths</w:t>
            </w:r>
            <w:r>
              <w:rPr>
                <w:spacing w:val="-1"/>
              </w:rPr>
              <w:t xml:space="preserve"> </w:t>
            </w:r>
            <w:r>
              <w:t>have</w:t>
            </w:r>
            <w:r>
              <w:rPr>
                <w:spacing w:val="-1"/>
              </w:rPr>
              <w:t xml:space="preserve"> </w:t>
            </w:r>
            <w:r>
              <w:t>been</w:t>
            </w:r>
            <w:r>
              <w:rPr>
                <w:spacing w:val="-1"/>
              </w:rPr>
              <w:t xml:space="preserve"> </w:t>
            </w:r>
            <w:r>
              <w:t>associated</w:t>
            </w:r>
            <w:r>
              <w:rPr>
                <w:spacing w:val="-3"/>
              </w:rPr>
              <w:t xml:space="preserve"> </w:t>
            </w:r>
            <w:r>
              <w:t>with</w:t>
            </w:r>
            <w:r>
              <w:rPr>
                <w:spacing w:val="-3"/>
              </w:rPr>
              <w:t xml:space="preserve"> </w:t>
            </w:r>
            <w:r>
              <w:t>the</w:t>
            </w:r>
            <w:r>
              <w:rPr>
                <w:spacing w:val="-1"/>
              </w:rPr>
              <w:t xml:space="preserve"> </w:t>
            </w:r>
            <w:r>
              <w:t>inadvertent administration</w:t>
            </w:r>
            <w:r>
              <w:rPr>
                <w:spacing w:val="-1"/>
              </w:rPr>
              <w:t xml:space="preserve"> </w:t>
            </w:r>
            <w:r>
              <w:t>of concentrated</w:t>
            </w:r>
            <w:r>
              <w:rPr>
                <w:spacing w:val="-6"/>
              </w:rPr>
              <w:t xml:space="preserve"> </w:t>
            </w:r>
            <w:r>
              <w:t>phenol</w:t>
            </w:r>
            <w:r>
              <w:rPr>
                <w:spacing w:val="-5"/>
              </w:rPr>
              <w:t xml:space="preserve"> </w:t>
            </w:r>
            <w:r>
              <w:t>in</w:t>
            </w:r>
            <w:r>
              <w:rPr>
                <w:spacing w:val="-5"/>
              </w:rPr>
              <w:t xml:space="preserve"> </w:t>
            </w:r>
            <w:r>
              <w:t>medical</w:t>
            </w:r>
            <w:r>
              <w:rPr>
                <w:spacing w:val="-5"/>
              </w:rPr>
              <w:t xml:space="preserve"> </w:t>
            </w:r>
            <w:r>
              <w:t>imaging</w:t>
            </w:r>
            <w:r>
              <w:rPr>
                <w:spacing w:val="-4"/>
              </w:rPr>
              <w:t xml:space="preserve"> </w:t>
            </w:r>
            <w:r>
              <w:t>settings</w:t>
            </w:r>
            <w:r>
              <w:rPr>
                <w:spacing w:val="-6"/>
              </w:rPr>
              <w:t xml:space="preserve"> </w:t>
            </w:r>
            <w:r>
              <w:t>in</w:t>
            </w:r>
            <w:r>
              <w:rPr>
                <w:spacing w:val="-4"/>
              </w:rPr>
              <w:t xml:space="preserve"> </w:t>
            </w:r>
            <w:r>
              <w:t>Australia</w:t>
            </w:r>
            <w:r>
              <w:rPr>
                <w:spacing w:val="-4"/>
              </w:rPr>
              <w:t xml:space="preserve"> </w:t>
            </w:r>
            <w:r>
              <w:t>and</w:t>
            </w:r>
            <w:r>
              <w:rPr>
                <w:spacing w:val="-4"/>
              </w:rPr>
              <w:t xml:space="preserve"> </w:t>
            </w:r>
            <w:r>
              <w:t>overseas.</w:t>
            </w:r>
          </w:p>
          <w:p w14:paraId="3AB5DBEB" w14:textId="77777777" w:rsidR="0050438D" w:rsidRDefault="00000000">
            <w:pPr>
              <w:pStyle w:val="TableParagraph"/>
              <w:numPr>
                <w:ilvl w:val="0"/>
                <w:numId w:val="3"/>
              </w:numPr>
              <w:tabs>
                <w:tab w:val="left" w:pos="1006"/>
              </w:tabs>
              <w:spacing w:line="237" w:lineRule="auto"/>
              <w:ind w:right="781"/>
            </w:pPr>
            <w:r>
              <w:t>Concentrated</w:t>
            </w:r>
            <w:r>
              <w:rPr>
                <w:spacing w:val="-4"/>
              </w:rPr>
              <w:t xml:space="preserve"> </w:t>
            </w:r>
            <w:r>
              <w:t>80%</w:t>
            </w:r>
            <w:r>
              <w:rPr>
                <w:spacing w:val="-3"/>
              </w:rPr>
              <w:t xml:space="preserve"> </w:t>
            </w:r>
            <w:r>
              <w:t>phenol</w:t>
            </w:r>
            <w:r>
              <w:rPr>
                <w:spacing w:val="-3"/>
              </w:rPr>
              <w:t xml:space="preserve"> </w:t>
            </w:r>
            <w:r>
              <w:t>should</w:t>
            </w:r>
            <w:r>
              <w:rPr>
                <w:spacing w:val="-4"/>
              </w:rPr>
              <w:t xml:space="preserve"> </w:t>
            </w:r>
            <w:r>
              <w:t>only</w:t>
            </w:r>
            <w:r>
              <w:rPr>
                <w:spacing w:val="-3"/>
              </w:rPr>
              <w:t xml:space="preserve"> </w:t>
            </w:r>
            <w:r>
              <w:t>be</w:t>
            </w:r>
            <w:r>
              <w:rPr>
                <w:spacing w:val="-4"/>
              </w:rPr>
              <w:t xml:space="preserve"> </w:t>
            </w:r>
            <w:r>
              <w:t>used</w:t>
            </w:r>
            <w:r>
              <w:rPr>
                <w:spacing w:val="-4"/>
              </w:rPr>
              <w:t xml:space="preserve"> </w:t>
            </w:r>
            <w:r>
              <w:t>in</w:t>
            </w:r>
            <w:r>
              <w:rPr>
                <w:spacing w:val="-6"/>
              </w:rPr>
              <w:t xml:space="preserve"> </w:t>
            </w:r>
            <w:r>
              <w:t>health</w:t>
            </w:r>
            <w:r>
              <w:rPr>
                <w:spacing w:val="-4"/>
              </w:rPr>
              <w:t xml:space="preserve"> </w:t>
            </w:r>
            <w:r>
              <w:t>service</w:t>
            </w:r>
            <w:r>
              <w:rPr>
                <w:spacing w:val="-4"/>
              </w:rPr>
              <w:t xml:space="preserve"> </w:t>
            </w:r>
            <w:r>
              <w:t>organisations</w:t>
            </w:r>
            <w:r>
              <w:rPr>
                <w:spacing w:val="-1"/>
              </w:rPr>
              <w:t xml:space="preserve"> </w:t>
            </w:r>
            <w:r>
              <w:t>for the purpose of podiatric nail surgery.</w:t>
            </w:r>
          </w:p>
          <w:p w14:paraId="6DC297F7" w14:textId="77777777" w:rsidR="0050438D" w:rsidRDefault="00000000">
            <w:pPr>
              <w:pStyle w:val="TableParagraph"/>
              <w:numPr>
                <w:ilvl w:val="0"/>
                <w:numId w:val="3"/>
              </w:numPr>
              <w:tabs>
                <w:tab w:val="left" w:pos="1006"/>
              </w:tabs>
              <w:spacing w:before="2"/>
              <w:ind w:right="822"/>
            </w:pPr>
            <w:r>
              <w:t>Appropriate arrangements should be made for storage of concentrated 80% phenol for podiatric nail surgery. For other purposes, concentrated phenol 80% should</w:t>
            </w:r>
            <w:r>
              <w:rPr>
                <w:spacing w:val="-3"/>
              </w:rPr>
              <w:t xml:space="preserve"> </w:t>
            </w:r>
            <w:r>
              <w:t>only</w:t>
            </w:r>
            <w:r>
              <w:rPr>
                <w:spacing w:val="-3"/>
              </w:rPr>
              <w:t xml:space="preserve"> </w:t>
            </w:r>
            <w:r>
              <w:t>be</w:t>
            </w:r>
            <w:r>
              <w:rPr>
                <w:spacing w:val="-3"/>
              </w:rPr>
              <w:t xml:space="preserve"> </w:t>
            </w:r>
            <w:r>
              <w:t>stored</w:t>
            </w:r>
            <w:r>
              <w:rPr>
                <w:spacing w:val="-3"/>
              </w:rPr>
              <w:t xml:space="preserve"> </w:t>
            </w:r>
            <w:r>
              <w:t>with</w:t>
            </w:r>
            <w:r>
              <w:rPr>
                <w:spacing w:val="-3"/>
              </w:rPr>
              <w:t xml:space="preserve"> </w:t>
            </w:r>
            <w:r>
              <w:t>pharmacy</w:t>
            </w:r>
            <w:r>
              <w:rPr>
                <w:spacing w:val="-5"/>
              </w:rPr>
              <w:t xml:space="preserve"> </w:t>
            </w:r>
            <w:r>
              <w:t>services</w:t>
            </w:r>
            <w:r>
              <w:rPr>
                <w:spacing w:val="-5"/>
              </w:rPr>
              <w:t xml:space="preserve"> </w:t>
            </w:r>
            <w:r>
              <w:t>where</w:t>
            </w:r>
            <w:r>
              <w:rPr>
                <w:spacing w:val="-3"/>
              </w:rPr>
              <w:t xml:space="preserve"> </w:t>
            </w:r>
            <w:r>
              <w:t>appropriate</w:t>
            </w:r>
            <w:r>
              <w:rPr>
                <w:spacing w:val="-5"/>
              </w:rPr>
              <w:t xml:space="preserve"> </w:t>
            </w:r>
            <w:r>
              <w:t>dilutions</w:t>
            </w:r>
            <w:r>
              <w:rPr>
                <w:spacing w:val="-5"/>
              </w:rPr>
              <w:t xml:space="preserve"> </w:t>
            </w:r>
            <w:r>
              <w:t>can</w:t>
            </w:r>
            <w:r>
              <w:rPr>
                <w:spacing w:val="-3"/>
              </w:rPr>
              <w:t xml:space="preserve"> </w:t>
            </w:r>
            <w:r>
              <w:t>be prepared, should they be required.</w:t>
            </w:r>
          </w:p>
          <w:p w14:paraId="5D4CD783" w14:textId="77777777" w:rsidR="0050438D" w:rsidRDefault="00000000">
            <w:pPr>
              <w:pStyle w:val="TableParagraph"/>
              <w:numPr>
                <w:ilvl w:val="0"/>
                <w:numId w:val="3"/>
              </w:numPr>
              <w:tabs>
                <w:tab w:val="left" w:pos="1006"/>
              </w:tabs>
              <w:spacing w:before="1" w:line="237" w:lineRule="auto"/>
              <w:ind w:right="1284"/>
            </w:pPr>
            <w:r>
              <w:t>Concentrated</w:t>
            </w:r>
            <w:r>
              <w:rPr>
                <w:spacing w:val="-3"/>
              </w:rPr>
              <w:t xml:space="preserve"> </w:t>
            </w:r>
            <w:r>
              <w:t>phenol</w:t>
            </w:r>
            <w:r>
              <w:rPr>
                <w:spacing w:val="-4"/>
              </w:rPr>
              <w:t xml:space="preserve"> </w:t>
            </w:r>
            <w:r>
              <w:t>80%</w:t>
            </w:r>
            <w:r>
              <w:rPr>
                <w:spacing w:val="-2"/>
              </w:rPr>
              <w:t xml:space="preserve"> </w:t>
            </w:r>
            <w:r>
              <w:t>should</w:t>
            </w:r>
            <w:r>
              <w:rPr>
                <w:spacing w:val="-3"/>
              </w:rPr>
              <w:t xml:space="preserve"> </w:t>
            </w:r>
            <w:r>
              <w:t>be</w:t>
            </w:r>
            <w:r>
              <w:rPr>
                <w:spacing w:val="-5"/>
              </w:rPr>
              <w:t xml:space="preserve"> </w:t>
            </w:r>
            <w:r>
              <w:t>removed</w:t>
            </w:r>
            <w:r>
              <w:rPr>
                <w:spacing w:val="-5"/>
              </w:rPr>
              <w:t xml:space="preserve"> </w:t>
            </w:r>
            <w:r>
              <w:t>from</w:t>
            </w:r>
            <w:r>
              <w:rPr>
                <w:spacing w:val="-1"/>
              </w:rPr>
              <w:t xml:space="preserve"> </w:t>
            </w:r>
            <w:r>
              <w:t>clinical</w:t>
            </w:r>
            <w:r>
              <w:rPr>
                <w:spacing w:val="-3"/>
              </w:rPr>
              <w:t xml:space="preserve"> </w:t>
            </w:r>
            <w:r>
              <w:t>settings,</w:t>
            </w:r>
            <w:r>
              <w:rPr>
                <w:spacing w:val="-4"/>
              </w:rPr>
              <w:t xml:space="preserve"> </w:t>
            </w:r>
            <w:r>
              <w:t>such</w:t>
            </w:r>
            <w:r>
              <w:rPr>
                <w:spacing w:val="-8"/>
              </w:rPr>
              <w:t xml:space="preserve"> </w:t>
            </w:r>
            <w:r>
              <w:t>as medical imaging, to reduce the risk of harm to patients.</w:t>
            </w:r>
          </w:p>
          <w:p w14:paraId="67F4B54C" w14:textId="77777777" w:rsidR="0050438D" w:rsidRDefault="00000000">
            <w:pPr>
              <w:pStyle w:val="TableParagraph"/>
              <w:numPr>
                <w:ilvl w:val="0"/>
                <w:numId w:val="3"/>
              </w:numPr>
              <w:tabs>
                <w:tab w:val="left" w:pos="1006"/>
              </w:tabs>
              <w:spacing w:line="237" w:lineRule="auto"/>
              <w:ind w:right="856"/>
            </w:pPr>
            <w:r>
              <w:t>If</w:t>
            </w:r>
            <w:r>
              <w:rPr>
                <w:spacing w:val="-3"/>
              </w:rPr>
              <w:t xml:space="preserve"> </w:t>
            </w:r>
            <w:r>
              <w:t>phenol</w:t>
            </w:r>
            <w:r>
              <w:rPr>
                <w:spacing w:val="-3"/>
              </w:rPr>
              <w:t xml:space="preserve"> </w:t>
            </w:r>
            <w:r>
              <w:t>is</w:t>
            </w:r>
            <w:r>
              <w:rPr>
                <w:spacing w:val="-4"/>
              </w:rPr>
              <w:t xml:space="preserve"> </w:t>
            </w:r>
            <w:r>
              <w:t>to</w:t>
            </w:r>
            <w:r>
              <w:rPr>
                <w:spacing w:val="-2"/>
              </w:rPr>
              <w:t xml:space="preserve"> </w:t>
            </w:r>
            <w:r>
              <w:t>be</w:t>
            </w:r>
            <w:r>
              <w:rPr>
                <w:spacing w:val="-4"/>
              </w:rPr>
              <w:t xml:space="preserve"> </w:t>
            </w:r>
            <w:r>
              <w:t>used</w:t>
            </w:r>
            <w:r>
              <w:rPr>
                <w:spacing w:val="-4"/>
              </w:rPr>
              <w:t xml:space="preserve"> </w:t>
            </w:r>
            <w:r>
              <w:t>as</w:t>
            </w:r>
            <w:r>
              <w:rPr>
                <w:spacing w:val="-4"/>
              </w:rPr>
              <w:t xml:space="preserve"> </w:t>
            </w:r>
            <w:r>
              <w:t>a</w:t>
            </w:r>
            <w:r>
              <w:rPr>
                <w:spacing w:val="-2"/>
              </w:rPr>
              <w:t xml:space="preserve"> </w:t>
            </w:r>
            <w:r>
              <w:t>sclerosant, it</w:t>
            </w:r>
            <w:r>
              <w:rPr>
                <w:spacing w:val="-5"/>
              </w:rPr>
              <w:t xml:space="preserve"> </w:t>
            </w:r>
            <w:r>
              <w:t>must</w:t>
            </w:r>
            <w:r>
              <w:rPr>
                <w:spacing w:val="-3"/>
              </w:rPr>
              <w:t xml:space="preserve"> </w:t>
            </w:r>
            <w:r>
              <w:t>be</w:t>
            </w:r>
            <w:r>
              <w:rPr>
                <w:spacing w:val="-4"/>
              </w:rPr>
              <w:t xml:space="preserve"> </w:t>
            </w:r>
            <w:r>
              <w:t>pre-prepared</w:t>
            </w:r>
            <w:r>
              <w:rPr>
                <w:spacing w:val="-4"/>
              </w:rPr>
              <w:t xml:space="preserve"> </w:t>
            </w:r>
            <w:r>
              <w:t>to</w:t>
            </w:r>
            <w:r>
              <w:rPr>
                <w:spacing w:val="-4"/>
              </w:rPr>
              <w:t xml:space="preserve"> </w:t>
            </w:r>
            <w:r>
              <w:t>an</w:t>
            </w:r>
            <w:r>
              <w:rPr>
                <w:spacing w:val="-2"/>
              </w:rPr>
              <w:t xml:space="preserve"> </w:t>
            </w:r>
            <w:r>
              <w:t>appropriate dilution and in a ready-for-use presentation.</w:t>
            </w:r>
          </w:p>
          <w:p w14:paraId="31DC165A" w14:textId="77777777" w:rsidR="0050438D" w:rsidRDefault="00000000">
            <w:pPr>
              <w:pStyle w:val="TableParagraph"/>
              <w:numPr>
                <w:ilvl w:val="0"/>
                <w:numId w:val="3"/>
              </w:numPr>
              <w:tabs>
                <w:tab w:val="left" w:pos="1006"/>
              </w:tabs>
              <w:spacing w:before="4" w:line="237" w:lineRule="auto"/>
              <w:ind w:right="426"/>
            </w:pPr>
            <w:r>
              <w:t>Alternatives</w:t>
            </w:r>
            <w:r>
              <w:rPr>
                <w:spacing w:val="-4"/>
              </w:rPr>
              <w:t xml:space="preserve"> </w:t>
            </w:r>
            <w:r>
              <w:t>to</w:t>
            </w:r>
            <w:r>
              <w:rPr>
                <w:spacing w:val="-4"/>
              </w:rPr>
              <w:t xml:space="preserve"> </w:t>
            </w:r>
            <w:r>
              <w:t>phenol</w:t>
            </w:r>
            <w:r>
              <w:rPr>
                <w:spacing w:val="-2"/>
              </w:rPr>
              <w:t xml:space="preserve"> </w:t>
            </w:r>
            <w:r>
              <w:t>for</w:t>
            </w:r>
            <w:r>
              <w:rPr>
                <w:spacing w:val="-3"/>
              </w:rPr>
              <w:t xml:space="preserve"> </w:t>
            </w:r>
            <w:r>
              <w:t>use</w:t>
            </w:r>
            <w:r>
              <w:rPr>
                <w:spacing w:val="-2"/>
              </w:rPr>
              <w:t xml:space="preserve"> </w:t>
            </w:r>
            <w:r>
              <w:t>as</w:t>
            </w:r>
            <w:r>
              <w:rPr>
                <w:spacing w:val="-4"/>
              </w:rPr>
              <w:t xml:space="preserve"> </w:t>
            </w:r>
            <w:r>
              <w:t>a</w:t>
            </w:r>
            <w:r>
              <w:rPr>
                <w:spacing w:val="-4"/>
              </w:rPr>
              <w:t xml:space="preserve"> </w:t>
            </w:r>
            <w:r>
              <w:t>sclerosant are</w:t>
            </w:r>
            <w:r>
              <w:rPr>
                <w:spacing w:val="-4"/>
              </w:rPr>
              <w:t xml:space="preserve"> </w:t>
            </w:r>
            <w:r>
              <w:t>readily</w:t>
            </w:r>
            <w:r>
              <w:rPr>
                <w:spacing w:val="-1"/>
              </w:rPr>
              <w:t xml:space="preserve"> </w:t>
            </w:r>
            <w:r>
              <w:t>available</w:t>
            </w:r>
            <w:r>
              <w:rPr>
                <w:spacing w:val="-2"/>
              </w:rPr>
              <w:t xml:space="preserve"> </w:t>
            </w:r>
            <w:r>
              <w:t>and</w:t>
            </w:r>
            <w:r>
              <w:rPr>
                <w:spacing w:val="-2"/>
              </w:rPr>
              <w:t xml:space="preserve"> </w:t>
            </w:r>
            <w:r>
              <w:t>do</w:t>
            </w:r>
            <w:r>
              <w:rPr>
                <w:spacing w:val="-4"/>
              </w:rPr>
              <w:t xml:space="preserve"> </w:t>
            </w:r>
            <w:r>
              <w:t>not</w:t>
            </w:r>
            <w:r>
              <w:rPr>
                <w:spacing w:val="-3"/>
              </w:rPr>
              <w:t xml:space="preserve"> </w:t>
            </w:r>
            <w:r>
              <w:t>require dilution, for instance dehydrated alcohol BP (ethanol 100%).</w:t>
            </w:r>
          </w:p>
          <w:p w14:paraId="63524A31" w14:textId="77777777" w:rsidR="0050438D" w:rsidRDefault="00000000">
            <w:pPr>
              <w:pStyle w:val="TableParagraph"/>
              <w:numPr>
                <w:ilvl w:val="0"/>
                <w:numId w:val="3"/>
              </w:numPr>
              <w:tabs>
                <w:tab w:val="left" w:pos="1006"/>
              </w:tabs>
              <w:spacing w:before="4" w:line="237" w:lineRule="auto"/>
              <w:ind w:right="741"/>
            </w:pPr>
            <w:r>
              <w:t>Local</w:t>
            </w:r>
            <w:r>
              <w:rPr>
                <w:spacing w:val="-4"/>
              </w:rPr>
              <w:t xml:space="preserve"> </w:t>
            </w:r>
            <w:r>
              <w:t>policies,</w:t>
            </w:r>
            <w:r>
              <w:rPr>
                <w:spacing w:val="-2"/>
              </w:rPr>
              <w:t xml:space="preserve"> </w:t>
            </w:r>
            <w:r>
              <w:t>procedures</w:t>
            </w:r>
            <w:r>
              <w:rPr>
                <w:spacing w:val="-2"/>
              </w:rPr>
              <w:t xml:space="preserve"> </w:t>
            </w:r>
            <w:r>
              <w:t>and</w:t>
            </w:r>
            <w:r>
              <w:rPr>
                <w:spacing w:val="-3"/>
              </w:rPr>
              <w:t xml:space="preserve"> </w:t>
            </w:r>
            <w:r>
              <w:t>guidelines</w:t>
            </w:r>
            <w:r>
              <w:rPr>
                <w:spacing w:val="-3"/>
              </w:rPr>
              <w:t xml:space="preserve"> </w:t>
            </w:r>
            <w:r>
              <w:t>should</w:t>
            </w:r>
            <w:r>
              <w:rPr>
                <w:spacing w:val="-5"/>
              </w:rPr>
              <w:t xml:space="preserve"> </w:t>
            </w:r>
            <w:r>
              <w:t>specify</w:t>
            </w:r>
            <w:r>
              <w:rPr>
                <w:spacing w:val="-3"/>
              </w:rPr>
              <w:t xml:space="preserve"> </w:t>
            </w:r>
            <w:r>
              <w:t>which</w:t>
            </w:r>
            <w:r>
              <w:rPr>
                <w:spacing w:val="-5"/>
              </w:rPr>
              <w:t xml:space="preserve"> </w:t>
            </w:r>
            <w:r>
              <w:t>sclerosant</w:t>
            </w:r>
            <w:r>
              <w:rPr>
                <w:spacing w:val="-4"/>
              </w:rPr>
              <w:t xml:space="preserve"> </w:t>
            </w:r>
            <w:r>
              <w:t>is</w:t>
            </w:r>
            <w:r>
              <w:rPr>
                <w:spacing w:val="-2"/>
              </w:rPr>
              <w:t xml:space="preserve"> </w:t>
            </w:r>
            <w:r>
              <w:t>to</w:t>
            </w:r>
            <w:r>
              <w:rPr>
                <w:spacing w:val="-3"/>
              </w:rPr>
              <w:t xml:space="preserve"> </w:t>
            </w:r>
            <w:r>
              <w:t>be used for procedures and include instructions for use.</w:t>
            </w:r>
          </w:p>
        </w:tc>
      </w:tr>
    </w:tbl>
    <w:p w14:paraId="6723FC87" w14:textId="77777777" w:rsidR="0050438D" w:rsidRDefault="00000000">
      <w:pPr>
        <w:pStyle w:val="Heading1"/>
        <w:spacing w:before="243"/>
      </w:pPr>
      <w:r>
        <w:rPr>
          <w:color w:val="00526F"/>
          <w:spacing w:val="-2"/>
        </w:rPr>
        <w:t>Purpose</w:t>
      </w:r>
    </w:p>
    <w:p w14:paraId="6A9BAE4B" w14:textId="77777777" w:rsidR="0050438D" w:rsidRDefault="00000000">
      <w:pPr>
        <w:spacing w:before="239"/>
        <w:ind w:left="416"/>
        <w:rPr>
          <w:b/>
        </w:rPr>
      </w:pPr>
      <w:r>
        <w:rPr>
          <w:noProof/>
        </w:rPr>
        <mc:AlternateContent>
          <mc:Choice Requires="wps">
            <w:drawing>
              <wp:anchor distT="0" distB="0" distL="0" distR="0" simplePos="0" relativeHeight="15728640" behindDoc="0" locked="0" layoutInCell="1" allowOverlap="1" wp14:anchorId="0219D98D" wp14:editId="34BBAF52">
                <wp:simplePos x="0" y="0"/>
                <wp:positionH relativeFrom="page">
                  <wp:posOffset>704088</wp:posOffset>
                </wp:positionH>
                <wp:positionV relativeFrom="paragraph">
                  <wp:posOffset>152165</wp:posOffset>
                </wp:positionV>
                <wp:extent cx="76200" cy="3981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98145"/>
                        </a:xfrm>
                        <a:custGeom>
                          <a:avLst/>
                          <a:gdLst/>
                          <a:ahLst/>
                          <a:cxnLst/>
                          <a:rect l="l" t="t" r="r" b="b"/>
                          <a:pathLst>
                            <a:path w="76200" h="398145">
                              <a:moveTo>
                                <a:pt x="76200" y="0"/>
                              </a:moveTo>
                              <a:lnTo>
                                <a:pt x="0" y="0"/>
                              </a:lnTo>
                              <a:lnTo>
                                <a:pt x="0" y="160020"/>
                              </a:lnTo>
                              <a:lnTo>
                                <a:pt x="0" y="397764"/>
                              </a:lnTo>
                              <a:lnTo>
                                <a:pt x="76200" y="397764"/>
                              </a:lnTo>
                              <a:lnTo>
                                <a:pt x="76200" y="160020"/>
                              </a:lnTo>
                              <a:lnTo>
                                <a:pt x="76200" y="0"/>
                              </a:lnTo>
                              <a:close/>
                            </a:path>
                          </a:pathLst>
                        </a:custGeom>
                        <a:solidFill>
                          <a:srgbClr val="11789F"/>
                        </a:solidFill>
                      </wps:spPr>
                      <wps:bodyPr wrap="square" lIns="0" tIns="0" rIns="0" bIns="0" rtlCol="0">
                        <a:prstTxWarp prst="textNoShape">
                          <a:avLst/>
                        </a:prstTxWarp>
                        <a:noAutofit/>
                      </wps:bodyPr>
                    </wps:wsp>
                  </a:graphicData>
                </a:graphic>
              </wp:anchor>
            </w:drawing>
          </mc:Choice>
          <mc:Fallback>
            <w:pict>
              <v:shape w14:anchorId="1D80EC66" id="Graphic 4" o:spid="_x0000_s1026" style="position:absolute;margin-left:55.45pt;margin-top:12pt;width:6pt;height:31.35pt;z-index:15728640;visibility:visible;mso-wrap-style:square;mso-wrap-distance-left:0;mso-wrap-distance-top:0;mso-wrap-distance-right:0;mso-wrap-distance-bottom:0;mso-position-horizontal:absolute;mso-position-horizontal-relative:page;mso-position-vertical:absolute;mso-position-vertical-relative:text;v-text-anchor:top" coordsize="76200,39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" path="m76200,l,,,160020,,397764r76200,l76200,160020,76200,xe" fillcolor="#11789f" stroked="f">
                <v:path arrowok="t"/>
                <w10:wrap anchorx="page"/>
              </v:shape>
            </w:pict>
          </mc:Fallback>
        </mc:AlternateContent>
      </w:r>
      <w:r>
        <w:rPr>
          <w:b/>
        </w:rPr>
        <w:t>This</w:t>
      </w:r>
      <w:r>
        <w:rPr>
          <w:b/>
          <w:spacing w:val="-4"/>
        </w:rPr>
        <w:t xml:space="preserve"> </w:t>
      </w:r>
      <w:r>
        <w:rPr>
          <w:b/>
        </w:rPr>
        <w:t>fact</w:t>
      </w:r>
      <w:r>
        <w:rPr>
          <w:b/>
          <w:spacing w:val="-3"/>
        </w:rPr>
        <w:t xml:space="preserve"> </w:t>
      </w:r>
      <w:r>
        <w:rPr>
          <w:b/>
        </w:rPr>
        <w:t>sheet</w:t>
      </w:r>
      <w:r>
        <w:rPr>
          <w:b/>
          <w:spacing w:val="-3"/>
        </w:rPr>
        <w:t xml:space="preserve"> </w:t>
      </w:r>
      <w:r>
        <w:rPr>
          <w:b/>
        </w:rPr>
        <w:t>provides</w:t>
      </w:r>
      <w:r>
        <w:rPr>
          <w:b/>
          <w:spacing w:val="-2"/>
        </w:rPr>
        <w:t xml:space="preserve"> </w:t>
      </w:r>
      <w:r>
        <w:rPr>
          <w:b/>
        </w:rPr>
        <w:t>guidance</w:t>
      </w:r>
      <w:r>
        <w:rPr>
          <w:b/>
          <w:spacing w:val="-4"/>
        </w:rPr>
        <w:t xml:space="preserve"> </w:t>
      </w:r>
      <w:r>
        <w:rPr>
          <w:b/>
        </w:rPr>
        <w:t>on</w:t>
      </w:r>
      <w:r>
        <w:rPr>
          <w:b/>
          <w:spacing w:val="-5"/>
        </w:rPr>
        <w:t xml:space="preserve"> </w:t>
      </w:r>
      <w:r>
        <w:rPr>
          <w:b/>
        </w:rPr>
        <w:t>the</w:t>
      </w:r>
      <w:r>
        <w:rPr>
          <w:b/>
          <w:spacing w:val="-1"/>
        </w:rPr>
        <w:t xml:space="preserve"> </w:t>
      </w:r>
      <w:r>
        <w:rPr>
          <w:b/>
        </w:rPr>
        <w:t>storage</w:t>
      </w:r>
      <w:r>
        <w:rPr>
          <w:b/>
          <w:spacing w:val="-2"/>
        </w:rPr>
        <w:t xml:space="preserve"> </w:t>
      </w:r>
      <w:r>
        <w:rPr>
          <w:b/>
        </w:rPr>
        <w:t>and</w:t>
      </w:r>
      <w:r>
        <w:rPr>
          <w:b/>
          <w:spacing w:val="-4"/>
        </w:rPr>
        <w:t xml:space="preserve"> </w:t>
      </w:r>
      <w:r>
        <w:rPr>
          <w:b/>
        </w:rPr>
        <w:t>management of concentrated</w:t>
      </w:r>
      <w:r>
        <w:rPr>
          <w:b/>
          <w:spacing w:val="-5"/>
        </w:rPr>
        <w:t xml:space="preserve"> </w:t>
      </w:r>
      <w:r>
        <w:rPr>
          <w:b/>
        </w:rPr>
        <w:t>80% phenol in Australian clinical settings, other than podiatry.</w:t>
      </w:r>
    </w:p>
    <w:p w14:paraId="717A589F" w14:textId="77777777" w:rsidR="0050438D" w:rsidRDefault="0050438D">
      <w:pPr>
        <w:pStyle w:val="BodyText"/>
        <w:spacing w:before="25"/>
        <w:ind w:left="0"/>
        <w:rPr>
          <w:b/>
          <w:sz w:val="24"/>
        </w:rPr>
      </w:pPr>
    </w:p>
    <w:p w14:paraId="7DA6C2BF" w14:textId="77777777" w:rsidR="0050438D" w:rsidRDefault="00000000">
      <w:pPr>
        <w:pStyle w:val="Heading2"/>
      </w:pPr>
      <w:r>
        <w:t>Out of</w:t>
      </w:r>
      <w:r>
        <w:rPr>
          <w:spacing w:val="-1"/>
        </w:rPr>
        <w:t xml:space="preserve"> </w:t>
      </w:r>
      <w:r>
        <w:rPr>
          <w:spacing w:val="-2"/>
        </w:rPr>
        <w:t>scope</w:t>
      </w:r>
    </w:p>
    <w:p w14:paraId="018A0450" w14:textId="77777777" w:rsidR="0050438D" w:rsidRDefault="00000000">
      <w:pPr>
        <w:pStyle w:val="BodyText"/>
        <w:spacing w:before="180"/>
      </w:pPr>
      <w:r>
        <w:t>This</w:t>
      </w:r>
      <w:r>
        <w:rPr>
          <w:spacing w:val="-7"/>
        </w:rPr>
        <w:t xml:space="preserve"> </w:t>
      </w:r>
      <w:r>
        <w:t>guidance</w:t>
      </w:r>
      <w:r>
        <w:rPr>
          <w:spacing w:val="-5"/>
        </w:rPr>
        <w:t xml:space="preserve"> </w:t>
      </w:r>
      <w:r>
        <w:t>does</w:t>
      </w:r>
      <w:r>
        <w:rPr>
          <w:spacing w:val="-7"/>
        </w:rPr>
        <w:t xml:space="preserve"> </w:t>
      </w:r>
      <w:r>
        <w:t>not</w:t>
      </w:r>
      <w:r>
        <w:rPr>
          <w:spacing w:val="-8"/>
        </w:rPr>
        <w:t xml:space="preserve"> </w:t>
      </w:r>
      <w:r>
        <w:t>provide</w:t>
      </w:r>
      <w:r>
        <w:rPr>
          <w:spacing w:val="-4"/>
        </w:rPr>
        <w:t xml:space="preserve"> </w:t>
      </w:r>
      <w:r>
        <w:t>clinical</w:t>
      </w:r>
      <w:r>
        <w:rPr>
          <w:spacing w:val="-5"/>
        </w:rPr>
        <w:t xml:space="preserve"> </w:t>
      </w:r>
      <w:r>
        <w:t>guidance</w:t>
      </w:r>
      <w:r>
        <w:rPr>
          <w:spacing w:val="-5"/>
        </w:rPr>
        <w:t xml:space="preserve"> </w:t>
      </w:r>
      <w:r>
        <w:t>for</w:t>
      </w:r>
      <w:r>
        <w:rPr>
          <w:spacing w:val="-3"/>
        </w:rPr>
        <w:t xml:space="preserve"> </w:t>
      </w:r>
      <w:r>
        <w:t>using</w:t>
      </w:r>
      <w:r>
        <w:rPr>
          <w:spacing w:val="-5"/>
        </w:rPr>
        <w:t xml:space="preserve"> </w:t>
      </w:r>
      <w:r>
        <w:t>or</w:t>
      </w:r>
      <w:r>
        <w:rPr>
          <w:spacing w:val="-6"/>
        </w:rPr>
        <w:t xml:space="preserve"> </w:t>
      </w:r>
      <w:r>
        <w:rPr>
          <w:spacing w:val="-2"/>
        </w:rPr>
        <w:t>storing:</w:t>
      </w:r>
    </w:p>
    <w:p w14:paraId="26D42C55" w14:textId="77777777" w:rsidR="0050438D" w:rsidRDefault="00000000">
      <w:pPr>
        <w:pStyle w:val="ListParagraph"/>
        <w:numPr>
          <w:ilvl w:val="0"/>
          <w:numId w:val="2"/>
        </w:numPr>
        <w:tabs>
          <w:tab w:val="left" w:pos="853"/>
        </w:tabs>
        <w:spacing w:before="121" w:line="269" w:lineRule="exact"/>
      </w:pPr>
      <w:r>
        <w:t>Medicines,</w:t>
      </w:r>
      <w:r>
        <w:rPr>
          <w:spacing w:val="-7"/>
        </w:rPr>
        <w:t xml:space="preserve"> </w:t>
      </w:r>
      <w:r>
        <w:t>and</w:t>
      </w:r>
      <w:r>
        <w:rPr>
          <w:spacing w:val="-8"/>
        </w:rPr>
        <w:t xml:space="preserve"> </w:t>
      </w:r>
      <w:r>
        <w:t>biologicals</w:t>
      </w:r>
      <w:r>
        <w:rPr>
          <w:spacing w:val="-5"/>
        </w:rPr>
        <w:t xml:space="preserve"> </w:t>
      </w:r>
      <w:r>
        <w:t>and</w:t>
      </w:r>
      <w:r>
        <w:rPr>
          <w:spacing w:val="-6"/>
        </w:rPr>
        <w:t xml:space="preserve"> </w:t>
      </w:r>
      <w:r>
        <w:t>other</w:t>
      </w:r>
      <w:r>
        <w:rPr>
          <w:spacing w:val="-7"/>
        </w:rPr>
        <w:t xml:space="preserve"> </w:t>
      </w:r>
      <w:r>
        <w:t>chemicals</w:t>
      </w:r>
      <w:r>
        <w:rPr>
          <w:spacing w:val="-4"/>
        </w:rPr>
        <w:t xml:space="preserve"> </w:t>
      </w:r>
      <w:r>
        <w:t>in</w:t>
      </w:r>
      <w:r>
        <w:rPr>
          <w:spacing w:val="-8"/>
        </w:rPr>
        <w:t xml:space="preserve"> </w:t>
      </w:r>
      <w:r>
        <w:t>medical</w:t>
      </w:r>
      <w:r>
        <w:rPr>
          <w:spacing w:val="-6"/>
        </w:rPr>
        <w:t xml:space="preserve"> </w:t>
      </w:r>
      <w:r>
        <w:rPr>
          <w:spacing w:val="-2"/>
        </w:rPr>
        <w:t>imaging</w:t>
      </w:r>
    </w:p>
    <w:p w14:paraId="34B5865B" w14:textId="77777777" w:rsidR="0050438D" w:rsidRDefault="00000000">
      <w:pPr>
        <w:pStyle w:val="ListParagraph"/>
        <w:numPr>
          <w:ilvl w:val="0"/>
          <w:numId w:val="2"/>
        </w:numPr>
        <w:tabs>
          <w:tab w:val="left" w:pos="853"/>
        </w:tabs>
        <w:spacing w:line="269" w:lineRule="exact"/>
      </w:pPr>
      <w:r>
        <w:t>Phenol</w:t>
      </w:r>
      <w:r>
        <w:rPr>
          <w:spacing w:val="-4"/>
        </w:rPr>
        <w:t xml:space="preserve"> </w:t>
      </w:r>
      <w:r>
        <w:t>in</w:t>
      </w:r>
      <w:r>
        <w:rPr>
          <w:spacing w:val="-3"/>
        </w:rPr>
        <w:t xml:space="preserve"> </w:t>
      </w:r>
      <w:r>
        <w:t>a</w:t>
      </w:r>
      <w:r>
        <w:rPr>
          <w:spacing w:val="-2"/>
        </w:rPr>
        <w:t xml:space="preserve"> </w:t>
      </w:r>
      <w:r>
        <w:t>podiatry</w:t>
      </w:r>
      <w:r>
        <w:rPr>
          <w:spacing w:val="-2"/>
        </w:rPr>
        <w:t xml:space="preserve"> setting.</w:t>
      </w:r>
    </w:p>
    <w:p w14:paraId="32F02F5B" w14:textId="77777777" w:rsidR="0050438D" w:rsidRDefault="0050438D">
      <w:pPr>
        <w:pStyle w:val="BodyText"/>
        <w:spacing w:before="42"/>
        <w:ind w:left="0"/>
      </w:pPr>
    </w:p>
    <w:p w14:paraId="43559388" w14:textId="77777777" w:rsidR="0050438D" w:rsidRDefault="00000000">
      <w:pPr>
        <w:pStyle w:val="Heading2"/>
      </w:pPr>
      <w:r>
        <w:t>What</w:t>
      </w:r>
      <w:r>
        <w:rPr>
          <w:spacing w:val="-2"/>
        </w:rPr>
        <w:t xml:space="preserve"> </w:t>
      </w:r>
      <w:r>
        <w:t>is</w:t>
      </w:r>
      <w:r>
        <w:rPr>
          <w:spacing w:val="-1"/>
        </w:rPr>
        <w:t xml:space="preserve"> </w:t>
      </w:r>
      <w:r>
        <w:rPr>
          <w:spacing w:val="-2"/>
        </w:rPr>
        <w:t>phenol?</w:t>
      </w:r>
    </w:p>
    <w:p w14:paraId="4509A5F4" w14:textId="77777777" w:rsidR="0050438D" w:rsidRDefault="00000000">
      <w:pPr>
        <w:pStyle w:val="BodyText"/>
        <w:spacing w:before="180"/>
        <w:ind w:right="169"/>
      </w:pPr>
      <w:r>
        <w:t>Phenol</w:t>
      </w:r>
      <w:r>
        <w:rPr>
          <w:spacing w:val="-2"/>
        </w:rPr>
        <w:t xml:space="preserve"> </w:t>
      </w:r>
      <w:r>
        <w:t>is</w:t>
      </w:r>
      <w:r>
        <w:rPr>
          <w:spacing w:val="-2"/>
        </w:rPr>
        <w:t xml:space="preserve"> </w:t>
      </w:r>
      <w:r>
        <w:t>a</w:t>
      </w:r>
      <w:r>
        <w:rPr>
          <w:spacing w:val="-2"/>
        </w:rPr>
        <w:t xml:space="preserve"> </w:t>
      </w:r>
      <w:r>
        <w:t>caustic</w:t>
      </w:r>
      <w:r>
        <w:rPr>
          <w:spacing w:val="-2"/>
        </w:rPr>
        <w:t xml:space="preserve"> </w:t>
      </w:r>
      <w:r>
        <w:t>compound</w:t>
      </w:r>
      <w:r>
        <w:rPr>
          <w:spacing w:val="-2"/>
        </w:rPr>
        <w:t xml:space="preserve"> </w:t>
      </w:r>
      <w:r>
        <w:t>used</w:t>
      </w:r>
      <w:r>
        <w:rPr>
          <w:spacing w:val="-4"/>
        </w:rPr>
        <w:t xml:space="preserve"> </w:t>
      </w:r>
      <w:r>
        <w:t>for</w:t>
      </w:r>
      <w:r>
        <w:rPr>
          <w:spacing w:val="-3"/>
        </w:rPr>
        <w:t xml:space="preserve"> </w:t>
      </w:r>
      <w:r>
        <w:t>its</w:t>
      </w:r>
      <w:r>
        <w:rPr>
          <w:spacing w:val="-4"/>
        </w:rPr>
        <w:t xml:space="preserve"> </w:t>
      </w:r>
      <w:r>
        <w:t>antimicrobial,</w:t>
      </w:r>
      <w:r>
        <w:rPr>
          <w:spacing w:val="-1"/>
        </w:rPr>
        <w:t xml:space="preserve"> </w:t>
      </w:r>
      <w:proofErr w:type="spellStart"/>
      <w:r>
        <w:t>anaesthetic</w:t>
      </w:r>
      <w:proofErr w:type="spellEnd"/>
      <w:r>
        <w:t>,</w:t>
      </w:r>
      <w:r>
        <w:rPr>
          <w:spacing w:val="-3"/>
        </w:rPr>
        <w:t xml:space="preserve"> </w:t>
      </w:r>
      <w:r>
        <w:t>and</w:t>
      </w:r>
      <w:r>
        <w:rPr>
          <w:spacing w:val="-2"/>
        </w:rPr>
        <w:t xml:space="preserve"> </w:t>
      </w:r>
      <w:r>
        <w:t>antipruritic</w:t>
      </w:r>
      <w:r>
        <w:rPr>
          <w:spacing w:val="-4"/>
        </w:rPr>
        <w:t xml:space="preserve"> </w:t>
      </w:r>
      <w:r>
        <w:t>properties.</w:t>
      </w:r>
      <w:r>
        <w:rPr>
          <w:vertAlign w:val="superscript"/>
        </w:rPr>
        <w:t>1</w:t>
      </w:r>
      <w:r>
        <w:rPr>
          <w:spacing w:val="-2"/>
        </w:rPr>
        <w:t xml:space="preserve"> </w:t>
      </w:r>
      <w:r>
        <w:t>It is rapidly absorbed into the body through all routes causing local and systemic toxic effects, such as severe tissue injury and skin burns.</w:t>
      </w:r>
      <w:r>
        <w:rPr>
          <w:vertAlign w:val="superscript"/>
        </w:rPr>
        <w:t>2</w:t>
      </w:r>
      <w:r>
        <w:t xml:space="preserve"> Concentrated 80% phenol is a Schedule 6 poison.</w:t>
      </w:r>
    </w:p>
    <w:p w14:paraId="1E306632" w14:textId="77777777" w:rsidR="0050438D" w:rsidRDefault="0050438D">
      <w:pPr>
        <w:pStyle w:val="BodyText"/>
        <w:spacing w:before="107"/>
        <w:ind w:left="0"/>
      </w:pPr>
    </w:p>
    <w:p w14:paraId="41CD5CDD" w14:textId="77777777" w:rsidR="0050438D" w:rsidRDefault="00000000">
      <w:pPr>
        <w:pStyle w:val="Heading2"/>
      </w:pPr>
      <w:r>
        <w:t>Use</w:t>
      </w:r>
      <w:r>
        <w:rPr>
          <w:spacing w:val="-7"/>
        </w:rPr>
        <w:t xml:space="preserve"> </w:t>
      </w:r>
      <w:r>
        <w:t>of</w:t>
      </w:r>
      <w:r>
        <w:rPr>
          <w:spacing w:val="-7"/>
        </w:rPr>
        <w:t xml:space="preserve"> </w:t>
      </w:r>
      <w:r>
        <w:t>phenol</w:t>
      </w:r>
      <w:r>
        <w:rPr>
          <w:spacing w:val="-8"/>
        </w:rPr>
        <w:t xml:space="preserve"> </w:t>
      </w:r>
      <w:r>
        <w:t>in</w:t>
      </w:r>
      <w:r>
        <w:rPr>
          <w:spacing w:val="-7"/>
        </w:rPr>
        <w:t xml:space="preserve"> </w:t>
      </w:r>
      <w:r>
        <w:t>podiatric</w:t>
      </w:r>
      <w:r>
        <w:rPr>
          <w:spacing w:val="-8"/>
        </w:rPr>
        <w:t xml:space="preserve"> </w:t>
      </w:r>
      <w:r>
        <w:rPr>
          <w:spacing w:val="-2"/>
        </w:rPr>
        <w:t>settings</w:t>
      </w:r>
    </w:p>
    <w:p w14:paraId="7E7055CF" w14:textId="77777777" w:rsidR="0050438D" w:rsidRDefault="00000000">
      <w:pPr>
        <w:pStyle w:val="BodyText"/>
        <w:spacing w:before="180"/>
      </w:pPr>
      <w:r>
        <w:t>Phenol</w:t>
      </w:r>
      <w:r>
        <w:rPr>
          <w:spacing w:val="-3"/>
        </w:rPr>
        <w:t xml:space="preserve"> </w:t>
      </w:r>
      <w:r>
        <w:t>is</w:t>
      </w:r>
      <w:r>
        <w:rPr>
          <w:spacing w:val="-2"/>
        </w:rPr>
        <w:t xml:space="preserve"> </w:t>
      </w:r>
      <w:r>
        <w:t>used</w:t>
      </w:r>
      <w:r>
        <w:rPr>
          <w:spacing w:val="-3"/>
        </w:rPr>
        <w:t xml:space="preserve"> </w:t>
      </w:r>
      <w:r>
        <w:t>in</w:t>
      </w:r>
      <w:r>
        <w:rPr>
          <w:spacing w:val="-2"/>
        </w:rPr>
        <w:t xml:space="preserve"> </w:t>
      </w:r>
      <w:r>
        <w:t>podiatric</w:t>
      </w:r>
      <w:r>
        <w:rPr>
          <w:spacing w:val="-2"/>
        </w:rPr>
        <w:t xml:space="preserve"> </w:t>
      </w:r>
      <w:r>
        <w:t>nail</w:t>
      </w:r>
      <w:r>
        <w:rPr>
          <w:spacing w:val="-3"/>
        </w:rPr>
        <w:t xml:space="preserve"> </w:t>
      </w:r>
      <w:r>
        <w:t>surgery.</w:t>
      </w:r>
      <w:r>
        <w:rPr>
          <w:spacing w:val="-4"/>
        </w:rPr>
        <w:t xml:space="preserve"> </w:t>
      </w:r>
      <w:r>
        <w:t>Concentrated</w:t>
      </w:r>
      <w:r>
        <w:rPr>
          <w:spacing w:val="-3"/>
        </w:rPr>
        <w:t xml:space="preserve"> </w:t>
      </w:r>
      <w:r>
        <w:t>phenol,</w:t>
      </w:r>
      <w:r>
        <w:rPr>
          <w:spacing w:val="-4"/>
        </w:rPr>
        <w:t xml:space="preserve"> </w:t>
      </w:r>
      <w:r>
        <w:t>applied</w:t>
      </w:r>
      <w:r>
        <w:rPr>
          <w:spacing w:val="-3"/>
        </w:rPr>
        <w:t xml:space="preserve"> </w:t>
      </w:r>
      <w:r>
        <w:t>topically</w:t>
      </w:r>
      <w:r>
        <w:rPr>
          <w:spacing w:val="-2"/>
        </w:rPr>
        <w:t xml:space="preserve"> </w:t>
      </w:r>
      <w:r>
        <w:t>using</w:t>
      </w:r>
      <w:r>
        <w:rPr>
          <w:spacing w:val="-3"/>
        </w:rPr>
        <w:t xml:space="preserve"> </w:t>
      </w:r>
      <w:r>
        <w:t>an</w:t>
      </w:r>
      <w:r>
        <w:rPr>
          <w:spacing w:val="-3"/>
        </w:rPr>
        <w:t xml:space="preserve"> </w:t>
      </w:r>
      <w:r>
        <w:t>applicator, may be required for the management of ingrown toenail, where the nail matrix is destroyed via chemical ablation.</w:t>
      </w:r>
      <w:r>
        <w:rPr>
          <w:vertAlign w:val="superscript"/>
        </w:rPr>
        <w:t>2</w:t>
      </w:r>
    </w:p>
    <w:p w14:paraId="3698EA00" w14:textId="77777777" w:rsidR="0050438D" w:rsidRDefault="0050438D">
      <w:pPr>
        <w:sectPr w:rsidR="0050438D">
          <w:headerReference w:type="default" r:id="rId7"/>
          <w:footerReference w:type="default" r:id="rId8"/>
          <w:type w:val="continuous"/>
          <w:pgSz w:w="11910" w:h="16840"/>
          <w:pgMar w:top="1820" w:right="980" w:bottom="1160" w:left="1000" w:header="672" w:footer="960" w:gutter="0"/>
          <w:pgNumType w:start="1"/>
          <w:cols w:space="720"/>
        </w:sectPr>
      </w:pPr>
    </w:p>
    <w:p w14:paraId="2355C8F6" w14:textId="77777777" w:rsidR="0050438D" w:rsidRDefault="00000000">
      <w:pPr>
        <w:pStyle w:val="Heading2"/>
        <w:spacing w:before="83"/>
      </w:pPr>
      <w:r>
        <w:lastRenderedPageBreak/>
        <w:t>Use</w:t>
      </w:r>
      <w:r>
        <w:rPr>
          <w:spacing w:val="-7"/>
        </w:rPr>
        <w:t xml:space="preserve"> </w:t>
      </w:r>
      <w:r>
        <w:t>of</w:t>
      </w:r>
      <w:r>
        <w:rPr>
          <w:spacing w:val="-8"/>
        </w:rPr>
        <w:t xml:space="preserve"> </w:t>
      </w:r>
      <w:r>
        <w:t>phenol</w:t>
      </w:r>
      <w:r>
        <w:rPr>
          <w:spacing w:val="-8"/>
        </w:rPr>
        <w:t xml:space="preserve"> </w:t>
      </w:r>
      <w:r>
        <w:t>in</w:t>
      </w:r>
      <w:r>
        <w:rPr>
          <w:spacing w:val="-8"/>
        </w:rPr>
        <w:t xml:space="preserve"> </w:t>
      </w:r>
      <w:r>
        <w:t>medical</w:t>
      </w:r>
      <w:r>
        <w:rPr>
          <w:spacing w:val="-9"/>
        </w:rPr>
        <w:t xml:space="preserve"> </w:t>
      </w:r>
      <w:r>
        <w:t>imaging</w:t>
      </w:r>
      <w:r>
        <w:rPr>
          <w:spacing w:val="-8"/>
        </w:rPr>
        <w:t xml:space="preserve"> </w:t>
      </w:r>
      <w:r>
        <w:rPr>
          <w:spacing w:val="-2"/>
        </w:rPr>
        <w:t>settings</w:t>
      </w:r>
    </w:p>
    <w:p w14:paraId="2D0B395E" w14:textId="77777777" w:rsidR="0050438D" w:rsidRDefault="00000000">
      <w:pPr>
        <w:pStyle w:val="BodyText"/>
        <w:spacing w:before="179"/>
        <w:ind w:right="544"/>
      </w:pPr>
      <w:r>
        <w:t>A sterile solution of 5 to 10% phenol in glycerol is occasionally used for celiac plexus splanchnic nerve block, guided by contrast media, to assist pain management. The use of phenol</w:t>
      </w:r>
      <w:r>
        <w:rPr>
          <w:spacing w:val="-3"/>
        </w:rPr>
        <w:t xml:space="preserve"> </w:t>
      </w:r>
      <w:r>
        <w:t>in</w:t>
      </w:r>
      <w:r>
        <w:rPr>
          <w:spacing w:val="-2"/>
        </w:rPr>
        <w:t xml:space="preserve"> </w:t>
      </w:r>
      <w:r>
        <w:t>this</w:t>
      </w:r>
      <w:r>
        <w:rPr>
          <w:spacing w:val="-1"/>
        </w:rPr>
        <w:t xml:space="preserve"> </w:t>
      </w:r>
      <w:r>
        <w:t>way</w:t>
      </w:r>
      <w:r>
        <w:rPr>
          <w:spacing w:val="-3"/>
        </w:rPr>
        <w:t xml:space="preserve"> </w:t>
      </w:r>
      <w:r>
        <w:t>as</w:t>
      </w:r>
      <w:r>
        <w:rPr>
          <w:spacing w:val="-4"/>
        </w:rPr>
        <w:t xml:space="preserve"> </w:t>
      </w:r>
      <w:r>
        <w:t>an</w:t>
      </w:r>
      <w:r>
        <w:rPr>
          <w:spacing w:val="-4"/>
        </w:rPr>
        <w:t xml:space="preserve"> </w:t>
      </w:r>
      <w:r>
        <w:t>irritating</w:t>
      </w:r>
      <w:r>
        <w:rPr>
          <w:spacing w:val="-4"/>
        </w:rPr>
        <w:t xml:space="preserve"> </w:t>
      </w:r>
      <w:r>
        <w:t>solution,</w:t>
      </w:r>
      <w:r>
        <w:rPr>
          <w:spacing w:val="-3"/>
        </w:rPr>
        <w:t xml:space="preserve"> </w:t>
      </w:r>
      <w:r>
        <w:t>or</w:t>
      </w:r>
      <w:r>
        <w:rPr>
          <w:spacing w:val="-2"/>
        </w:rPr>
        <w:t xml:space="preserve"> </w:t>
      </w:r>
      <w:r>
        <w:t>sclerosant,</w:t>
      </w:r>
      <w:r>
        <w:rPr>
          <w:spacing w:val="-3"/>
        </w:rPr>
        <w:t xml:space="preserve"> </w:t>
      </w:r>
      <w:r>
        <w:t>is</w:t>
      </w:r>
      <w:r>
        <w:rPr>
          <w:spacing w:val="-1"/>
        </w:rPr>
        <w:t xml:space="preserve"> </w:t>
      </w:r>
      <w:r>
        <w:t>a</w:t>
      </w:r>
      <w:r>
        <w:rPr>
          <w:spacing w:val="-4"/>
        </w:rPr>
        <w:t xml:space="preserve"> </w:t>
      </w:r>
      <w:r>
        <w:t>complex</w:t>
      </w:r>
      <w:r>
        <w:rPr>
          <w:spacing w:val="-4"/>
        </w:rPr>
        <w:t xml:space="preserve"> </w:t>
      </w:r>
      <w:r>
        <w:t>procedure</w:t>
      </w:r>
      <w:r>
        <w:rPr>
          <w:spacing w:val="-1"/>
        </w:rPr>
        <w:t xml:space="preserve"> </w:t>
      </w:r>
      <w:r>
        <w:t>undertaken</w:t>
      </w:r>
      <w:r>
        <w:rPr>
          <w:spacing w:val="-4"/>
        </w:rPr>
        <w:t xml:space="preserve"> </w:t>
      </w:r>
      <w:r>
        <w:t>by an interventional radiologist.</w:t>
      </w:r>
    </w:p>
    <w:p w14:paraId="22A4A73D" w14:textId="77777777" w:rsidR="0050438D" w:rsidRDefault="00000000">
      <w:pPr>
        <w:pStyle w:val="BodyText"/>
        <w:spacing w:before="121"/>
        <w:ind w:right="572"/>
      </w:pPr>
      <w:r>
        <w:t>A lack of available pre-prepared and ready-for-use formulations of diluted phenol has previously led</w:t>
      </w:r>
      <w:r>
        <w:rPr>
          <w:spacing w:val="-3"/>
        </w:rPr>
        <w:t xml:space="preserve"> </w:t>
      </w:r>
      <w:r>
        <w:t>to</w:t>
      </w:r>
      <w:r>
        <w:rPr>
          <w:spacing w:val="-3"/>
        </w:rPr>
        <w:t xml:space="preserve"> </w:t>
      </w:r>
      <w:r>
        <w:t>the</w:t>
      </w:r>
      <w:r>
        <w:rPr>
          <w:spacing w:val="-1"/>
        </w:rPr>
        <w:t xml:space="preserve"> </w:t>
      </w:r>
      <w:r>
        <w:t>preparation</w:t>
      </w:r>
      <w:r>
        <w:rPr>
          <w:spacing w:val="-1"/>
        </w:rPr>
        <w:t xml:space="preserve"> </w:t>
      </w:r>
      <w:r>
        <w:t>of dilutions</w:t>
      </w:r>
      <w:r>
        <w:rPr>
          <w:spacing w:val="-3"/>
        </w:rPr>
        <w:t xml:space="preserve"> </w:t>
      </w:r>
      <w:r>
        <w:t>from concentrated</w:t>
      </w:r>
      <w:r>
        <w:rPr>
          <w:spacing w:val="-3"/>
        </w:rPr>
        <w:t xml:space="preserve"> </w:t>
      </w:r>
      <w:r>
        <w:t>80% phenol</w:t>
      </w:r>
      <w:r>
        <w:rPr>
          <w:spacing w:val="-1"/>
        </w:rPr>
        <w:t xml:space="preserve"> </w:t>
      </w:r>
      <w:r>
        <w:t>in</w:t>
      </w:r>
      <w:r>
        <w:rPr>
          <w:spacing w:val="-1"/>
        </w:rPr>
        <w:t xml:space="preserve"> </w:t>
      </w:r>
      <w:r>
        <w:t>medical</w:t>
      </w:r>
      <w:r>
        <w:rPr>
          <w:spacing w:val="-2"/>
        </w:rPr>
        <w:t xml:space="preserve"> </w:t>
      </w:r>
      <w:r>
        <w:t>imaging settings. This carries a risk of inadvertent intravenous administration of the poison to patients that may result in death, and a risk to those preparing the dilution due to the non-sterile and hazardous</w:t>
      </w:r>
      <w:r>
        <w:rPr>
          <w:spacing w:val="-3"/>
        </w:rPr>
        <w:t xml:space="preserve"> </w:t>
      </w:r>
      <w:r>
        <w:t>nature</w:t>
      </w:r>
      <w:r>
        <w:rPr>
          <w:spacing w:val="-5"/>
        </w:rPr>
        <w:t xml:space="preserve"> </w:t>
      </w:r>
      <w:r>
        <w:t>of</w:t>
      </w:r>
      <w:r>
        <w:rPr>
          <w:spacing w:val="-1"/>
        </w:rPr>
        <w:t xml:space="preserve"> </w:t>
      </w:r>
      <w:r>
        <w:t>concentrated</w:t>
      </w:r>
      <w:r>
        <w:rPr>
          <w:spacing w:val="-3"/>
        </w:rPr>
        <w:t xml:space="preserve"> </w:t>
      </w:r>
      <w:r>
        <w:t>phenol.</w:t>
      </w:r>
      <w:r>
        <w:rPr>
          <w:vertAlign w:val="superscript"/>
        </w:rPr>
        <w:t>1,3</w:t>
      </w:r>
      <w:r>
        <w:rPr>
          <w:spacing w:val="-3"/>
        </w:rPr>
        <w:t xml:space="preserve"> </w:t>
      </w:r>
      <w:r>
        <w:t>As</w:t>
      </w:r>
      <w:r>
        <w:rPr>
          <w:spacing w:val="-2"/>
        </w:rPr>
        <w:t xml:space="preserve"> </w:t>
      </w:r>
      <w:r>
        <w:t>such,</w:t>
      </w:r>
      <w:r>
        <w:rPr>
          <w:spacing w:val="-1"/>
        </w:rPr>
        <w:t xml:space="preserve"> </w:t>
      </w:r>
      <w:r>
        <w:t>concentrated</w:t>
      </w:r>
      <w:r>
        <w:rPr>
          <w:spacing w:val="-4"/>
        </w:rPr>
        <w:t xml:space="preserve"> </w:t>
      </w:r>
      <w:r>
        <w:t>80%</w:t>
      </w:r>
      <w:r>
        <w:rPr>
          <w:spacing w:val="-4"/>
        </w:rPr>
        <w:t xml:space="preserve"> </w:t>
      </w:r>
      <w:r>
        <w:t>phenol</w:t>
      </w:r>
      <w:r>
        <w:rPr>
          <w:spacing w:val="-3"/>
        </w:rPr>
        <w:t xml:space="preserve"> </w:t>
      </w:r>
      <w:r>
        <w:t>should</w:t>
      </w:r>
      <w:r>
        <w:rPr>
          <w:spacing w:val="-3"/>
        </w:rPr>
        <w:t xml:space="preserve"> </w:t>
      </w:r>
      <w:r>
        <w:t>only</w:t>
      </w:r>
      <w:r>
        <w:rPr>
          <w:spacing w:val="-2"/>
        </w:rPr>
        <w:t xml:space="preserve"> </w:t>
      </w:r>
      <w:r>
        <w:t>be stored within pharmacy services where appropriate dilutions can be prepared and issued for use in medical imaging, if required.</w:t>
      </w:r>
    </w:p>
    <w:p w14:paraId="21B08BB4" w14:textId="77777777" w:rsidR="0050438D" w:rsidRDefault="00000000">
      <w:pPr>
        <w:pStyle w:val="BodyText"/>
        <w:spacing w:before="121"/>
        <w:ind w:right="609"/>
      </w:pPr>
      <w:r>
        <w:t>There are alternatives to the use of phenol as a sclerosant in conjunction with contrast media in</w:t>
      </w:r>
      <w:r>
        <w:rPr>
          <w:spacing w:val="-3"/>
        </w:rPr>
        <w:t xml:space="preserve"> </w:t>
      </w:r>
      <w:r>
        <w:t>Australia.</w:t>
      </w:r>
      <w:r>
        <w:rPr>
          <w:spacing w:val="-3"/>
        </w:rPr>
        <w:t xml:space="preserve"> </w:t>
      </w:r>
      <w:r>
        <w:t>These</w:t>
      </w:r>
      <w:r>
        <w:rPr>
          <w:spacing w:val="-3"/>
        </w:rPr>
        <w:t xml:space="preserve"> </w:t>
      </w:r>
      <w:r>
        <w:t>alternatives,</w:t>
      </w:r>
      <w:r>
        <w:rPr>
          <w:spacing w:val="-4"/>
        </w:rPr>
        <w:t xml:space="preserve"> </w:t>
      </w:r>
      <w:r>
        <w:t>such</w:t>
      </w:r>
      <w:r>
        <w:rPr>
          <w:spacing w:val="-3"/>
        </w:rPr>
        <w:t xml:space="preserve"> </w:t>
      </w:r>
      <w:r>
        <w:t>as</w:t>
      </w:r>
      <w:r>
        <w:rPr>
          <w:spacing w:val="-2"/>
        </w:rPr>
        <w:t xml:space="preserve"> </w:t>
      </w:r>
      <w:r>
        <w:t>sterile</w:t>
      </w:r>
      <w:r>
        <w:rPr>
          <w:spacing w:val="-5"/>
        </w:rPr>
        <w:t xml:space="preserve"> </w:t>
      </w:r>
      <w:r>
        <w:t>formulations</w:t>
      </w:r>
      <w:r>
        <w:rPr>
          <w:spacing w:val="-3"/>
        </w:rPr>
        <w:t xml:space="preserve"> </w:t>
      </w:r>
      <w:r>
        <w:t>of dehydrated</w:t>
      </w:r>
      <w:r>
        <w:rPr>
          <w:spacing w:val="-5"/>
        </w:rPr>
        <w:t xml:space="preserve"> </w:t>
      </w:r>
      <w:r>
        <w:t>alcohol</w:t>
      </w:r>
      <w:r>
        <w:rPr>
          <w:spacing w:val="-4"/>
        </w:rPr>
        <w:t xml:space="preserve"> </w:t>
      </w:r>
      <w:r>
        <w:t>BP</w:t>
      </w:r>
      <w:r>
        <w:rPr>
          <w:spacing w:val="-3"/>
        </w:rPr>
        <w:t xml:space="preserve"> </w:t>
      </w:r>
      <w:r>
        <w:t>(ethanol 100%), are readily available and do not require dilution.</w:t>
      </w:r>
    </w:p>
    <w:p w14:paraId="0CEC493E" w14:textId="77777777" w:rsidR="0050438D" w:rsidRDefault="0050438D">
      <w:pPr>
        <w:pStyle w:val="BodyText"/>
        <w:spacing w:before="47"/>
        <w:ind w:left="0"/>
      </w:pPr>
    </w:p>
    <w:p w14:paraId="5FC2829F" w14:textId="77777777" w:rsidR="0050438D" w:rsidRDefault="00000000">
      <w:pPr>
        <w:pStyle w:val="Heading2"/>
      </w:pPr>
      <w:r>
        <w:t>Safe</w:t>
      </w:r>
      <w:r>
        <w:rPr>
          <w:spacing w:val="-5"/>
        </w:rPr>
        <w:t xml:space="preserve"> </w:t>
      </w:r>
      <w:r>
        <w:t>use</w:t>
      </w:r>
      <w:r>
        <w:rPr>
          <w:spacing w:val="-2"/>
        </w:rPr>
        <w:t xml:space="preserve"> </w:t>
      </w:r>
      <w:r>
        <w:t>of</w:t>
      </w:r>
      <w:r>
        <w:rPr>
          <w:spacing w:val="-3"/>
        </w:rPr>
        <w:t xml:space="preserve"> </w:t>
      </w:r>
      <w:r>
        <w:t>medicines</w:t>
      </w:r>
      <w:r>
        <w:rPr>
          <w:spacing w:val="-2"/>
        </w:rPr>
        <w:t xml:space="preserve"> </w:t>
      </w:r>
      <w:r>
        <w:t>and</w:t>
      </w:r>
      <w:r>
        <w:rPr>
          <w:spacing w:val="-3"/>
        </w:rPr>
        <w:t xml:space="preserve"> </w:t>
      </w:r>
      <w:r>
        <w:t>other</w:t>
      </w:r>
      <w:r>
        <w:rPr>
          <w:spacing w:val="-4"/>
        </w:rPr>
        <w:t xml:space="preserve"> </w:t>
      </w:r>
      <w:r>
        <w:t>chemicals</w:t>
      </w:r>
      <w:r>
        <w:rPr>
          <w:spacing w:val="-2"/>
        </w:rPr>
        <w:t xml:space="preserve"> </w:t>
      </w:r>
      <w:r>
        <w:t>in</w:t>
      </w:r>
      <w:r>
        <w:rPr>
          <w:spacing w:val="-3"/>
        </w:rPr>
        <w:t xml:space="preserve"> </w:t>
      </w:r>
      <w:r>
        <w:t>medical</w:t>
      </w:r>
      <w:r>
        <w:rPr>
          <w:spacing w:val="-4"/>
        </w:rPr>
        <w:t xml:space="preserve"> </w:t>
      </w:r>
      <w:r>
        <w:t>imaging</w:t>
      </w:r>
      <w:r>
        <w:rPr>
          <w:spacing w:val="-4"/>
        </w:rPr>
        <w:t xml:space="preserve"> </w:t>
      </w:r>
      <w:r>
        <w:rPr>
          <w:spacing w:val="-2"/>
        </w:rPr>
        <w:t>settings</w:t>
      </w:r>
    </w:p>
    <w:p w14:paraId="441A0952" w14:textId="77777777" w:rsidR="0050438D" w:rsidRDefault="00000000">
      <w:pPr>
        <w:pStyle w:val="BodyText"/>
        <w:spacing w:before="180"/>
      </w:pPr>
      <w:proofErr w:type="spellStart"/>
      <w:r>
        <w:rPr>
          <w:color w:val="333333"/>
        </w:rPr>
        <w:t>Standardised</w:t>
      </w:r>
      <w:proofErr w:type="spellEnd"/>
      <w:r>
        <w:rPr>
          <w:color w:val="333333"/>
        </w:rPr>
        <w:t xml:space="preserve"> processes govern the safe prescribing, supply, administration and monitoring of medicines</w:t>
      </w:r>
      <w:r>
        <w:rPr>
          <w:color w:val="333333"/>
          <w:spacing w:val="-2"/>
        </w:rPr>
        <w:t xml:space="preserve"> </w:t>
      </w:r>
      <w:r>
        <w:rPr>
          <w:color w:val="333333"/>
        </w:rPr>
        <w:t>in</w:t>
      </w:r>
      <w:r>
        <w:rPr>
          <w:color w:val="333333"/>
          <w:spacing w:val="-2"/>
        </w:rPr>
        <w:t xml:space="preserve"> </w:t>
      </w:r>
      <w:r>
        <w:rPr>
          <w:color w:val="333333"/>
        </w:rPr>
        <w:t>accordance</w:t>
      </w:r>
      <w:r>
        <w:rPr>
          <w:color w:val="333333"/>
          <w:spacing w:val="-4"/>
        </w:rPr>
        <w:t xml:space="preserve"> </w:t>
      </w:r>
      <w:r>
        <w:rPr>
          <w:color w:val="333333"/>
        </w:rPr>
        <w:t>with</w:t>
      </w:r>
      <w:r>
        <w:rPr>
          <w:color w:val="333333"/>
          <w:spacing w:val="-4"/>
        </w:rPr>
        <w:t xml:space="preserve"> </w:t>
      </w:r>
      <w:r>
        <w:rPr>
          <w:color w:val="333333"/>
        </w:rPr>
        <w:t>the</w:t>
      </w:r>
      <w:r>
        <w:rPr>
          <w:color w:val="333333"/>
          <w:spacing w:val="-1"/>
        </w:rPr>
        <w:t xml:space="preserve"> </w:t>
      </w:r>
      <w:hyperlink r:id="rId9">
        <w:r>
          <w:rPr>
            <w:color w:val="00526F"/>
            <w:u w:val="single" w:color="00526F"/>
          </w:rPr>
          <w:t>National</w:t>
        </w:r>
        <w:r>
          <w:rPr>
            <w:color w:val="00526F"/>
            <w:spacing w:val="-2"/>
            <w:u w:val="single" w:color="00526F"/>
          </w:rPr>
          <w:t xml:space="preserve"> </w:t>
        </w:r>
        <w:r>
          <w:rPr>
            <w:color w:val="00526F"/>
            <w:u w:val="single" w:color="00526F"/>
          </w:rPr>
          <w:t>Safety</w:t>
        </w:r>
        <w:r>
          <w:rPr>
            <w:color w:val="00526F"/>
            <w:spacing w:val="-5"/>
            <w:u w:val="single" w:color="00526F"/>
          </w:rPr>
          <w:t xml:space="preserve"> </w:t>
        </w:r>
        <w:r>
          <w:rPr>
            <w:color w:val="00526F"/>
            <w:u w:val="single" w:color="00526F"/>
          </w:rPr>
          <w:t>and</w:t>
        </w:r>
        <w:r>
          <w:rPr>
            <w:color w:val="00526F"/>
            <w:spacing w:val="-2"/>
            <w:u w:val="single" w:color="00526F"/>
          </w:rPr>
          <w:t xml:space="preserve"> </w:t>
        </w:r>
        <w:r>
          <w:rPr>
            <w:color w:val="00526F"/>
            <w:u w:val="single" w:color="00526F"/>
          </w:rPr>
          <w:t>Quality</w:t>
        </w:r>
        <w:r>
          <w:rPr>
            <w:color w:val="00526F"/>
            <w:spacing w:val="-4"/>
            <w:u w:val="single" w:color="00526F"/>
          </w:rPr>
          <w:t xml:space="preserve"> </w:t>
        </w:r>
        <w:r>
          <w:rPr>
            <w:color w:val="00526F"/>
            <w:u w:val="single" w:color="00526F"/>
          </w:rPr>
          <w:t>Health</w:t>
        </w:r>
        <w:r>
          <w:rPr>
            <w:color w:val="00526F"/>
            <w:spacing w:val="-2"/>
            <w:u w:val="single" w:color="00526F"/>
          </w:rPr>
          <w:t xml:space="preserve"> </w:t>
        </w:r>
        <w:r>
          <w:rPr>
            <w:color w:val="00526F"/>
            <w:u w:val="single" w:color="00526F"/>
          </w:rPr>
          <w:t>Service</w:t>
        </w:r>
        <w:r>
          <w:rPr>
            <w:color w:val="00526F"/>
            <w:spacing w:val="-2"/>
            <w:u w:val="single" w:color="00526F"/>
          </w:rPr>
          <w:t xml:space="preserve"> </w:t>
        </w:r>
        <w:r>
          <w:rPr>
            <w:color w:val="00526F"/>
            <w:u w:val="single" w:color="00526F"/>
          </w:rPr>
          <w:t>(NSQHS)</w:t>
        </w:r>
        <w:r>
          <w:rPr>
            <w:color w:val="00526F"/>
            <w:spacing w:val="-3"/>
            <w:u w:val="single" w:color="00526F"/>
          </w:rPr>
          <w:t xml:space="preserve"> </w:t>
        </w:r>
        <w:r>
          <w:rPr>
            <w:color w:val="00526F"/>
            <w:u w:val="single" w:color="00526F"/>
          </w:rPr>
          <w:t>Medication</w:t>
        </w:r>
      </w:hyperlink>
      <w:r>
        <w:rPr>
          <w:color w:val="00526F"/>
        </w:rPr>
        <w:t xml:space="preserve"> </w:t>
      </w:r>
      <w:hyperlink r:id="rId10">
        <w:r>
          <w:rPr>
            <w:color w:val="00526F"/>
            <w:u w:val="single" w:color="00526F"/>
          </w:rPr>
          <w:t>Safety Standard</w:t>
        </w:r>
      </w:hyperlink>
      <w:r>
        <w:rPr>
          <w:color w:val="333333"/>
          <w:vertAlign w:val="superscript"/>
        </w:rPr>
        <w:t>4</w:t>
      </w:r>
      <w:r>
        <w:rPr>
          <w:color w:val="333333"/>
        </w:rPr>
        <w:t xml:space="preserve"> and the </w:t>
      </w:r>
      <w:hyperlink r:id="rId11">
        <w:r>
          <w:rPr>
            <w:color w:val="00526F"/>
            <w:u w:val="single" w:color="00526F"/>
          </w:rPr>
          <w:t>Diagnostic Imaging Accreditation Scheme (DIAS) Standards</w:t>
        </w:r>
      </w:hyperlink>
      <w:r>
        <w:rPr>
          <w:color w:val="333333"/>
        </w:rPr>
        <w:t>.</w:t>
      </w:r>
      <w:r>
        <w:rPr>
          <w:color w:val="333333"/>
          <w:vertAlign w:val="superscript"/>
        </w:rPr>
        <w:t>5</w:t>
      </w:r>
    </w:p>
    <w:p w14:paraId="35E4566C" w14:textId="77777777" w:rsidR="0050438D" w:rsidRDefault="00000000">
      <w:pPr>
        <w:pStyle w:val="BodyText"/>
        <w:spacing w:before="119"/>
        <w:ind w:right="169"/>
      </w:pPr>
      <w:r>
        <w:t xml:space="preserve">The prescription, safe and secure storage, handling, supply, administration and disposal of medicines, or biologicals may all be undertaken within medical imaging facilities. However, pharmacy services or external compounding manufacturing services have specific and </w:t>
      </w:r>
      <w:proofErr w:type="spellStart"/>
      <w:r>
        <w:t>standardised</w:t>
      </w:r>
      <w:proofErr w:type="spellEnd"/>
      <w:r>
        <w:t xml:space="preserve"> competencies to compound medicines such as sterile products for injection or hazardous</w:t>
      </w:r>
      <w:r>
        <w:rPr>
          <w:spacing w:val="-4"/>
        </w:rPr>
        <w:t xml:space="preserve"> </w:t>
      </w:r>
      <w:r>
        <w:t>medicines</w:t>
      </w:r>
      <w:r>
        <w:rPr>
          <w:spacing w:val="-1"/>
        </w:rPr>
        <w:t xml:space="preserve"> </w:t>
      </w:r>
      <w:r>
        <w:t>with</w:t>
      </w:r>
      <w:r>
        <w:rPr>
          <w:spacing w:val="-2"/>
        </w:rPr>
        <w:t xml:space="preserve"> </w:t>
      </w:r>
      <w:r>
        <w:t>significant</w:t>
      </w:r>
      <w:r>
        <w:rPr>
          <w:spacing w:val="-3"/>
        </w:rPr>
        <w:t xml:space="preserve"> </w:t>
      </w:r>
      <w:r>
        <w:t>safety</w:t>
      </w:r>
      <w:r>
        <w:rPr>
          <w:spacing w:val="-4"/>
        </w:rPr>
        <w:t xml:space="preserve"> </w:t>
      </w:r>
      <w:r>
        <w:t>risks.</w:t>
      </w:r>
      <w:r>
        <w:rPr>
          <w:spacing w:val="-5"/>
        </w:rPr>
        <w:t xml:space="preserve"> </w:t>
      </w:r>
      <w:r>
        <w:t>For</w:t>
      </w:r>
      <w:r>
        <w:rPr>
          <w:spacing w:val="-3"/>
        </w:rPr>
        <w:t xml:space="preserve"> </w:t>
      </w:r>
      <w:r>
        <w:t>more</w:t>
      </w:r>
      <w:r>
        <w:rPr>
          <w:spacing w:val="-4"/>
        </w:rPr>
        <w:t xml:space="preserve"> </w:t>
      </w:r>
      <w:r>
        <w:t>information,</w:t>
      </w:r>
      <w:r>
        <w:rPr>
          <w:spacing w:val="-3"/>
        </w:rPr>
        <w:t xml:space="preserve"> </w:t>
      </w:r>
      <w:r>
        <w:t>refer</w:t>
      </w:r>
      <w:r>
        <w:rPr>
          <w:spacing w:val="-3"/>
        </w:rPr>
        <w:t xml:space="preserve"> </w:t>
      </w:r>
      <w:r>
        <w:t>to</w:t>
      </w:r>
      <w:r>
        <w:rPr>
          <w:spacing w:val="-4"/>
        </w:rPr>
        <w:t xml:space="preserve"> </w:t>
      </w:r>
      <w:r>
        <w:t>the</w:t>
      </w:r>
      <w:r>
        <w:rPr>
          <w:spacing w:val="-2"/>
        </w:rPr>
        <w:t xml:space="preserve"> </w:t>
      </w:r>
      <w:r>
        <w:t xml:space="preserve">Therapeutic Goods Administration’s </w:t>
      </w:r>
      <w:hyperlink r:id="rId12">
        <w:r>
          <w:rPr>
            <w:color w:val="00526F"/>
            <w:u w:val="single" w:color="00526F"/>
          </w:rPr>
          <w:t>Understanding good manufacturing practice (GMP) for compounded</w:t>
        </w:r>
      </w:hyperlink>
      <w:r>
        <w:rPr>
          <w:color w:val="00526F"/>
        </w:rPr>
        <w:t xml:space="preserve"> </w:t>
      </w:r>
      <w:hyperlink r:id="rId13">
        <w:r>
          <w:rPr>
            <w:color w:val="00526F"/>
            <w:u w:val="single" w:color="00526F"/>
          </w:rPr>
          <w:t>medicines</w:t>
        </w:r>
      </w:hyperlink>
      <w:r>
        <w:rPr>
          <w:color w:val="00526F"/>
        </w:rPr>
        <w:t xml:space="preserve"> </w:t>
      </w:r>
      <w:r>
        <w:t xml:space="preserve">and the Pharmacy Board of Australia </w:t>
      </w:r>
      <w:hyperlink r:id="rId14">
        <w:r>
          <w:rPr>
            <w:color w:val="00526F"/>
            <w:u w:val="single" w:color="00526F"/>
          </w:rPr>
          <w:t>Guidelines on compounding of medicines.</w:t>
        </w:r>
      </w:hyperlink>
      <w:r>
        <w:rPr>
          <w:vertAlign w:val="superscript"/>
        </w:rPr>
        <w:t>5</w:t>
      </w:r>
    </w:p>
    <w:p w14:paraId="13D43997" w14:textId="77777777" w:rsidR="0050438D" w:rsidRDefault="0050438D">
      <w:pPr>
        <w:pStyle w:val="BodyText"/>
        <w:spacing w:before="48"/>
        <w:ind w:left="0"/>
      </w:pPr>
    </w:p>
    <w:p w14:paraId="4FB20CDA" w14:textId="77777777" w:rsidR="0050438D" w:rsidRDefault="00000000">
      <w:pPr>
        <w:pStyle w:val="Heading1"/>
      </w:pPr>
      <w:r>
        <w:rPr>
          <w:color w:val="00526F"/>
          <w:spacing w:val="-2"/>
        </w:rPr>
        <w:t>References</w:t>
      </w:r>
    </w:p>
    <w:p w14:paraId="7CA3ED78" w14:textId="77777777" w:rsidR="0050438D" w:rsidRDefault="00000000">
      <w:pPr>
        <w:pStyle w:val="ListParagraph"/>
        <w:numPr>
          <w:ilvl w:val="0"/>
          <w:numId w:val="1"/>
        </w:numPr>
        <w:tabs>
          <w:tab w:val="left" w:pos="851"/>
          <w:tab w:val="left" w:pos="853"/>
        </w:tabs>
        <w:spacing w:before="179" w:line="240" w:lineRule="auto"/>
        <w:ind w:right="408"/>
      </w:pPr>
      <w:r>
        <w:t>National</w:t>
      </w:r>
      <w:r>
        <w:rPr>
          <w:spacing w:val="-4"/>
        </w:rPr>
        <w:t xml:space="preserve"> </w:t>
      </w:r>
      <w:r>
        <w:t>Health</w:t>
      </w:r>
      <w:r>
        <w:rPr>
          <w:spacing w:val="-4"/>
        </w:rPr>
        <w:t xml:space="preserve"> </w:t>
      </w:r>
      <w:r>
        <w:t>Service</w:t>
      </w:r>
      <w:r>
        <w:rPr>
          <w:spacing w:val="-6"/>
        </w:rPr>
        <w:t xml:space="preserve"> </w:t>
      </w:r>
      <w:r>
        <w:t>[NHS]:</w:t>
      </w:r>
      <w:r>
        <w:rPr>
          <w:spacing w:val="-2"/>
        </w:rPr>
        <w:t xml:space="preserve"> </w:t>
      </w:r>
      <w:r>
        <w:t>National</w:t>
      </w:r>
      <w:r>
        <w:rPr>
          <w:spacing w:val="-4"/>
        </w:rPr>
        <w:t xml:space="preserve"> </w:t>
      </w:r>
      <w:r>
        <w:t>Patient</w:t>
      </w:r>
      <w:r>
        <w:rPr>
          <w:spacing w:val="-2"/>
        </w:rPr>
        <w:t xml:space="preserve"> </w:t>
      </w:r>
      <w:r>
        <w:t>Safety</w:t>
      </w:r>
      <w:r>
        <w:rPr>
          <w:spacing w:val="-6"/>
        </w:rPr>
        <w:t xml:space="preserve"> </w:t>
      </w:r>
      <w:r>
        <w:t>Alert:</w:t>
      </w:r>
      <w:r>
        <w:rPr>
          <w:spacing w:val="-2"/>
        </w:rPr>
        <w:t xml:space="preserve"> </w:t>
      </w:r>
      <w:proofErr w:type="spellStart"/>
      <w:r>
        <w:t>NatPSA</w:t>
      </w:r>
      <w:proofErr w:type="spellEnd"/>
      <w:r>
        <w:t xml:space="preserve">/2021/008/NHSPS - </w:t>
      </w:r>
      <w:hyperlink r:id="rId15">
        <w:r>
          <w:rPr>
            <w:color w:val="00526F"/>
            <w:u w:val="single" w:color="00526F"/>
          </w:rPr>
          <w:t>Elimination of bottles of liquefied phenol 80%</w:t>
        </w:r>
      </w:hyperlink>
    </w:p>
    <w:p w14:paraId="37DA1279" w14:textId="77777777" w:rsidR="0050438D" w:rsidRDefault="00000000">
      <w:pPr>
        <w:pStyle w:val="ListParagraph"/>
        <w:numPr>
          <w:ilvl w:val="0"/>
          <w:numId w:val="1"/>
        </w:numPr>
        <w:tabs>
          <w:tab w:val="left" w:pos="851"/>
          <w:tab w:val="left" w:pos="853"/>
        </w:tabs>
        <w:spacing w:before="1" w:line="240" w:lineRule="auto"/>
        <w:ind w:right="951"/>
      </w:pPr>
      <w:r>
        <w:t>Bryant</w:t>
      </w:r>
      <w:r>
        <w:rPr>
          <w:spacing w:val="-4"/>
        </w:rPr>
        <w:t xml:space="preserve"> </w:t>
      </w:r>
      <w:r>
        <w:t>A,</w:t>
      </w:r>
      <w:r>
        <w:rPr>
          <w:spacing w:val="-1"/>
        </w:rPr>
        <w:t xml:space="preserve"> </w:t>
      </w:r>
      <w:r>
        <w:t>Knox</w:t>
      </w:r>
      <w:r>
        <w:rPr>
          <w:spacing w:val="-2"/>
        </w:rPr>
        <w:t xml:space="preserve"> </w:t>
      </w:r>
      <w:r>
        <w:t>A.</w:t>
      </w:r>
      <w:r>
        <w:rPr>
          <w:spacing w:val="-5"/>
        </w:rPr>
        <w:t xml:space="preserve"> </w:t>
      </w:r>
      <w:r>
        <w:t>Ingrown</w:t>
      </w:r>
      <w:r>
        <w:rPr>
          <w:spacing w:val="-3"/>
        </w:rPr>
        <w:t xml:space="preserve"> </w:t>
      </w:r>
      <w:r>
        <w:t>toenails:</w:t>
      </w:r>
      <w:r>
        <w:rPr>
          <w:spacing w:val="-4"/>
        </w:rPr>
        <w:t xml:space="preserve"> </w:t>
      </w:r>
      <w:r>
        <w:t>the</w:t>
      </w:r>
      <w:r>
        <w:rPr>
          <w:spacing w:val="-5"/>
        </w:rPr>
        <w:t xml:space="preserve"> </w:t>
      </w:r>
      <w:r>
        <w:t>role</w:t>
      </w:r>
      <w:r>
        <w:rPr>
          <w:spacing w:val="-3"/>
        </w:rPr>
        <w:t xml:space="preserve"> </w:t>
      </w:r>
      <w:r>
        <w:t>of</w:t>
      </w:r>
      <w:r>
        <w:rPr>
          <w:spacing w:val="-4"/>
        </w:rPr>
        <w:t xml:space="preserve"> </w:t>
      </w:r>
      <w:r>
        <w:t>the</w:t>
      </w:r>
      <w:r>
        <w:rPr>
          <w:spacing w:val="-3"/>
        </w:rPr>
        <w:t xml:space="preserve"> </w:t>
      </w:r>
      <w:r>
        <w:t>GP.</w:t>
      </w:r>
      <w:r>
        <w:rPr>
          <w:spacing w:val="-1"/>
        </w:rPr>
        <w:t xml:space="preserve"> </w:t>
      </w:r>
      <w:r>
        <w:t>Australian</w:t>
      </w:r>
      <w:r>
        <w:rPr>
          <w:spacing w:val="-3"/>
        </w:rPr>
        <w:t xml:space="preserve"> </w:t>
      </w:r>
      <w:r>
        <w:t>Family</w:t>
      </w:r>
      <w:r>
        <w:rPr>
          <w:spacing w:val="-5"/>
        </w:rPr>
        <w:t xml:space="preserve"> </w:t>
      </w:r>
      <w:r>
        <w:t>Physician. Volume 44, Issue 3, March 2015</w:t>
      </w:r>
    </w:p>
    <w:p w14:paraId="44038BCA" w14:textId="77777777" w:rsidR="0050438D" w:rsidRDefault="00000000">
      <w:pPr>
        <w:pStyle w:val="ListParagraph"/>
        <w:numPr>
          <w:ilvl w:val="0"/>
          <w:numId w:val="1"/>
        </w:numPr>
        <w:tabs>
          <w:tab w:val="left" w:pos="851"/>
        </w:tabs>
        <w:ind w:left="851" w:hanging="358"/>
      </w:pPr>
      <w:r>
        <w:t>Safe</w:t>
      </w:r>
      <w:r>
        <w:rPr>
          <w:spacing w:val="-5"/>
        </w:rPr>
        <w:t xml:space="preserve"> </w:t>
      </w:r>
      <w:r>
        <w:t>Work</w:t>
      </w:r>
      <w:r>
        <w:rPr>
          <w:spacing w:val="-8"/>
        </w:rPr>
        <w:t xml:space="preserve"> </w:t>
      </w:r>
      <w:r>
        <w:t>Australia:</w:t>
      </w:r>
      <w:r>
        <w:rPr>
          <w:spacing w:val="-4"/>
        </w:rPr>
        <w:t xml:space="preserve"> </w:t>
      </w:r>
      <w:hyperlink r:id="rId16">
        <w:r>
          <w:rPr>
            <w:color w:val="00526F"/>
            <w:u w:val="single" w:color="00526F"/>
          </w:rPr>
          <w:t>Exposure</w:t>
        </w:r>
        <w:r>
          <w:rPr>
            <w:color w:val="00526F"/>
            <w:spacing w:val="-5"/>
            <w:u w:val="single" w:color="00526F"/>
          </w:rPr>
          <w:t xml:space="preserve"> </w:t>
        </w:r>
        <w:r>
          <w:rPr>
            <w:color w:val="00526F"/>
            <w:u w:val="single" w:color="00526F"/>
          </w:rPr>
          <w:t>Standard</w:t>
        </w:r>
        <w:r>
          <w:rPr>
            <w:color w:val="00526F"/>
            <w:spacing w:val="-8"/>
            <w:u w:val="single" w:color="00526F"/>
          </w:rPr>
          <w:t xml:space="preserve"> </w:t>
        </w:r>
        <w:r>
          <w:rPr>
            <w:color w:val="00526F"/>
            <w:u w:val="single" w:color="00526F"/>
          </w:rPr>
          <w:t>Documentation</w:t>
        </w:r>
        <w:r>
          <w:rPr>
            <w:color w:val="00526F"/>
            <w:spacing w:val="-4"/>
            <w:u w:val="single" w:color="00526F"/>
          </w:rPr>
          <w:t xml:space="preserve"> </w:t>
        </w:r>
        <w:r>
          <w:rPr>
            <w:color w:val="00526F"/>
            <w:u w:val="single" w:color="00526F"/>
          </w:rPr>
          <w:t>–</w:t>
        </w:r>
        <w:r>
          <w:rPr>
            <w:color w:val="00526F"/>
            <w:spacing w:val="-7"/>
            <w:u w:val="single" w:color="00526F"/>
          </w:rPr>
          <w:t xml:space="preserve"> </w:t>
        </w:r>
        <w:r>
          <w:rPr>
            <w:color w:val="00526F"/>
            <w:spacing w:val="-2"/>
            <w:u w:val="single" w:color="00526F"/>
          </w:rPr>
          <w:t>Phenol</w:t>
        </w:r>
      </w:hyperlink>
    </w:p>
    <w:p w14:paraId="5716AA6F" w14:textId="77777777" w:rsidR="0050438D" w:rsidRDefault="00000000">
      <w:pPr>
        <w:pStyle w:val="ListParagraph"/>
        <w:numPr>
          <w:ilvl w:val="0"/>
          <w:numId w:val="1"/>
        </w:numPr>
        <w:tabs>
          <w:tab w:val="left" w:pos="851"/>
        </w:tabs>
        <w:ind w:left="851" w:hanging="358"/>
      </w:pPr>
      <w:r>
        <w:t>Australian</w:t>
      </w:r>
      <w:r>
        <w:rPr>
          <w:spacing w:val="-8"/>
        </w:rPr>
        <w:t xml:space="preserve"> </w:t>
      </w:r>
      <w:r>
        <w:t>Commission</w:t>
      </w:r>
      <w:r>
        <w:rPr>
          <w:spacing w:val="-5"/>
        </w:rPr>
        <w:t xml:space="preserve"> </w:t>
      </w:r>
      <w:r>
        <w:t>on</w:t>
      </w:r>
      <w:r>
        <w:rPr>
          <w:spacing w:val="-5"/>
        </w:rPr>
        <w:t xml:space="preserve"> </w:t>
      </w:r>
      <w:r>
        <w:t>Safety</w:t>
      </w:r>
      <w:r>
        <w:rPr>
          <w:spacing w:val="-4"/>
        </w:rPr>
        <w:t xml:space="preserve"> </w:t>
      </w:r>
      <w:r>
        <w:t>and</w:t>
      </w:r>
      <w:r>
        <w:rPr>
          <w:spacing w:val="-7"/>
        </w:rPr>
        <w:t xml:space="preserve"> </w:t>
      </w:r>
      <w:r>
        <w:t>Quality</w:t>
      </w:r>
      <w:r>
        <w:rPr>
          <w:spacing w:val="-6"/>
        </w:rPr>
        <w:t xml:space="preserve"> </w:t>
      </w:r>
      <w:r>
        <w:t>in</w:t>
      </w:r>
      <w:r>
        <w:rPr>
          <w:spacing w:val="-5"/>
        </w:rPr>
        <w:t xml:space="preserve"> </w:t>
      </w:r>
      <w:r>
        <w:t>Health</w:t>
      </w:r>
      <w:r>
        <w:rPr>
          <w:spacing w:val="-5"/>
        </w:rPr>
        <w:t xml:space="preserve"> </w:t>
      </w:r>
      <w:r>
        <w:t>Care</w:t>
      </w:r>
      <w:r>
        <w:rPr>
          <w:spacing w:val="-5"/>
        </w:rPr>
        <w:t xml:space="preserve"> </w:t>
      </w:r>
      <w:hyperlink r:id="rId17" w:anchor="%3A~%3Atext%3DThe%20Medication%20Safety%20Standard%20requires%20health%20service%20organisations%2Cabout%20their%20medicines%20and%20involve%20them%20in%20decision-making">
        <w:r>
          <w:rPr>
            <w:color w:val="00526F"/>
            <w:u w:val="single" w:color="00526F"/>
          </w:rPr>
          <w:t>Medication</w:t>
        </w:r>
        <w:r>
          <w:rPr>
            <w:color w:val="00526F"/>
            <w:spacing w:val="-5"/>
            <w:u w:val="single" w:color="00526F"/>
          </w:rPr>
          <w:t xml:space="preserve"> </w:t>
        </w:r>
        <w:r>
          <w:rPr>
            <w:color w:val="00526F"/>
            <w:u w:val="single" w:color="00526F"/>
          </w:rPr>
          <w:t>Safety</w:t>
        </w:r>
        <w:r>
          <w:rPr>
            <w:color w:val="00526F"/>
            <w:spacing w:val="-6"/>
            <w:u w:val="single" w:color="00526F"/>
          </w:rPr>
          <w:t xml:space="preserve"> </w:t>
        </w:r>
        <w:r>
          <w:rPr>
            <w:color w:val="00526F"/>
            <w:spacing w:val="-2"/>
            <w:u w:val="single" w:color="00526F"/>
          </w:rPr>
          <w:t>Standard</w:t>
        </w:r>
      </w:hyperlink>
      <w:r>
        <w:rPr>
          <w:color w:val="333333"/>
          <w:spacing w:val="-2"/>
        </w:rPr>
        <w:t>.</w:t>
      </w:r>
    </w:p>
    <w:p w14:paraId="1B954D4D" w14:textId="77777777" w:rsidR="0050438D" w:rsidRDefault="00000000">
      <w:pPr>
        <w:pStyle w:val="ListParagraph"/>
        <w:numPr>
          <w:ilvl w:val="0"/>
          <w:numId w:val="1"/>
        </w:numPr>
        <w:tabs>
          <w:tab w:val="left" w:pos="851"/>
        </w:tabs>
        <w:spacing w:before="1"/>
        <w:ind w:left="851" w:hanging="358"/>
        <w:rPr>
          <w:color w:val="00526F"/>
        </w:rPr>
      </w:pPr>
      <w:hyperlink r:id="rId18">
        <w:r>
          <w:rPr>
            <w:color w:val="00526F"/>
            <w:u w:val="single" w:color="00526F"/>
          </w:rPr>
          <w:t>Diagnostic</w:t>
        </w:r>
        <w:r>
          <w:rPr>
            <w:color w:val="00526F"/>
            <w:spacing w:val="-9"/>
            <w:u w:val="single" w:color="00526F"/>
          </w:rPr>
          <w:t xml:space="preserve"> </w:t>
        </w:r>
        <w:r>
          <w:rPr>
            <w:color w:val="00526F"/>
            <w:u w:val="single" w:color="00526F"/>
          </w:rPr>
          <w:t>Imaging</w:t>
        </w:r>
        <w:r>
          <w:rPr>
            <w:color w:val="00526F"/>
            <w:spacing w:val="-10"/>
            <w:u w:val="single" w:color="00526F"/>
          </w:rPr>
          <w:t xml:space="preserve"> </w:t>
        </w:r>
        <w:r>
          <w:rPr>
            <w:color w:val="00526F"/>
            <w:u w:val="single" w:color="00526F"/>
          </w:rPr>
          <w:t>Accreditation</w:t>
        </w:r>
        <w:r>
          <w:rPr>
            <w:color w:val="00526F"/>
            <w:spacing w:val="-9"/>
            <w:u w:val="single" w:color="00526F"/>
          </w:rPr>
          <w:t xml:space="preserve"> </w:t>
        </w:r>
        <w:r>
          <w:rPr>
            <w:color w:val="00526F"/>
            <w:u w:val="single" w:color="00526F"/>
          </w:rPr>
          <w:t>Scheme</w:t>
        </w:r>
        <w:r>
          <w:rPr>
            <w:color w:val="00526F"/>
            <w:spacing w:val="-9"/>
            <w:u w:val="single" w:color="00526F"/>
          </w:rPr>
          <w:t xml:space="preserve"> </w:t>
        </w:r>
        <w:r>
          <w:rPr>
            <w:color w:val="00526F"/>
            <w:spacing w:val="-2"/>
            <w:u w:val="single" w:color="00526F"/>
          </w:rPr>
          <w:t>Standards</w:t>
        </w:r>
      </w:hyperlink>
      <w:r>
        <w:rPr>
          <w:color w:val="00526F"/>
          <w:spacing w:val="-2"/>
          <w:u w:val="single" w:color="00526F"/>
        </w:rPr>
        <w:t>.</w:t>
      </w:r>
    </w:p>
    <w:p w14:paraId="49C348CE" w14:textId="77777777" w:rsidR="0050438D" w:rsidRDefault="00000000">
      <w:pPr>
        <w:pStyle w:val="ListParagraph"/>
        <w:numPr>
          <w:ilvl w:val="0"/>
          <w:numId w:val="1"/>
        </w:numPr>
        <w:tabs>
          <w:tab w:val="left" w:pos="851"/>
        </w:tabs>
        <w:ind w:left="851" w:hanging="358"/>
      </w:pPr>
      <w:r>
        <w:t>Pharmacy</w:t>
      </w:r>
      <w:r>
        <w:rPr>
          <w:spacing w:val="-9"/>
        </w:rPr>
        <w:t xml:space="preserve"> </w:t>
      </w:r>
      <w:r>
        <w:t>Board</w:t>
      </w:r>
      <w:r>
        <w:rPr>
          <w:spacing w:val="-7"/>
        </w:rPr>
        <w:t xml:space="preserve"> </w:t>
      </w:r>
      <w:r>
        <w:t>of</w:t>
      </w:r>
      <w:r>
        <w:rPr>
          <w:spacing w:val="-6"/>
        </w:rPr>
        <w:t xml:space="preserve"> </w:t>
      </w:r>
      <w:r>
        <w:t>Australia</w:t>
      </w:r>
      <w:r>
        <w:rPr>
          <w:spacing w:val="-3"/>
        </w:rPr>
        <w:t xml:space="preserve"> </w:t>
      </w:r>
      <w:hyperlink r:id="rId19">
        <w:r>
          <w:rPr>
            <w:color w:val="00526F"/>
            <w:u w:val="single" w:color="00526F"/>
          </w:rPr>
          <w:t>Guidelines</w:t>
        </w:r>
        <w:r>
          <w:rPr>
            <w:color w:val="00526F"/>
            <w:spacing w:val="-4"/>
            <w:u w:val="single" w:color="00526F"/>
          </w:rPr>
          <w:t xml:space="preserve"> </w:t>
        </w:r>
        <w:r>
          <w:rPr>
            <w:color w:val="00526F"/>
            <w:u w:val="single" w:color="00526F"/>
          </w:rPr>
          <w:t>on</w:t>
        </w:r>
        <w:r>
          <w:rPr>
            <w:color w:val="00526F"/>
            <w:spacing w:val="-6"/>
            <w:u w:val="single" w:color="00526F"/>
          </w:rPr>
          <w:t xml:space="preserve"> </w:t>
        </w:r>
        <w:r>
          <w:rPr>
            <w:color w:val="00526F"/>
            <w:u w:val="single" w:color="00526F"/>
          </w:rPr>
          <w:t>compounding</w:t>
        </w:r>
        <w:r>
          <w:rPr>
            <w:color w:val="00526F"/>
            <w:spacing w:val="-5"/>
            <w:u w:val="single" w:color="00526F"/>
          </w:rPr>
          <w:t xml:space="preserve"> </w:t>
        </w:r>
        <w:r>
          <w:rPr>
            <w:color w:val="00526F"/>
            <w:u w:val="single" w:color="00526F"/>
          </w:rPr>
          <w:t>of</w:t>
        </w:r>
        <w:r>
          <w:rPr>
            <w:color w:val="00526F"/>
            <w:spacing w:val="-5"/>
            <w:u w:val="single" w:color="00526F"/>
          </w:rPr>
          <w:t xml:space="preserve"> </w:t>
        </w:r>
        <w:r>
          <w:rPr>
            <w:color w:val="00526F"/>
            <w:spacing w:val="-2"/>
            <w:u w:val="single" w:color="00526F"/>
          </w:rPr>
          <w:t>medicines</w:t>
        </w:r>
      </w:hyperlink>
      <w:r>
        <w:rPr>
          <w:color w:val="00526F"/>
          <w:spacing w:val="-2"/>
          <w:u w:val="single" w:color="00526F"/>
        </w:rPr>
        <w:t>.</w:t>
      </w:r>
    </w:p>
    <w:p w14:paraId="63CCEBC3" w14:textId="77777777" w:rsidR="0050438D" w:rsidRDefault="00000000">
      <w:pPr>
        <w:pStyle w:val="Heading1"/>
        <w:spacing w:before="362"/>
      </w:pPr>
      <w:r>
        <w:rPr>
          <w:color w:val="00526F"/>
        </w:rPr>
        <w:t>For</w:t>
      </w:r>
      <w:r>
        <w:rPr>
          <w:color w:val="00526F"/>
          <w:spacing w:val="-9"/>
        </w:rPr>
        <w:t xml:space="preserve"> </w:t>
      </w:r>
      <w:r>
        <w:rPr>
          <w:color w:val="00526F"/>
        </w:rPr>
        <w:t>more</w:t>
      </w:r>
      <w:r>
        <w:rPr>
          <w:color w:val="00526F"/>
          <w:spacing w:val="-8"/>
        </w:rPr>
        <w:t xml:space="preserve"> </w:t>
      </w:r>
      <w:r>
        <w:rPr>
          <w:color w:val="00526F"/>
          <w:spacing w:val="-2"/>
        </w:rPr>
        <w:t>information</w:t>
      </w:r>
    </w:p>
    <w:p w14:paraId="477D8B61" w14:textId="77777777" w:rsidR="0050438D" w:rsidRDefault="00000000">
      <w:pPr>
        <w:pStyle w:val="BodyText"/>
        <w:spacing w:before="240"/>
      </w:pPr>
      <w:r>
        <w:t>For</w:t>
      </w:r>
      <w:r>
        <w:rPr>
          <w:spacing w:val="-6"/>
        </w:rPr>
        <w:t xml:space="preserve"> </w:t>
      </w:r>
      <w:r>
        <w:t>more</w:t>
      </w:r>
      <w:r>
        <w:rPr>
          <w:spacing w:val="-7"/>
        </w:rPr>
        <w:t xml:space="preserve"> </w:t>
      </w:r>
      <w:r>
        <w:t>information,</w:t>
      </w:r>
      <w:r>
        <w:rPr>
          <w:spacing w:val="-2"/>
        </w:rPr>
        <w:t xml:space="preserve"> </w:t>
      </w:r>
      <w:r>
        <w:t>please</w:t>
      </w:r>
      <w:r>
        <w:rPr>
          <w:spacing w:val="-5"/>
        </w:rPr>
        <w:t xml:space="preserve"> </w:t>
      </w:r>
      <w:r>
        <w:t>visit:</w:t>
      </w:r>
      <w:r>
        <w:rPr>
          <w:spacing w:val="-5"/>
        </w:rPr>
        <w:t xml:space="preserve"> </w:t>
      </w:r>
      <w:hyperlink r:id="rId20">
        <w:r>
          <w:rPr>
            <w:color w:val="00526F"/>
            <w:u w:val="single" w:color="00526F"/>
          </w:rPr>
          <w:t>www.safetyandquality.gov.au/standards/diagnostic-imaging</w:t>
        </w:r>
      </w:hyperlink>
      <w:r>
        <w:rPr>
          <w:color w:val="00526F"/>
          <w:spacing w:val="-5"/>
        </w:rPr>
        <w:t xml:space="preserve"> </w:t>
      </w:r>
      <w:r>
        <w:t xml:space="preserve">or contact </w:t>
      </w:r>
      <w:hyperlink r:id="rId21">
        <w:r>
          <w:rPr>
            <w:color w:val="00526F"/>
            <w:u w:val="single" w:color="00526F"/>
          </w:rPr>
          <w:t>mail@safetyandquality.gov.au</w:t>
        </w:r>
      </w:hyperlink>
    </w:p>
    <w:p w14:paraId="3658E586" w14:textId="77777777" w:rsidR="0050438D" w:rsidRDefault="00000000">
      <w:pPr>
        <w:spacing w:before="121"/>
        <w:ind w:left="132"/>
        <w:rPr>
          <w:b/>
          <w:sz w:val="26"/>
        </w:rPr>
      </w:pPr>
      <w:hyperlink r:id="rId22">
        <w:r>
          <w:rPr>
            <w:b/>
            <w:color w:val="00526F"/>
            <w:spacing w:val="-2"/>
            <w:sz w:val="26"/>
          </w:rPr>
          <w:t>safetyandquality.gov.au</w:t>
        </w:r>
      </w:hyperlink>
    </w:p>
    <w:p w14:paraId="0B6A24FE" w14:textId="77777777" w:rsidR="0050438D" w:rsidRDefault="00000000">
      <w:pPr>
        <w:pStyle w:val="BodyText"/>
        <w:spacing w:before="118"/>
        <w:ind w:left="1638" w:right="4517"/>
      </w:pPr>
      <w:r>
        <w:rPr>
          <w:noProof/>
        </w:rPr>
        <w:drawing>
          <wp:anchor distT="0" distB="0" distL="0" distR="0" simplePos="0" relativeHeight="15729152" behindDoc="0" locked="0" layoutInCell="1" allowOverlap="1" wp14:anchorId="1F41A001" wp14:editId="33A40E38">
            <wp:simplePos x="0" y="0"/>
            <wp:positionH relativeFrom="page">
              <wp:posOffset>720090</wp:posOffset>
            </wp:positionH>
            <wp:positionV relativeFrom="paragraph">
              <wp:posOffset>108321</wp:posOffset>
            </wp:positionV>
            <wp:extent cx="840105" cy="29780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3" cstate="print"/>
                    <a:stretch>
                      <a:fillRect/>
                    </a:stretch>
                  </pic:blipFill>
                  <pic:spPr>
                    <a:xfrm>
                      <a:off x="0" y="0"/>
                      <a:ext cx="840105" cy="297802"/>
                    </a:xfrm>
                    <a:prstGeom prst="rect">
                      <a:avLst/>
                    </a:prstGeom>
                  </pic:spPr>
                </pic:pic>
              </a:graphicData>
            </a:graphic>
          </wp:anchor>
        </w:drawing>
      </w:r>
      <w:r>
        <w:t>©</w:t>
      </w:r>
      <w:r>
        <w:rPr>
          <w:spacing w:val="-9"/>
        </w:rPr>
        <w:t xml:space="preserve"> </w:t>
      </w:r>
      <w:r>
        <w:t>Australian</w:t>
      </w:r>
      <w:r>
        <w:rPr>
          <w:spacing w:val="-9"/>
        </w:rPr>
        <w:t xml:space="preserve"> </w:t>
      </w:r>
      <w:r>
        <w:t>Commission</w:t>
      </w:r>
      <w:r>
        <w:rPr>
          <w:spacing w:val="-9"/>
        </w:rPr>
        <w:t xml:space="preserve"> </w:t>
      </w:r>
      <w:r>
        <w:t>on</w:t>
      </w:r>
      <w:r>
        <w:rPr>
          <w:spacing w:val="-9"/>
        </w:rPr>
        <w:t xml:space="preserve"> </w:t>
      </w:r>
      <w:r>
        <w:t>Safety and Quality in Health Care 2024</w:t>
      </w:r>
    </w:p>
    <w:sectPr w:rsidR="0050438D">
      <w:pgSz w:w="11910" w:h="16840"/>
      <w:pgMar w:top="1820" w:right="980" w:bottom="1160" w:left="1000" w:header="672"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B618" w14:textId="77777777" w:rsidR="00BB2BD9" w:rsidRDefault="00BB2BD9">
      <w:r>
        <w:separator/>
      </w:r>
    </w:p>
  </w:endnote>
  <w:endnote w:type="continuationSeparator" w:id="0">
    <w:p w14:paraId="6E6A61ED" w14:textId="77777777" w:rsidR="00BB2BD9" w:rsidRDefault="00BB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F04A" w14:textId="77777777" w:rsidR="0050438D" w:rsidRDefault="00000000">
    <w:pPr>
      <w:pStyle w:val="BodyText"/>
      <w:spacing w:line="14" w:lineRule="auto"/>
      <w:ind w:left="0"/>
      <w:rPr>
        <w:sz w:val="20"/>
      </w:rPr>
    </w:pPr>
    <w:r>
      <w:rPr>
        <w:noProof/>
      </w:rPr>
      <mc:AlternateContent>
        <mc:Choice Requires="wps">
          <w:drawing>
            <wp:anchor distT="0" distB="0" distL="0" distR="0" simplePos="0" relativeHeight="487527424" behindDoc="1" locked="0" layoutInCell="1" allowOverlap="1" wp14:anchorId="3A57481D" wp14:editId="41765668">
              <wp:simplePos x="0" y="0"/>
              <wp:positionH relativeFrom="page">
                <wp:posOffset>706627</wp:posOffset>
              </wp:positionH>
              <wp:positionV relativeFrom="page">
                <wp:posOffset>9943076</wp:posOffset>
              </wp:positionV>
              <wp:extent cx="397002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0020" cy="167005"/>
                      </a:xfrm>
                      <a:prstGeom prst="rect">
                        <a:avLst/>
                      </a:prstGeom>
                    </wps:spPr>
                    <wps:txbx>
                      <w:txbxContent>
                        <w:p w14:paraId="20DC613D" w14:textId="77777777" w:rsidR="0050438D" w:rsidRDefault="00000000">
                          <w:pPr>
                            <w:spacing w:before="12"/>
                            <w:ind w:left="20"/>
                            <w:rPr>
                              <w:sz w:val="20"/>
                            </w:rPr>
                          </w:pPr>
                          <w:r>
                            <w:rPr>
                              <w:sz w:val="20"/>
                            </w:rPr>
                            <w:t>Fact</w:t>
                          </w:r>
                          <w:r>
                            <w:rPr>
                              <w:spacing w:val="-7"/>
                              <w:sz w:val="20"/>
                            </w:rPr>
                            <w:t xml:space="preserve"> </w:t>
                          </w:r>
                          <w:r>
                            <w:rPr>
                              <w:sz w:val="20"/>
                            </w:rPr>
                            <w:t>sheet:</w:t>
                          </w:r>
                          <w:r>
                            <w:rPr>
                              <w:spacing w:val="-4"/>
                              <w:sz w:val="20"/>
                            </w:rPr>
                            <w:t xml:space="preserve"> </w:t>
                          </w:r>
                          <w:r>
                            <w:rPr>
                              <w:sz w:val="20"/>
                            </w:rPr>
                            <w:t>Preventing</w:t>
                          </w:r>
                          <w:r>
                            <w:rPr>
                              <w:spacing w:val="-7"/>
                              <w:sz w:val="20"/>
                            </w:rPr>
                            <w:t xml:space="preserve"> </w:t>
                          </w:r>
                          <w:r>
                            <w:rPr>
                              <w:sz w:val="20"/>
                            </w:rPr>
                            <w:t>harm</w:t>
                          </w:r>
                          <w:r>
                            <w:rPr>
                              <w:spacing w:val="-7"/>
                              <w:sz w:val="20"/>
                            </w:rPr>
                            <w:t xml:space="preserve"> </w:t>
                          </w:r>
                          <w:r>
                            <w:rPr>
                              <w:sz w:val="20"/>
                            </w:rPr>
                            <w:t>from</w:t>
                          </w:r>
                          <w:r>
                            <w:rPr>
                              <w:spacing w:val="-5"/>
                              <w:sz w:val="20"/>
                            </w:rPr>
                            <w:t xml:space="preserve"> </w:t>
                          </w:r>
                          <w:r>
                            <w:rPr>
                              <w:sz w:val="20"/>
                            </w:rPr>
                            <w:t>phenol</w:t>
                          </w:r>
                          <w:r>
                            <w:rPr>
                              <w:spacing w:val="-5"/>
                              <w:sz w:val="20"/>
                            </w:rPr>
                            <w:t xml:space="preserve"> </w:t>
                          </w:r>
                          <w:r>
                            <w:rPr>
                              <w:sz w:val="20"/>
                            </w:rPr>
                            <w:t>in</w:t>
                          </w:r>
                          <w:r>
                            <w:rPr>
                              <w:spacing w:val="-6"/>
                              <w:sz w:val="20"/>
                            </w:rPr>
                            <w:t xml:space="preserve"> </w:t>
                          </w:r>
                          <w:r>
                            <w:rPr>
                              <w:sz w:val="20"/>
                            </w:rPr>
                            <w:t>medical</w:t>
                          </w:r>
                          <w:r>
                            <w:rPr>
                              <w:spacing w:val="-6"/>
                              <w:sz w:val="20"/>
                            </w:rPr>
                            <w:t xml:space="preserve"> </w:t>
                          </w:r>
                          <w:r>
                            <w:rPr>
                              <w:sz w:val="20"/>
                            </w:rPr>
                            <w:t>imaging</w:t>
                          </w:r>
                          <w:r>
                            <w:rPr>
                              <w:spacing w:val="-6"/>
                              <w:sz w:val="20"/>
                            </w:rPr>
                            <w:t xml:space="preserve"> </w:t>
                          </w:r>
                          <w:r>
                            <w:rPr>
                              <w:sz w:val="20"/>
                            </w:rPr>
                            <w:t>Jan</w:t>
                          </w:r>
                          <w:r>
                            <w:rPr>
                              <w:spacing w:val="-8"/>
                              <w:sz w:val="20"/>
                            </w:rPr>
                            <w:t xml:space="preserve"> </w:t>
                          </w:r>
                          <w:r>
                            <w:rPr>
                              <w:spacing w:val="-4"/>
                              <w:sz w:val="20"/>
                            </w:rPr>
                            <w:t>2025</w:t>
                          </w:r>
                        </w:p>
                      </w:txbxContent>
                    </wps:txbx>
                    <wps:bodyPr wrap="square" lIns="0" tIns="0" rIns="0" bIns="0" rtlCol="0">
                      <a:noAutofit/>
                    </wps:bodyPr>
                  </wps:wsp>
                </a:graphicData>
              </a:graphic>
            </wp:anchor>
          </w:drawing>
        </mc:Choice>
        <mc:Fallback>
          <w:pict>
            <v:shapetype w14:anchorId="3A57481D" id="_x0000_t202" coordsize="21600,21600" o:spt="202" path="m,l,21600r21600,l21600,xe">
              <v:stroke joinstyle="miter"/>
              <v:path gradientshapeok="t" o:connecttype="rect"/>
            </v:shapetype>
            <v:shape id="Textbox 2" o:spid="_x0000_s1026" type="#_x0000_t202" style="position:absolute;margin-left:55.65pt;margin-top:782.9pt;width:312.6pt;height:13.15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" filled="f" stroked="f">
              <v:textbox inset="0,0,0,0">
                <w:txbxContent>
                  <w:p w14:paraId="20DC613D" w14:textId="77777777" w:rsidR="0050438D" w:rsidRDefault="00000000">
                    <w:pPr>
                      <w:spacing w:before="12"/>
                      <w:ind w:left="20"/>
                      <w:rPr>
                        <w:sz w:val="20"/>
                      </w:rPr>
                    </w:pPr>
                    <w:r>
                      <w:rPr>
                        <w:sz w:val="20"/>
                      </w:rPr>
                      <w:t>Fact</w:t>
                    </w:r>
                    <w:r>
                      <w:rPr>
                        <w:spacing w:val="-7"/>
                        <w:sz w:val="20"/>
                      </w:rPr>
                      <w:t xml:space="preserve"> </w:t>
                    </w:r>
                    <w:r>
                      <w:rPr>
                        <w:sz w:val="20"/>
                      </w:rPr>
                      <w:t>sheet:</w:t>
                    </w:r>
                    <w:r>
                      <w:rPr>
                        <w:spacing w:val="-4"/>
                        <w:sz w:val="20"/>
                      </w:rPr>
                      <w:t xml:space="preserve"> </w:t>
                    </w:r>
                    <w:r>
                      <w:rPr>
                        <w:sz w:val="20"/>
                      </w:rPr>
                      <w:t>Preventing</w:t>
                    </w:r>
                    <w:r>
                      <w:rPr>
                        <w:spacing w:val="-7"/>
                        <w:sz w:val="20"/>
                      </w:rPr>
                      <w:t xml:space="preserve"> </w:t>
                    </w:r>
                    <w:r>
                      <w:rPr>
                        <w:sz w:val="20"/>
                      </w:rPr>
                      <w:t>harm</w:t>
                    </w:r>
                    <w:r>
                      <w:rPr>
                        <w:spacing w:val="-7"/>
                        <w:sz w:val="20"/>
                      </w:rPr>
                      <w:t xml:space="preserve"> </w:t>
                    </w:r>
                    <w:r>
                      <w:rPr>
                        <w:sz w:val="20"/>
                      </w:rPr>
                      <w:t>from</w:t>
                    </w:r>
                    <w:r>
                      <w:rPr>
                        <w:spacing w:val="-5"/>
                        <w:sz w:val="20"/>
                      </w:rPr>
                      <w:t xml:space="preserve"> </w:t>
                    </w:r>
                    <w:r>
                      <w:rPr>
                        <w:sz w:val="20"/>
                      </w:rPr>
                      <w:t>phenol</w:t>
                    </w:r>
                    <w:r>
                      <w:rPr>
                        <w:spacing w:val="-5"/>
                        <w:sz w:val="20"/>
                      </w:rPr>
                      <w:t xml:space="preserve"> </w:t>
                    </w:r>
                    <w:r>
                      <w:rPr>
                        <w:sz w:val="20"/>
                      </w:rPr>
                      <w:t>in</w:t>
                    </w:r>
                    <w:r>
                      <w:rPr>
                        <w:spacing w:val="-6"/>
                        <w:sz w:val="20"/>
                      </w:rPr>
                      <w:t xml:space="preserve"> </w:t>
                    </w:r>
                    <w:r>
                      <w:rPr>
                        <w:sz w:val="20"/>
                      </w:rPr>
                      <w:t>medical</w:t>
                    </w:r>
                    <w:r>
                      <w:rPr>
                        <w:spacing w:val="-6"/>
                        <w:sz w:val="20"/>
                      </w:rPr>
                      <w:t xml:space="preserve"> </w:t>
                    </w:r>
                    <w:r>
                      <w:rPr>
                        <w:sz w:val="20"/>
                      </w:rPr>
                      <w:t>imaging</w:t>
                    </w:r>
                    <w:r>
                      <w:rPr>
                        <w:spacing w:val="-6"/>
                        <w:sz w:val="20"/>
                      </w:rPr>
                      <w:t xml:space="preserve"> </w:t>
                    </w:r>
                    <w:r>
                      <w:rPr>
                        <w:sz w:val="20"/>
                      </w:rPr>
                      <w:t>Jan</w:t>
                    </w:r>
                    <w:r>
                      <w:rPr>
                        <w:spacing w:val="-8"/>
                        <w:sz w:val="20"/>
                      </w:rPr>
                      <w:t xml:space="preserve"> </w:t>
                    </w:r>
                    <w:r>
                      <w:rPr>
                        <w:spacing w:val="-4"/>
                        <w:sz w:val="20"/>
                      </w:rPr>
                      <w:t>2025</w:t>
                    </w:r>
                  </w:p>
                </w:txbxContent>
              </v:textbox>
              <w10:wrap anchorx="page" anchory="page"/>
            </v:shape>
          </w:pict>
        </mc:Fallback>
      </mc:AlternateContent>
    </w:r>
    <w:r>
      <w:rPr>
        <w:noProof/>
      </w:rPr>
      <mc:AlternateContent>
        <mc:Choice Requires="wps">
          <w:drawing>
            <wp:anchor distT="0" distB="0" distL="0" distR="0" simplePos="0" relativeHeight="487527936" behindDoc="1" locked="0" layoutInCell="1" allowOverlap="1" wp14:anchorId="73DDA467" wp14:editId="18F8EE58">
              <wp:simplePos x="0" y="0"/>
              <wp:positionH relativeFrom="page">
                <wp:posOffset>6115050</wp:posOffset>
              </wp:positionH>
              <wp:positionV relativeFrom="page">
                <wp:posOffset>9943076</wp:posOffset>
              </wp:positionV>
              <wp:extent cx="777240" cy="3117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 cy="311785"/>
                      </a:xfrm>
                      <a:prstGeom prst="rect">
                        <a:avLst/>
                      </a:prstGeom>
                    </wps:spPr>
                    <wps:txbx>
                      <w:txbxContent>
                        <w:p w14:paraId="08529FEB" w14:textId="77777777" w:rsidR="0050438D" w:rsidRDefault="00000000">
                          <w:pPr>
                            <w:spacing w:line="229" w:lineRule="exact"/>
                            <w:ind w:right="78"/>
                            <w:jc w:val="right"/>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73DDA467" id="Textbox 3" o:spid="_x0000_s1027" type="#_x0000_t202" style="position:absolute;margin-left:481.5pt;margin-top:782.9pt;width:61.2pt;height:24.55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" filled="f" stroked="f">
              <v:textbox inset="0,0,0,0">
                <w:txbxContent>
                  <w:p w14:paraId="08529FEB" w14:textId="77777777" w:rsidR="0050438D" w:rsidRDefault="00000000">
                    <w:pPr>
                      <w:spacing w:line="229" w:lineRule="exact"/>
                      <w:ind w:right="78"/>
                      <w:jc w:val="right"/>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26CFB" w14:textId="77777777" w:rsidR="00BB2BD9" w:rsidRDefault="00BB2BD9">
      <w:r>
        <w:separator/>
      </w:r>
    </w:p>
  </w:footnote>
  <w:footnote w:type="continuationSeparator" w:id="0">
    <w:p w14:paraId="0E23CD65" w14:textId="77777777" w:rsidR="00BB2BD9" w:rsidRDefault="00BB2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4E01" w14:textId="77777777" w:rsidR="0050438D" w:rsidRDefault="00000000">
    <w:pPr>
      <w:pStyle w:val="BodyText"/>
      <w:spacing w:line="14" w:lineRule="auto"/>
      <w:ind w:left="0"/>
      <w:rPr>
        <w:sz w:val="20"/>
      </w:rPr>
    </w:pPr>
    <w:r>
      <w:rPr>
        <w:noProof/>
      </w:rPr>
      <w:drawing>
        <wp:anchor distT="0" distB="0" distL="0" distR="0" simplePos="0" relativeHeight="487526912" behindDoc="1" locked="0" layoutInCell="1" allowOverlap="1" wp14:anchorId="2D4318F1" wp14:editId="0220AB46">
          <wp:simplePos x="0" y="0"/>
          <wp:positionH relativeFrom="page">
            <wp:posOffset>695891</wp:posOffset>
          </wp:positionH>
          <wp:positionV relativeFrom="page">
            <wp:posOffset>426588</wp:posOffset>
          </wp:positionV>
          <wp:extent cx="4222200" cy="47828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222200" cy="4782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B2CED"/>
    <w:multiLevelType w:val="hybridMultilevel"/>
    <w:tmpl w:val="706C5C84"/>
    <w:lvl w:ilvl="0" w:tplc="D21C06F2">
      <w:start w:val="1"/>
      <w:numFmt w:val="decimal"/>
      <w:lvlText w:val="%1."/>
      <w:lvlJc w:val="left"/>
      <w:pPr>
        <w:ind w:left="853" w:hanging="360"/>
        <w:jc w:val="left"/>
      </w:pPr>
      <w:rPr>
        <w:rFonts w:hint="default"/>
        <w:spacing w:val="-1"/>
        <w:w w:val="100"/>
        <w:lang w:val="en-US" w:eastAsia="en-US" w:bidi="ar-SA"/>
      </w:rPr>
    </w:lvl>
    <w:lvl w:ilvl="1" w:tplc="DBE8E7FC">
      <w:numFmt w:val="bullet"/>
      <w:lvlText w:val="•"/>
      <w:lvlJc w:val="left"/>
      <w:pPr>
        <w:ind w:left="1766" w:hanging="360"/>
      </w:pPr>
      <w:rPr>
        <w:rFonts w:hint="default"/>
        <w:lang w:val="en-US" w:eastAsia="en-US" w:bidi="ar-SA"/>
      </w:rPr>
    </w:lvl>
    <w:lvl w:ilvl="2" w:tplc="650E283C">
      <w:numFmt w:val="bullet"/>
      <w:lvlText w:val="•"/>
      <w:lvlJc w:val="left"/>
      <w:pPr>
        <w:ind w:left="2673" w:hanging="360"/>
      </w:pPr>
      <w:rPr>
        <w:rFonts w:hint="default"/>
        <w:lang w:val="en-US" w:eastAsia="en-US" w:bidi="ar-SA"/>
      </w:rPr>
    </w:lvl>
    <w:lvl w:ilvl="3" w:tplc="CF5210C8">
      <w:numFmt w:val="bullet"/>
      <w:lvlText w:val="•"/>
      <w:lvlJc w:val="left"/>
      <w:pPr>
        <w:ind w:left="3579" w:hanging="360"/>
      </w:pPr>
      <w:rPr>
        <w:rFonts w:hint="default"/>
        <w:lang w:val="en-US" w:eastAsia="en-US" w:bidi="ar-SA"/>
      </w:rPr>
    </w:lvl>
    <w:lvl w:ilvl="4" w:tplc="3C3C23D0">
      <w:numFmt w:val="bullet"/>
      <w:lvlText w:val="•"/>
      <w:lvlJc w:val="left"/>
      <w:pPr>
        <w:ind w:left="4486" w:hanging="360"/>
      </w:pPr>
      <w:rPr>
        <w:rFonts w:hint="default"/>
        <w:lang w:val="en-US" w:eastAsia="en-US" w:bidi="ar-SA"/>
      </w:rPr>
    </w:lvl>
    <w:lvl w:ilvl="5" w:tplc="57C8068E">
      <w:numFmt w:val="bullet"/>
      <w:lvlText w:val="•"/>
      <w:lvlJc w:val="left"/>
      <w:pPr>
        <w:ind w:left="5393" w:hanging="360"/>
      </w:pPr>
      <w:rPr>
        <w:rFonts w:hint="default"/>
        <w:lang w:val="en-US" w:eastAsia="en-US" w:bidi="ar-SA"/>
      </w:rPr>
    </w:lvl>
    <w:lvl w:ilvl="6" w:tplc="D62E5C18">
      <w:numFmt w:val="bullet"/>
      <w:lvlText w:val="•"/>
      <w:lvlJc w:val="left"/>
      <w:pPr>
        <w:ind w:left="6299" w:hanging="360"/>
      </w:pPr>
      <w:rPr>
        <w:rFonts w:hint="default"/>
        <w:lang w:val="en-US" w:eastAsia="en-US" w:bidi="ar-SA"/>
      </w:rPr>
    </w:lvl>
    <w:lvl w:ilvl="7" w:tplc="A2146F9C">
      <w:numFmt w:val="bullet"/>
      <w:lvlText w:val="•"/>
      <w:lvlJc w:val="left"/>
      <w:pPr>
        <w:ind w:left="7206" w:hanging="360"/>
      </w:pPr>
      <w:rPr>
        <w:rFonts w:hint="default"/>
        <w:lang w:val="en-US" w:eastAsia="en-US" w:bidi="ar-SA"/>
      </w:rPr>
    </w:lvl>
    <w:lvl w:ilvl="8" w:tplc="20D6F82A">
      <w:numFmt w:val="bullet"/>
      <w:lvlText w:val="•"/>
      <w:lvlJc w:val="left"/>
      <w:pPr>
        <w:ind w:left="8113" w:hanging="360"/>
      </w:pPr>
      <w:rPr>
        <w:rFonts w:hint="default"/>
        <w:lang w:val="en-US" w:eastAsia="en-US" w:bidi="ar-SA"/>
      </w:rPr>
    </w:lvl>
  </w:abstractNum>
  <w:abstractNum w:abstractNumId="1" w15:restartNumberingAfterBreak="0">
    <w:nsid w:val="6AE066DF"/>
    <w:multiLevelType w:val="hybridMultilevel"/>
    <w:tmpl w:val="7324956C"/>
    <w:lvl w:ilvl="0" w:tplc="CF72E176">
      <w:numFmt w:val="bullet"/>
      <w:lvlText w:val=""/>
      <w:lvlJc w:val="left"/>
      <w:pPr>
        <w:ind w:left="1006" w:hanging="360"/>
      </w:pPr>
      <w:rPr>
        <w:rFonts w:ascii="Symbol" w:eastAsia="Symbol" w:hAnsi="Symbol" w:cs="Symbol" w:hint="default"/>
        <w:b w:val="0"/>
        <w:bCs w:val="0"/>
        <w:i w:val="0"/>
        <w:iCs w:val="0"/>
        <w:spacing w:val="0"/>
        <w:w w:val="100"/>
        <w:sz w:val="22"/>
        <w:szCs w:val="22"/>
        <w:lang w:val="en-US" w:eastAsia="en-US" w:bidi="ar-SA"/>
      </w:rPr>
    </w:lvl>
    <w:lvl w:ilvl="1" w:tplc="29F87AB8">
      <w:numFmt w:val="bullet"/>
      <w:lvlText w:val="•"/>
      <w:lvlJc w:val="left"/>
      <w:pPr>
        <w:ind w:left="1869" w:hanging="360"/>
      </w:pPr>
      <w:rPr>
        <w:rFonts w:hint="default"/>
        <w:lang w:val="en-US" w:eastAsia="en-US" w:bidi="ar-SA"/>
      </w:rPr>
    </w:lvl>
    <w:lvl w:ilvl="2" w:tplc="7D56D726">
      <w:numFmt w:val="bullet"/>
      <w:lvlText w:val="•"/>
      <w:lvlJc w:val="left"/>
      <w:pPr>
        <w:ind w:left="2738" w:hanging="360"/>
      </w:pPr>
      <w:rPr>
        <w:rFonts w:hint="default"/>
        <w:lang w:val="en-US" w:eastAsia="en-US" w:bidi="ar-SA"/>
      </w:rPr>
    </w:lvl>
    <w:lvl w:ilvl="3" w:tplc="811A5FB6">
      <w:numFmt w:val="bullet"/>
      <w:lvlText w:val="•"/>
      <w:lvlJc w:val="left"/>
      <w:pPr>
        <w:ind w:left="3607" w:hanging="360"/>
      </w:pPr>
      <w:rPr>
        <w:rFonts w:hint="default"/>
        <w:lang w:val="en-US" w:eastAsia="en-US" w:bidi="ar-SA"/>
      </w:rPr>
    </w:lvl>
    <w:lvl w:ilvl="4" w:tplc="58924F2C">
      <w:numFmt w:val="bullet"/>
      <w:lvlText w:val="•"/>
      <w:lvlJc w:val="left"/>
      <w:pPr>
        <w:ind w:left="4477" w:hanging="360"/>
      </w:pPr>
      <w:rPr>
        <w:rFonts w:hint="default"/>
        <w:lang w:val="en-US" w:eastAsia="en-US" w:bidi="ar-SA"/>
      </w:rPr>
    </w:lvl>
    <w:lvl w:ilvl="5" w:tplc="AE44F054">
      <w:numFmt w:val="bullet"/>
      <w:lvlText w:val="•"/>
      <w:lvlJc w:val="left"/>
      <w:pPr>
        <w:ind w:left="5346" w:hanging="360"/>
      </w:pPr>
      <w:rPr>
        <w:rFonts w:hint="default"/>
        <w:lang w:val="en-US" w:eastAsia="en-US" w:bidi="ar-SA"/>
      </w:rPr>
    </w:lvl>
    <w:lvl w:ilvl="6" w:tplc="7D58FD2E">
      <w:numFmt w:val="bullet"/>
      <w:lvlText w:val="•"/>
      <w:lvlJc w:val="left"/>
      <w:pPr>
        <w:ind w:left="6215" w:hanging="360"/>
      </w:pPr>
      <w:rPr>
        <w:rFonts w:hint="default"/>
        <w:lang w:val="en-US" w:eastAsia="en-US" w:bidi="ar-SA"/>
      </w:rPr>
    </w:lvl>
    <w:lvl w:ilvl="7" w:tplc="75107C1A">
      <w:numFmt w:val="bullet"/>
      <w:lvlText w:val="•"/>
      <w:lvlJc w:val="left"/>
      <w:pPr>
        <w:ind w:left="7085" w:hanging="360"/>
      </w:pPr>
      <w:rPr>
        <w:rFonts w:hint="default"/>
        <w:lang w:val="en-US" w:eastAsia="en-US" w:bidi="ar-SA"/>
      </w:rPr>
    </w:lvl>
    <w:lvl w:ilvl="8" w:tplc="798EAB8A">
      <w:numFmt w:val="bullet"/>
      <w:lvlText w:val="•"/>
      <w:lvlJc w:val="left"/>
      <w:pPr>
        <w:ind w:left="7954" w:hanging="360"/>
      </w:pPr>
      <w:rPr>
        <w:rFonts w:hint="default"/>
        <w:lang w:val="en-US" w:eastAsia="en-US" w:bidi="ar-SA"/>
      </w:rPr>
    </w:lvl>
  </w:abstractNum>
  <w:abstractNum w:abstractNumId="2" w15:restartNumberingAfterBreak="0">
    <w:nsid w:val="7D296CEB"/>
    <w:multiLevelType w:val="hybridMultilevel"/>
    <w:tmpl w:val="81FC1384"/>
    <w:lvl w:ilvl="0" w:tplc="0C104512">
      <w:numFmt w:val="bullet"/>
      <w:lvlText w:val=""/>
      <w:lvlJc w:val="left"/>
      <w:pPr>
        <w:ind w:left="853" w:hanging="360"/>
      </w:pPr>
      <w:rPr>
        <w:rFonts w:ascii="Symbol" w:eastAsia="Symbol" w:hAnsi="Symbol" w:cs="Symbol" w:hint="default"/>
        <w:b w:val="0"/>
        <w:bCs w:val="0"/>
        <w:i w:val="0"/>
        <w:iCs w:val="0"/>
        <w:spacing w:val="0"/>
        <w:w w:val="100"/>
        <w:sz w:val="22"/>
        <w:szCs w:val="22"/>
        <w:lang w:val="en-US" w:eastAsia="en-US" w:bidi="ar-SA"/>
      </w:rPr>
    </w:lvl>
    <w:lvl w:ilvl="1" w:tplc="4E9AEE6E">
      <w:numFmt w:val="bullet"/>
      <w:lvlText w:val="•"/>
      <w:lvlJc w:val="left"/>
      <w:pPr>
        <w:ind w:left="1766" w:hanging="360"/>
      </w:pPr>
      <w:rPr>
        <w:rFonts w:hint="default"/>
        <w:lang w:val="en-US" w:eastAsia="en-US" w:bidi="ar-SA"/>
      </w:rPr>
    </w:lvl>
    <w:lvl w:ilvl="2" w:tplc="9D16DD1E">
      <w:numFmt w:val="bullet"/>
      <w:lvlText w:val="•"/>
      <w:lvlJc w:val="left"/>
      <w:pPr>
        <w:ind w:left="2673" w:hanging="360"/>
      </w:pPr>
      <w:rPr>
        <w:rFonts w:hint="default"/>
        <w:lang w:val="en-US" w:eastAsia="en-US" w:bidi="ar-SA"/>
      </w:rPr>
    </w:lvl>
    <w:lvl w:ilvl="3" w:tplc="8122736A">
      <w:numFmt w:val="bullet"/>
      <w:lvlText w:val="•"/>
      <w:lvlJc w:val="left"/>
      <w:pPr>
        <w:ind w:left="3579" w:hanging="360"/>
      </w:pPr>
      <w:rPr>
        <w:rFonts w:hint="default"/>
        <w:lang w:val="en-US" w:eastAsia="en-US" w:bidi="ar-SA"/>
      </w:rPr>
    </w:lvl>
    <w:lvl w:ilvl="4" w:tplc="426E0BB8">
      <w:numFmt w:val="bullet"/>
      <w:lvlText w:val="•"/>
      <w:lvlJc w:val="left"/>
      <w:pPr>
        <w:ind w:left="4486" w:hanging="360"/>
      </w:pPr>
      <w:rPr>
        <w:rFonts w:hint="default"/>
        <w:lang w:val="en-US" w:eastAsia="en-US" w:bidi="ar-SA"/>
      </w:rPr>
    </w:lvl>
    <w:lvl w:ilvl="5" w:tplc="12745046">
      <w:numFmt w:val="bullet"/>
      <w:lvlText w:val="•"/>
      <w:lvlJc w:val="left"/>
      <w:pPr>
        <w:ind w:left="5393" w:hanging="360"/>
      </w:pPr>
      <w:rPr>
        <w:rFonts w:hint="default"/>
        <w:lang w:val="en-US" w:eastAsia="en-US" w:bidi="ar-SA"/>
      </w:rPr>
    </w:lvl>
    <w:lvl w:ilvl="6" w:tplc="1A9AE948">
      <w:numFmt w:val="bullet"/>
      <w:lvlText w:val="•"/>
      <w:lvlJc w:val="left"/>
      <w:pPr>
        <w:ind w:left="6299" w:hanging="360"/>
      </w:pPr>
      <w:rPr>
        <w:rFonts w:hint="default"/>
        <w:lang w:val="en-US" w:eastAsia="en-US" w:bidi="ar-SA"/>
      </w:rPr>
    </w:lvl>
    <w:lvl w:ilvl="7" w:tplc="1884F022">
      <w:numFmt w:val="bullet"/>
      <w:lvlText w:val="•"/>
      <w:lvlJc w:val="left"/>
      <w:pPr>
        <w:ind w:left="7206" w:hanging="360"/>
      </w:pPr>
      <w:rPr>
        <w:rFonts w:hint="default"/>
        <w:lang w:val="en-US" w:eastAsia="en-US" w:bidi="ar-SA"/>
      </w:rPr>
    </w:lvl>
    <w:lvl w:ilvl="8" w:tplc="F7123196">
      <w:numFmt w:val="bullet"/>
      <w:lvlText w:val="•"/>
      <w:lvlJc w:val="left"/>
      <w:pPr>
        <w:ind w:left="8113" w:hanging="360"/>
      </w:pPr>
      <w:rPr>
        <w:rFonts w:hint="default"/>
        <w:lang w:val="en-US" w:eastAsia="en-US" w:bidi="ar-SA"/>
      </w:rPr>
    </w:lvl>
  </w:abstractNum>
  <w:num w:numId="1" w16cid:durableId="1261833067">
    <w:abstractNumId w:val="0"/>
  </w:num>
  <w:num w:numId="2" w16cid:durableId="150609538">
    <w:abstractNumId w:val="2"/>
  </w:num>
  <w:num w:numId="3" w16cid:durableId="1916436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438D"/>
    <w:rsid w:val="003B1C80"/>
    <w:rsid w:val="0050438D"/>
    <w:rsid w:val="009C2B18"/>
    <w:rsid w:val="00BB2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BF1C4"/>
  <w15:docId w15:val="{ABEFA803-1075-44FC-BD94-2305A148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2"/>
      <w:outlineLvl w:val="0"/>
    </w:pPr>
    <w:rPr>
      <w:b/>
      <w:bCs/>
      <w:sz w:val="32"/>
      <w:szCs w:val="32"/>
    </w:rPr>
  </w:style>
  <w:style w:type="paragraph" w:styleId="Heading2">
    <w:name w:val="heading 2"/>
    <w:basedOn w:val="Normal"/>
    <w:uiPriority w:val="9"/>
    <w:unhideWhenUsed/>
    <w:qFormat/>
    <w:pPr>
      <w:ind w:left="1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2"/>
    </w:pPr>
  </w:style>
  <w:style w:type="paragraph" w:styleId="Title">
    <w:name w:val="Title"/>
    <w:basedOn w:val="Normal"/>
    <w:uiPriority w:val="10"/>
    <w:qFormat/>
    <w:pPr>
      <w:spacing w:before="283"/>
      <w:ind w:left="132"/>
    </w:pPr>
    <w:rPr>
      <w:b/>
      <w:bCs/>
      <w:sz w:val="40"/>
      <w:szCs w:val="40"/>
    </w:rPr>
  </w:style>
  <w:style w:type="paragraph" w:styleId="ListParagraph">
    <w:name w:val="List Paragraph"/>
    <w:basedOn w:val="Normal"/>
    <w:uiPriority w:val="1"/>
    <w:qFormat/>
    <w:pPr>
      <w:spacing w:line="252" w:lineRule="exact"/>
      <w:ind w:left="851" w:hanging="360"/>
    </w:pPr>
  </w:style>
  <w:style w:type="paragraph" w:customStyle="1" w:styleId="TableParagraph">
    <w:name w:val="Table Paragraph"/>
    <w:basedOn w:val="Normal"/>
    <w:uiPriority w:val="1"/>
    <w:qFormat/>
    <w:pPr>
      <w:spacing w:before="3"/>
      <w:ind w:left="1006" w:hanging="360"/>
    </w:pPr>
  </w:style>
  <w:style w:type="paragraph" w:styleId="Header">
    <w:name w:val="header"/>
    <w:basedOn w:val="Normal"/>
    <w:link w:val="HeaderChar"/>
    <w:uiPriority w:val="99"/>
    <w:unhideWhenUsed/>
    <w:rsid w:val="003B1C80"/>
    <w:pPr>
      <w:tabs>
        <w:tab w:val="center" w:pos="4513"/>
        <w:tab w:val="right" w:pos="9026"/>
      </w:tabs>
    </w:pPr>
  </w:style>
  <w:style w:type="character" w:customStyle="1" w:styleId="HeaderChar">
    <w:name w:val="Header Char"/>
    <w:basedOn w:val="DefaultParagraphFont"/>
    <w:link w:val="Header"/>
    <w:uiPriority w:val="99"/>
    <w:rsid w:val="003B1C80"/>
    <w:rPr>
      <w:rFonts w:ascii="Arial" w:eastAsia="Arial" w:hAnsi="Arial" w:cs="Arial"/>
    </w:rPr>
  </w:style>
  <w:style w:type="paragraph" w:styleId="Footer">
    <w:name w:val="footer"/>
    <w:basedOn w:val="Normal"/>
    <w:link w:val="FooterChar"/>
    <w:uiPriority w:val="99"/>
    <w:unhideWhenUsed/>
    <w:rsid w:val="003B1C80"/>
    <w:pPr>
      <w:tabs>
        <w:tab w:val="center" w:pos="4513"/>
        <w:tab w:val="right" w:pos="9026"/>
      </w:tabs>
    </w:pPr>
  </w:style>
  <w:style w:type="character" w:customStyle="1" w:styleId="FooterChar">
    <w:name w:val="Footer Char"/>
    <w:basedOn w:val="DefaultParagraphFont"/>
    <w:link w:val="Footer"/>
    <w:uiPriority w:val="99"/>
    <w:rsid w:val="003B1C8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ga.gov.au/resources/guidance/understanding-good-manufacturing-practice-gmp-compounded-medicines" TargetMode="External"/><Relationship Id="rId18" Type="http://schemas.openxmlformats.org/officeDocument/2006/relationships/hyperlink" Target="https://www.safetyandquality.gov.au/standards/diagnostic-imaging" TargetMode="External"/><Relationship Id="rId3" Type="http://schemas.openxmlformats.org/officeDocument/2006/relationships/settings" Target="settings.xml"/><Relationship Id="rId21" Type="http://schemas.openxmlformats.org/officeDocument/2006/relationships/hyperlink" Target="mailto:mail@safetyandquality.gov.au" TargetMode="External"/><Relationship Id="rId7" Type="http://schemas.openxmlformats.org/officeDocument/2006/relationships/header" Target="header1.xml"/><Relationship Id="rId12" Type="http://schemas.openxmlformats.org/officeDocument/2006/relationships/hyperlink" Target="https://www.tga.gov.au/resources/guidance/understanding-good-manufacturing-practice-gmp-compounded-medicines" TargetMode="External"/><Relationship Id="rId17" Type="http://schemas.openxmlformats.org/officeDocument/2006/relationships/hyperlink" Target="https://www.safetyandquality.gov.au/standards/nsqhs-standards/medication-safety-standar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cis.safeworkaustralia.gov.au/ExposureStandards/Document?exposureStandardID=479" TargetMode="External"/><Relationship Id="rId20" Type="http://schemas.openxmlformats.org/officeDocument/2006/relationships/hyperlink" Target="http://www.safetyandquality.gov.au/standards/diagnostic-imag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fetyandquality.gov.au/standards/diagnostic-imagin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ngland.nhs.uk/wp-content/uploads/2021/08/NaPSA-Liquefied-Phenol-FINAL-v5.pdf" TargetMode="External"/><Relationship Id="rId23" Type="http://schemas.openxmlformats.org/officeDocument/2006/relationships/image" Target="media/image2.png"/><Relationship Id="rId10" Type="http://schemas.openxmlformats.org/officeDocument/2006/relationships/hyperlink" Target="https://www.safetyandquality.gov.au/publications-and-resources/resource-library/national-safety-and-quality-health-service-standards-second-edition" TargetMode="External"/><Relationship Id="rId19" Type="http://schemas.openxmlformats.org/officeDocument/2006/relationships/hyperlink" Target="https://www.pharmacyboard.gov.au/News/2024-08-05-Guidelines-on-compounding-of-medicines.aspx" TargetMode="External"/><Relationship Id="rId4" Type="http://schemas.openxmlformats.org/officeDocument/2006/relationships/webSettings" Target="webSettings.xml"/><Relationship Id="rId9" Type="http://schemas.openxmlformats.org/officeDocument/2006/relationships/hyperlink" Target="https://www.safetyandquality.gov.au/publications-and-resources/resource-library/national-safety-and-quality-health-service-standards-second-edition" TargetMode="External"/><Relationship Id="rId14" Type="http://schemas.openxmlformats.org/officeDocument/2006/relationships/hyperlink" Target="https://www.pharmacyboard.gov.au/Codes-Guidelines.aspx" TargetMode="External"/><Relationship Id="rId22" Type="http://schemas.openxmlformats.org/officeDocument/2006/relationships/hyperlink" Target="http://www.safetyandquality.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5675</Characters>
  <Application>Microsoft Office Word</Application>
  <DocSecurity>0</DocSecurity>
  <Lines>47</Lines>
  <Paragraphs>13</Paragraphs>
  <ScaleCrop>false</ScaleCrop>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 Rosa</dc:creator>
  <cp:lastModifiedBy>SHAH, Navtez</cp:lastModifiedBy>
  <cp:revision>2</cp:revision>
  <dcterms:created xsi:type="dcterms:W3CDTF">2025-03-19T22:32:00Z</dcterms:created>
  <dcterms:modified xsi:type="dcterms:W3CDTF">2025-03-20T00:38:00Z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for Microsoft 365</vt:lpwstr>
  </property>
  <property fmtid="{D5CDD505-2E9C-101B-9397-08002B2CF9AE}" pid="4" name="LastSaved">
    <vt:filetime>2025-03-19T00:00:00Z</vt:filetime>
  </property>
  <property fmtid="{D5CDD505-2E9C-101B-9397-08002B2CF9AE}" pid="5" name="Producer">
    <vt:lpwstr>Microsoft® Word for Microsoft 365</vt:lpwstr>
  </property>
</Properties>
</file>