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35A0" w14:textId="43628948" w:rsidR="0055337E" w:rsidRPr="00D926A0" w:rsidRDefault="0055337E" w:rsidP="00D926A0">
      <w:pPr>
        <w:pStyle w:val="Title"/>
      </w:pPr>
      <w:r w:rsidRPr="00D926A0">
        <w:rPr>
          <w:noProof/>
        </w:rPr>
        <w:drawing>
          <wp:anchor distT="0" distB="0" distL="114300" distR="114300" simplePos="0" relativeHeight="251658240" behindDoc="1" locked="0" layoutInCell="1" allowOverlap="1" wp14:anchorId="446F371D" wp14:editId="76AEDCB3">
            <wp:simplePos x="0" y="0"/>
            <wp:positionH relativeFrom="column">
              <wp:posOffset>-707390</wp:posOffset>
            </wp:positionH>
            <wp:positionV relativeFrom="paragraph">
              <wp:posOffset>-1487805</wp:posOffset>
            </wp:positionV>
            <wp:extent cx="7552677" cy="10693268"/>
            <wp:effectExtent l="0" t="0" r="4445" b="635"/>
            <wp:wrapNone/>
            <wp:docPr id="6020891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89186"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677" cy="10693268"/>
                    </a:xfrm>
                    <a:prstGeom prst="rect">
                      <a:avLst/>
                    </a:prstGeom>
                  </pic:spPr>
                </pic:pic>
              </a:graphicData>
            </a:graphic>
            <wp14:sizeRelH relativeFrom="page">
              <wp14:pctWidth>0</wp14:pctWidth>
            </wp14:sizeRelH>
            <wp14:sizeRelV relativeFrom="page">
              <wp14:pctHeight>0</wp14:pctHeight>
            </wp14:sizeRelV>
          </wp:anchor>
        </w:drawing>
      </w:r>
      <w:r w:rsidRPr="00D926A0">
        <w:t xml:space="preserve">Recommendations for safe use of </w:t>
      </w:r>
      <w:r w:rsidRPr="00D926A0">
        <w:rPr>
          <w:color w:val="FEF3C5"/>
        </w:rPr>
        <w:t>medicines terminology</w:t>
      </w:r>
    </w:p>
    <w:p w14:paraId="1D869500" w14:textId="09D6DE79" w:rsidR="00295887" w:rsidRPr="007F37A1" w:rsidRDefault="00D926A0" w:rsidP="00D926A0">
      <w:pPr>
        <w:pStyle w:val="Date"/>
        <w:sectPr w:rsidR="00295887" w:rsidRPr="007F37A1" w:rsidSect="00B4515D">
          <w:headerReference w:type="even" r:id="rId12"/>
          <w:headerReference w:type="default" r:id="rId13"/>
          <w:footerReference w:type="even" r:id="rId14"/>
          <w:pgSz w:w="11906" w:h="16838"/>
          <w:pgMar w:top="2363" w:right="1134" w:bottom="681" w:left="1134" w:header="709" w:footer="567" w:gutter="0"/>
          <w:cols w:space="708"/>
          <w:docGrid w:linePitch="360"/>
        </w:sectPr>
      </w:pPr>
      <w:r w:rsidRPr="00D926A0">
        <w:t>November</w:t>
      </w:r>
      <w:r w:rsidR="00DA77B0" w:rsidRPr="007F37A1">
        <w:t xml:space="preserve"> 2024</w:t>
      </w:r>
    </w:p>
    <w:p w14:paraId="7271849C" w14:textId="2BC5DB1A" w:rsidR="003357DD" w:rsidRDefault="003357DD" w:rsidP="003357DD">
      <w:r>
        <w:lastRenderedPageBreak/>
        <w:t>Published by the Australian Commission on Safety and Quality in Health Care</w:t>
      </w:r>
    </w:p>
    <w:p w14:paraId="07F95B8C" w14:textId="77777777" w:rsidR="003357DD" w:rsidRDefault="003357DD" w:rsidP="00A72DA7">
      <w:pPr>
        <w:contextualSpacing/>
      </w:pPr>
      <w:r>
        <w:t xml:space="preserve">Level 5, 255 Elizabeth </w:t>
      </w:r>
      <w:r w:rsidRPr="003357DD">
        <w:t>Street</w:t>
      </w:r>
      <w:r>
        <w:t>, Sydney NSW 2000</w:t>
      </w:r>
    </w:p>
    <w:p w14:paraId="0439BB8A" w14:textId="77777777" w:rsidR="003357DD" w:rsidRPr="003357DD" w:rsidRDefault="003357DD" w:rsidP="00A72DA7">
      <w:pPr>
        <w:contextualSpacing/>
      </w:pPr>
      <w:r>
        <w:t xml:space="preserve">Phone: (02) 9126 3600 </w:t>
      </w:r>
    </w:p>
    <w:p w14:paraId="35DC6105" w14:textId="77777777" w:rsidR="003357DD" w:rsidRDefault="003357DD" w:rsidP="00A72DA7">
      <w:pPr>
        <w:contextualSpacing/>
      </w:pPr>
      <w:r>
        <w:t xml:space="preserve">Email: </w:t>
      </w:r>
      <w:hyperlink r:id="rId15" w:history="1">
        <w:r w:rsidRPr="003357DD">
          <w:rPr>
            <w:rStyle w:val="Hyperlink"/>
          </w:rPr>
          <w:t>mail@safetyandquality.gov.au</w:t>
        </w:r>
      </w:hyperlink>
    </w:p>
    <w:p w14:paraId="6282C605" w14:textId="77777777" w:rsidR="003357DD" w:rsidRDefault="003357DD" w:rsidP="003357DD">
      <w:r>
        <w:t xml:space="preserve">Website: </w:t>
      </w:r>
      <w:hyperlink r:id="rId16" w:history="1">
        <w:r w:rsidRPr="003357DD">
          <w:rPr>
            <w:rStyle w:val="Hyperlink"/>
          </w:rPr>
          <w:t>www.safetyandquality.gov.au</w:t>
        </w:r>
      </w:hyperlink>
      <w:r>
        <w:t xml:space="preserve"> </w:t>
      </w:r>
    </w:p>
    <w:p w14:paraId="4DF3996A" w14:textId="77777777" w:rsidR="003357DD" w:rsidRPr="003357DD" w:rsidRDefault="003357DD" w:rsidP="003357DD">
      <w:r>
        <w:t>ISBN: 978-1-922880-96-3</w:t>
      </w:r>
    </w:p>
    <w:p w14:paraId="15514B0E" w14:textId="77777777" w:rsidR="003357DD" w:rsidRDefault="003357DD" w:rsidP="003357DD">
      <w:r>
        <w:t>© Australian Commission on Safety and Quality in Health Care 2024</w:t>
      </w:r>
    </w:p>
    <w:p w14:paraId="6AB91FDD" w14:textId="77777777" w:rsidR="003357DD" w:rsidRDefault="003357DD" w:rsidP="003357DD">
      <w:r>
        <w:t xml:space="preserve">All material and work produced by the Australian Commission on Safety and Quality in Health Care (the Commission) is protected by copyright. The Commission reserves the right to set out the terms and conditions for the use of such material. </w:t>
      </w:r>
    </w:p>
    <w:p w14:paraId="5B0861F0" w14:textId="77777777" w:rsidR="003357DD" w:rsidRDefault="003357DD" w:rsidP="003357DD">
      <w:r>
        <w:t>As far as practicable, material for which the copyright is owned by a third party will be clearly labelled. The Commission has made all reasonable efforts to ensure that this material has been reproduced in this publication with the full consent of the copyright owners.</w:t>
      </w:r>
    </w:p>
    <w:p w14:paraId="6BA2094E" w14:textId="77777777" w:rsidR="003357DD" w:rsidRDefault="003357DD" w:rsidP="003357DD">
      <w:r>
        <w:t xml:space="preserve">With the exception of any material </w:t>
      </w:r>
      <w:r w:rsidRPr="003357DD">
        <w:t>protected</w:t>
      </w:r>
      <w:r>
        <w:t xml:space="preserve"> by a trademark, any content provided by third parties and where otherwise noted, all material presented in this publication is licensed under a </w:t>
      </w:r>
      <w:hyperlink r:id="rId17" w:history="1">
        <w:r>
          <w:rPr>
            <w:rStyle w:val="Hyperlink"/>
          </w:rPr>
          <w:t>Creative Commons Attribution</w:t>
        </w:r>
        <w:r>
          <w:rPr>
            <w:rStyle w:val="Hyperlink"/>
            <w:rFonts w:ascii="Cambria Math" w:hAnsi="Cambria Math" w:cs="Cambria Math"/>
          </w:rPr>
          <w:t>‑</w:t>
        </w:r>
        <w:proofErr w:type="spellStart"/>
        <w:r>
          <w:rPr>
            <w:rStyle w:val="Hyperlink"/>
          </w:rPr>
          <w:t>NonCommercial</w:t>
        </w:r>
        <w:proofErr w:type="spellEnd"/>
        <w:r>
          <w:rPr>
            <w:rStyle w:val="Hyperlink"/>
            <w:rFonts w:ascii="Cambria Math" w:hAnsi="Cambria Math" w:cs="Cambria Math"/>
          </w:rPr>
          <w:t>‑</w:t>
        </w:r>
        <w:proofErr w:type="spellStart"/>
        <w:r>
          <w:rPr>
            <w:rStyle w:val="Hyperlink"/>
          </w:rPr>
          <w:t>NoDerivatives</w:t>
        </w:r>
        <w:proofErr w:type="spellEnd"/>
        <w:r>
          <w:rPr>
            <w:rStyle w:val="Hyperlink"/>
          </w:rPr>
          <w:t xml:space="preserve"> 4.0 International licence</w:t>
        </w:r>
      </w:hyperlink>
      <w:r>
        <w:t>.</w:t>
      </w:r>
    </w:p>
    <w:p w14:paraId="2F9C867C" w14:textId="77777777" w:rsidR="00A72DA7" w:rsidRDefault="00A72DA7" w:rsidP="00FB2C31">
      <w:pPr>
        <w:pStyle w:val="ImprintText"/>
        <w:spacing w:before="180" w:after="180"/>
      </w:pPr>
      <w:r w:rsidRPr="00B56D4D">
        <w:rPr>
          <w:noProof/>
        </w:rPr>
        <w:drawing>
          <wp:inline distT="0" distB="0" distL="0" distR="0" wp14:anchorId="22E00429" wp14:editId="070C6CD1">
            <wp:extent cx="765810" cy="267335"/>
            <wp:effectExtent l="0" t="0" r="0" b="0"/>
            <wp:docPr id="8" name="Picture 8" descr="Creative Comm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Creative Common logo"/>
                    <pic:cNvPicPr>
                      <a:picLocks/>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765810" cy="267335"/>
                    </a:xfrm>
                    <a:prstGeom prst="rect">
                      <a:avLst/>
                    </a:prstGeom>
                    <a:noFill/>
                    <a:ln>
                      <a:noFill/>
                    </a:ln>
                  </pic:spPr>
                </pic:pic>
              </a:graphicData>
            </a:graphic>
          </wp:inline>
        </w:drawing>
      </w:r>
    </w:p>
    <w:p w14:paraId="7351AC55" w14:textId="77777777" w:rsidR="003357DD" w:rsidRDefault="003357DD" w:rsidP="003357DD">
      <w:r>
        <w:t xml:space="preserve">Enquiries about the licence and any use of this publication are welcome and can be sent to </w:t>
      </w:r>
      <w:hyperlink r:id="rId19" w:history="1">
        <w:r>
          <w:rPr>
            <w:rStyle w:val="Hyperlink"/>
          </w:rPr>
          <w:t>communications@safetyandquality.gov.au</w:t>
        </w:r>
      </w:hyperlink>
      <w:r>
        <w:t>.</w:t>
      </w:r>
    </w:p>
    <w:p w14:paraId="1F4D1CD6" w14:textId="77777777" w:rsidR="003357DD" w:rsidRDefault="003357DD" w:rsidP="003357DD">
      <w:r>
        <w:t xml:space="preserve">The Commission’s preference is that you </w:t>
      </w:r>
      <w:r w:rsidRPr="003357DD">
        <w:t>attribute</w:t>
      </w:r>
      <w:r>
        <w:t xml:space="preserve"> this publication (and any material sourced from it) using the following citation:</w:t>
      </w:r>
    </w:p>
    <w:p w14:paraId="6C57FD34" w14:textId="77777777" w:rsidR="003357DD" w:rsidRDefault="003357DD" w:rsidP="003357DD">
      <w:r>
        <w:t>Australian Commission on Safety and Quality in Health Care. Recommendations for safe use of medicines terminology. Sydney: ACSQHC; 2024.</w:t>
      </w:r>
    </w:p>
    <w:p w14:paraId="0699AE54" w14:textId="77777777" w:rsidR="003357DD" w:rsidRPr="00A72DA7" w:rsidRDefault="003357DD" w:rsidP="003357DD">
      <w:pPr>
        <w:rPr>
          <w:rStyle w:val="Strong"/>
        </w:rPr>
      </w:pPr>
      <w:r w:rsidRPr="00A72DA7">
        <w:rPr>
          <w:rStyle w:val="Strong"/>
        </w:rPr>
        <w:t>Disclaimer</w:t>
      </w:r>
    </w:p>
    <w:p w14:paraId="50C1787F" w14:textId="77777777" w:rsidR="003357DD" w:rsidRDefault="003357DD" w:rsidP="003357DD">
      <w:r>
        <w:t xml:space="preserve">The </w:t>
      </w:r>
      <w:r w:rsidRPr="003357DD">
        <w:t>content</w:t>
      </w:r>
      <w:r>
        <w:t xml:space="preserve"> of this document is published in good faith by the Commission for information purposes. The document is not intended to provide guidance on particular healthcare choices. You should contact your health care provider for information or advice on particular healthcare choices. </w:t>
      </w:r>
    </w:p>
    <w:p w14:paraId="293891E1" w14:textId="77777777" w:rsidR="003357DD" w:rsidRDefault="003357DD" w:rsidP="003357DD">
      <w:r>
        <w:t xml:space="preserve">The </w:t>
      </w:r>
      <w:r w:rsidRPr="003357DD">
        <w:t>Commission</w:t>
      </w:r>
      <w:r>
        <w:t xml:space="preserve"> does not accept any legal liability for any injury, loss or damage incurred by the use of, or reliance on, this document.</w:t>
      </w:r>
    </w:p>
    <w:p w14:paraId="5C83ED53" w14:textId="77777777" w:rsidR="00552E98" w:rsidRPr="00552E98" w:rsidRDefault="00552E98" w:rsidP="00552E98">
      <w:pPr>
        <w:rPr>
          <w:rStyle w:val="Strong"/>
        </w:rPr>
      </w:pPr>
      <w:r w:rsidRPr="00552E98">
        <w:rPr>
          <w:rStyle w:val="Strong"/>
        </w:rPr>
        <w:t xml:space="preserve">Acknowledgement </w:t>
      </w:r>
    </w:p>
    <w:p w14:paraId="4F122C4C" w14:textId="4C34750C" w:rsidR="00295887" w:rsidRPr="00552E98" w:rsidRDefault="00552E98" w:rsidP="00552E98">
      <w:r w:rsidRPr="00552E98">
        <w:t>The Commission gratefully acknowledges all those who have provided feedback and contributed to the ongoing review and maintenance of this document.</w:t>
      </w:r>
    </w:p>
    <w:p w14:paraId="367B0E06" w14:textId="77777777" w:rsidR="00295887" w:rsidRDefault="00295887" w:rsidP="00295887">
      <w:pPr>
        <w:spacing w:before="0" w:after="80"/>
        <w:rPr>
          <w:rStyle w:val="DraftingNotesChar"/>
          <w:sz w:val="20"/>
          <w:szCs w:val="20"/>
        </w:rPr>
      </w:pPr>
      <w:r>
        <w:rPr>
          <w:rStyle w:val="DraftingNotesChar"/>
        </w:rPr>
        <w:br w:type="page"/>
      </w:r>
    </w:p>
    <w:p w14:paraId="29D5D26D" w14:textId="77777777" w:rsidR="00295887" w:rsidRPr="00D926A0" w:rsidRDefault="00295887" w:rsidP="00D926A0">
      <w:pPr>
        <w:pStyle w:val="Heading1"/>
      </w:pPr>
      <w:r w:rsidRPr="00D926A0">
        <w:lastRenderedPageBreak/>
        <w:t>Contents</w:t>
      </w:r>
    </w:p>
    <w:p w14:paraId="44225067" w14:textId="4302BC33" w:rsidR="00BC635A" w:rsidRDefault="00295887" w:rsidP="00DA5C7C">
      <w:pPr>
        <w:pStyle w:val="TOC1"/>
        <w:rPr>
          <w:rFonts w:eastAsiaTheme="minorEastAsia" w:cstheme="minorBidi"/>
          <w:color w:val="auto"/>
          <w:kern w:val="2"/>
          <w:szCs w:val="24"/>
          <w:lang w:eastAsia="en-GB"/>
          <w14:ligatures w14:val="standardContextual"/>
        </w:rPr>
      </w:pPr>
      <w:r>
        <w:rPr>
          <w:noProof w:val="0"/>
        </w:rPr>
        <w:fldChar w:fldCharType="begin"/>
      </w:r>
      <w:r>
        <w:instrText xml:space="preserve"> TOC \o "1-3" \t "SectionTitle,1" </w:instrText>
      </w:r>
      <w:r>
        <w:rPr>
          <w:noProof w:val="0"/>
        </w:rPr>
        <w:fldChar w:fldCharType="separate"/>
      </w:r>
      <w:r w:rsidR="00BC635A">
        <w:t>Executive summary</w:t>
      </w:r>
      <w:r w:rsidR="00BC635A">
        <w:tab/>
      </w:r>
      <w:r w:rsidR="00BC635A">
        <w:fldChar w:fldCharType="begin"/>
      </w:r>
      <w:r w:rsidR="00BC635A">
        <w:instrText xml:space="preserve"> PAGEREF _Toc184061523 \h </w:instrText>
      </w:r>
      <w:r w:rsidR="00BC635A">
        <w:fldChar w:fldCharType="separate"/>
      </w:r>
      <w:r w:rsidR="0055337E">
        <w:t>4</w:t>
      </w:r>
      <w:r w:rsidR="00BC635A">
        <w:fldChar w:fldCharType="end"/>
      </w:r>
    </w:p>
    <w:p w14:paraId="73736026" w14:textId="61A85007" w:rsidR="00BC635A" w:rsidRDefault="00BC635A" w:rsidP="00CD0080">
      <w:pPr>
        <w:pStyle w:val="TOC2"/>
        <w:rPr>
          <w:rFonts w:eastAsiaTheme="minorEastAsia" w:cstheme="minorBidi"/>
          <w:iCs/>
          <w:kern w:val="2"/>
          <w:sz w:val="24"/>
          <w:szCs w:val="24"/>
          <w:lang w:eastAsia="en-GB"/>
          <w14:ligatures w14:val="standardContextual"/>
        </w:rPr>
      </w:pPr>
      <w:r>
        <w:t>Figure 1: Best Practice Principles for safe, clear and consistent terminology for medicines</w:t>
      </w:r>
      <w:r>
        <w:tab/>
      </w:r>
      <w:r>
        <w:fldChar w:fldCharType="begin"/>
      </w:r>
      <w:r>
        <w:instrText xml:space="preserve"> PAGEREF _Toc184061524 \h </w:instrText>
      </w:r>
      <w:r>
        <w:fldChar w:fldCharType="separate"/>
      </w:r>
      <w:r w:rsidR="0055337E">
        <w:t>5</w:t>
      </w:r>
      <w:r>
        <w:fldChar w:fldCharType="end"/>
      </w:r>
    </w:p>
    <w:p w14:paraId="2C3C7EC1" w14:textId="205795B5" w:rsidR="00BC635A" w:rsidRDefault="00BC635A" w:rsidP="00DA5C7C">
      <w:pPr>
        <w:pStyle w:val="TOC1"/>
        <w:rPr>
          <w:rFonts w:eastAsiaTheme="minorEastAsia" w:cstheme="minorBidi"/>
          <w:color w:val="auto"/>
          <w:kern w:val="2"/>
          <w:szCs w:val="24"/>
          <w:lang w:eastAsia="en-GB"/>
          <w14:ligatures w14:val="standardContextual"/>
        </w:rPr>
      </w:pPr>
      <w:r>
        <w:t>Introduction and application</w:t>
      </w:r>
      <w:r>
        <w:tab/>
      </w:r>
      <w:r>
        <w:fldChar w:fldCharType="begin"/>
      </w:r>
      <w:r>
        <w:instrText xml:space="preserve"> PAGEREF _Toc184061525 \h </w:instrText>
      </w:r>
      <w:r>
        <w:fldChar w:fldCharType="separate"/>
      </w:r>
      <w:r w:rsidR="0055337E">
        <w:t>6</w:t>
      </w:r>
      <w:r>
        <w:fldChar w:fldCharType="end"/>
      </w:r>
    </w:p>
    <w:p w14:paraId="27D769C9" w14:textId="1ADDCA86" w:rsidR="00BC635A" w:rsidRDefault="00BC635A" w:rsidP="00CD0080">
      <w:pPr>
        <w:pStyle w:val="TOC2"/>
        <w:rPr>
          <w:rFonts w:eastAsiaTheme="minorEastAsia" w:cstheme="minorBidi"/>
          <w:kern w:val="2"/>
          <w:sz w:val="24"/>
          <w:szCs w:val="24"/>
          <w:lang w:eastAsia="en-GB"/>
          <w14:ligatures w14:val="standardContextual"/>
        </w:rPr>
      </w:pPr>
      <w:r>
        <w:t>Introduction</w:t>
      </w:r>
      <w:r>
        <w:tab/>
      </w:r>
      <w:r>
        <w:fldChar w:fldCharType="begin"/>
      </w:r>
      <w:r>
        <w:instrText xml:space="preserve"> PAGEREF _Toc184061526 \h </w:instrText>
      </w:r>
      <w:r>
        <w:fldChar w:fldCharType="separate"/>
      </w:r>
      <w:r w:rsidR="0055337E">
        <w:t>6</w:t>
      </w:r>
      <w:r>
        <w:fldChar w:fldCharType="end"/>
      </w:r>
    </w:p>
    <w:p w14:paraId="0E021C4A" w14:textId="5F055CCE" w:rsidR="00BC635A" w:rsidRDefault="00BC635A" w:rsidP="00CD0080">
      <w:pPr>
        <w:pStyle w:val="TOC2"/>
        <w:rPr>
          <w:rFonts w:eastAsiaTheme="minorEastAsia" w:cstheme="minorBidi"/>
          <w:kern w:val="2"/>
          <w:sz w:val="24"/>
          <w:szCs w:val="24"/>
          <w:lang w:eastAsia="en-GB"/>
          <w14:ligatures w14:val="standardContextual"/>
        </w:rPr>
      </w:pPr>
      <w:r>
        <w:t>Application of the recommendations and Best Practice Principles</w:t>
      </w:r>
      <w:r>
        <w:tab/>
      </w:r>
      <w:r>
        <w:fldChar w:fldCharType="begin"/>
      </w:r>
      <w:r>
        <w:instrText xml:space="preserve"> PAGEREF _Toc184061527 \h </w:instrText>
      </w:r>
      <w:r>
        <w:fldChar w:fldCharType="separate"/>
      </w:r>
      <w:r w:rsidR="0055337E">
        <w:t>6</w:t>
      </w:r>
      <w:r>
        <w:fldChar w:fldCharType="end"/>
      </w:r>
    </w:p>
    <w:p w14:paraId="0203F550" w14:textId="300E9DC1" w:rsidR="00BC635A" w:rsidRDefault="00BC635A" w:rsidP="00DA5C7C">
      <w:pPr>
        <w:pStyle w:val="TOC1"/>
        <w:rPr>
          <w:rFonts w:eastAsiaTheme="minorEastAsia" w:cstheme="minorBidi"/>
          <w:color w:val="auto"/>
          <w:kern w:val="2"/>
          <w:szCs w:val="24"/>
          <w:lang w:eastAsia="en-GB"/>
          <w14:ligatures w14:val="standardContextual"/>
        </w:rPr>
      </w:pPr>
      <w:r>
        <w:t>Limitations, implementation and risk management</w:t>
      </w:r>
      <w:r>
        <w:tab/>
      </w:r>
      <w:r>
        <w:fldChar w:fldCharType="begin"/>
      </w:r>
      <w:r>
        <w:instrText xml:space="preserve"> PAGEREF _Toc184061528 \h </w:instrText>
      </w:r>
      <w:r>
        <w:fldChar w:fldCharType="separate"/>
      </w:r>
      <w:r w:rsidR="0055337E">
        <w:t>7</w:t>
      </w:r>
      <w:r>
        <w:fldChar w:fldCharType="end"/>
      </w:r>
    </w:p>
    <w:p w14:paraId="3B53EBEC" w14:textId="55EFAD73" w:rsidR="00BC635A" w:rsidRPr="00BC635A" w:rsidRDefault="00BC635A" w:rsidP="00CD0080">
      <w:pPr>
        <w:pStyle w:val="TOC2"/>
        <w:rPr>
          <w:rFonts w:eastAsiaTheme="minorEastAsia" w:cstheme="minorBidi"/>
          <w:kern w:val="2"/>
          <w:sz w:val="24"/>
          <w:szCs w:val="24"/>
          <w:lang w:eastAsia="en-GB"/>
          <w14:ligatures w14:val="standardContextual"/>
        </w:rPr>
      </w:pPr>
      <w:r>
        <w:t>Limitations, implementation and risk management</w:t>
      </w:r>
      <w:r>
        <w:tab/>
      </w:r>
      <w:r>
        <w:fldChar w:fldCharType="begin"/>
      </w:r>
      <w:r>
        <w:instrText xml:space="preserve"> PAGEREF _Toc184061529 \h </w:instrText>
      </w:r>
      <w:r>
        <w:fldChar w:fldCharType="separate"/>
      </w:r>
      <w:r w:rsidR="0055337E">
        <w:t>7</w:t>
      </w:r>
      <w:r>
        <w:fldChar w:fldCharType="end"/>
      </w:r>
    </w:p>
    <w:p w14:paraId="1D8E8352" w14:textId="6AE43765" w:rsidR="00BC635A" w:rsidRDefault="00BC635A" w:rsidP="00DA5C7C">
      <w:pPr>
        <w:pStyle w:val="TOC1"/>
        <w:rPr>
          <w:rFonts w:eastAsiaTheme="minorEastAsia" w:cstheme="minorBidi"/>
          <w:color w:val="auto"/>
          <w:kern w:val="2"/>
          <w:szCs w:val="24"/>
          <w:lang w:eastAsia="en-GB"/>
          <w14:ligatures w14:val="standardContextual"/>
        </w:rPr>
      </w:pPr>
      <w:r>
        <w:t>Best Practice Principles for safe, clear and </w:t>
      </w:r>
      <w:r w:rsidR="00757768">
        <w:br/>
      </w:r>
      <w:r>
        <w:t>consistent terminology for medicines</w:t>
      </w:r>
      <w:r>
        <w:tab/>
      </w:r>
      <w:r>
        <w:fldChar w:fldCharType="begin"/>
      </w:r>
      <w:r>
        <w:instrText xml:space="preserve"> PAGEREF _Toc184061534 \h </w:instrText>
      </w:r>
      <w:r>
        <w:fldChar w:fldCharType="separate"/>
      </w:r>
      <w:r w:rsidR="0055337E">
        <w:t>9</w:t>
      </w:r>
      <w:r>
        <w:fldChar w:fldCharType="end"/>
      </w:r>
    </w:p>
    <w:p w14:paraId="7F50984F" w14:textId="13CAB11D" w:rsidR="00BC635A" w:rsidRDefault="00BC635A" w:rsidP="00CD0080">
      <w:pPr>
        <w:pStyle w:val="TOC2"/>
        <w:rPr>
          <w:rFonts w:eastAsiaTheme="minorEastAsia" w:cstheme="minorBidi"/>
          <w:kern w:val="2"/>
          <w:sz w:val="24"/>
          <w:szCs w:val="24"/>
          <w:lang w:eastAsia="en-GB"/>
          <w14:ligatures w14:val="standardContextual"/>
        </w:rPr>
      </w:pPr>
      <w:r>
        <w:t>Best Practice Principle 1</w:t>
      </w:r>
      <w:r>
        <w:tab/>
      </w:r>
      <w:r>
        <w:fldChar w:fldCharType="begin"/>
      </w:r>
      <w:r>
        <w:instrText xml:space="preserve"> PAGEREF _Toc184061535 \h </w:instrText>
      </w:r>
      <w:r>
        <w:fldChar w:fldCharType="separate"/>
      </w:r>
      <w:r w:rsidR="0055337E">
        <w:t>9</w:t>
      </w:r>
      <w:r>
        <w:fldChar w:fldCharType="end"/>
      </w:r>
    </w:p>
    <w:p w14:paraId="51EFFF64" w14:textId="38879ADB" w:rsidR="00BC635A" w:rsidRDefault="00BC635A" w:rsidP="00CD0080">
      <w:pPr>
        <w:pStyle w:val="TOC2"/>
        <w:rPr>
          <w:rFonts w:eastAsiaTheme="minorEastAsia" w:cstheme="minorBidi"/>
          <w:kern w:val="2"/>
          <w:sz w:val="24"/>
          <w:szCs w:val="24"/>
          <w:lang w:eastAsia="en-GB"/>
          <w14:ligatures w14:val="standardContextual"/>
        </w:rPr>
      </w:pPr>
      <w:r>
        <w:t>Best Practice Principle 2</w:t>
      </w:r>
      <w:r>
        <w:tab/>
      </w:r>
      <w:r>
        <w:fldChar w:fldCharType="begin"/>
      </w:r>
      <w:r>
        <w:instrText xml:space="preserve"> PAGEREF _Toc184061536 \h </w:instrText>
      </w:r>
      <w:r>
        <w:fldChar w:fldCharType="separate"/>
      </w:r>
      <w:r w:rsidR="0055337E">
        <w:t>9</w:t>
      </w:r>
      <w:r>
        <w:fldChar w:fldCharType="end"/>
      </w:r>
    </w:p>
    <w:p w14:paraId="7F25805B" w14:textId="234E311F" w:rsidR="00BC635A" w:rsidRDefault="00BC635A" w:rsidP="00CD0080">
      <w:pPr>
        <w:pStyle w:val="TOC2"/>
        <w:rPr>
          <w:rFonts w:eastAsiaTheme="minorEastAsia" w:cstheme="minorBidi"/>
          <w:kern w:val="2"/>
          <w:sz w:val="24"/>
          <w:szCs w:val="24"/>
          <w:lang w:eastAsia="en-GB"/>
          <w14:ligatures w14:val="standardContextual"/>
        </w:rPr>
      </w:pPr>
      <w:r>
        <w:t>Best Practice Principle 3</w:t>
      </w:r>
      <w:r>
        <w:tab/>
      </w:r>
      <w:r>
        <w:fldChar w:fldCharType="begin"/>
      </w:r>
      <w:r>
        <w:instrText xml:space="preserve"> PAGEREF _Toc184061537 \h </w:instrText>
      </w:r>
      <w:r>
        <w:fldChar w:fldCharType="separate"/>
      </w:r>
      <w:r w:rsidR="0055337E">
        <w:t>9</w:t>
      </w:r>
      <w:r>
        <w:fldChar w:fldCharType="end"/>
      </w:r>
    </w:p>
    <w:p w14:paraId="5CBA2BE0" w14:textId="0914076D" w:rsidR="00BC635A" w:rsidRDefault="00BC635A" w:rsidP="00CD0080">
      <w:pPr>
        <w:pStyle w:val="TOC2"/>
        <w:rPr>
          <w:rFonts w:eastAsiaTheme="minorEastAsia" w:cstheme="minorBidi"/>
          <w:iCs/>
          <w:kern w:val="2"/>
          <w:sz w:val="24"/>
          <w:szCs w:val="24"/>
          <w:lang w:eastAsia="en-GB"/>
          <w14:ligatures w14:val="standardContextual"/>
        </w:rPr>
      </w:pPr>
      <w:r>
        <w:t>Table A: Unacceptable, ‘error</w:t>
      </w:r>
      <w:r w:rsidRPr="00F64FED">
        <w:rPr>
          <w:rFonts w:ascii="Cambria Math" w:hAnsi="Cambria Math" w:cs="Cambria Math"/>
        </w:rPr>
        <w:t>‑</w:t>
      </w:r>
      <w:r>
        <w:t xml:space="preserve">prone’ abbreviations </w:t>
      </w:r>
      <w:r w:rsidR="00D402E1">
        <w:br/>
      </w:r>
      <w:r>
        <w:t>relating to instructions and routes of administration</w:t>
      </w:r>
      <w:r>
        <w:tab/>
      </w:r>
      <w:r>
        <w:fldChar w:fldCharType="begin"/>
      </w:r>
      <w:r>
        <w:instrText xml:space="preserve"> PAGEREF _Toc184061538 \h </w:instrText>
      </w:r>
      <w:r>
        <w:fldChar w:fldCharType="separate"/>
      </w:r>
      <w:r w:rsidR="0055337E">
        <w:t>9</w:t>
      </w:r>
      <w:r>
        <w:fldChar w:fldCharType="end"/>
      </w:r>
    </w:p>
    <w:p w14:paraId="6D322449" w14:textId="65FED846" w:rsidR="00BC635A" w:rsidRDefault="00BC635A" w:rsidP="00CD0080">
      <w:pPr>
        <w:pStyle w:val="TOC2"/>
        <w:rPr>
          <w:rFonts w:eastAsiaTheme="minorEastAsia" w:cstheme="minorBidi"/>
          <w:kern w:val="2"/>
          <w:sz w:val="24"/>
          <w:szCs w:val="24"/>
          <w:lang w:eastAsia="en-GB"/>
          <w14:ligatures w14:val="standardContextual"/>
        </w:rPr>
      </w:pPr>
      <w:r>
        <w:t>Best Practice Principle 4</w:t>
      </w:r>
      <w:r>
        <w:tab/>
      </w:r>
      <w:r>
        <w:fldChar w:fldCharType="begin"/>
      </w:r>
      <w:r>
        <w:instrText xml:space="preserve"> PAGEREF _Toc184061539 \h </w:instrText>
      </w:r>
      <w:r>
        <w:fldChar w:fldCharType="separate"/>
      </w:r>
      <w:r w:rsidR="0055337E">
        <w:t>13</w:t>
      </w:r>
      <w:r>
        <w:fldChar w:fldCharType="end"/>
      </w:r>
    </w:p>
    <w:p w14:paraId="37A704A6" w14:textId="4C4D78C3" w:rsidR="00BC635A" w:rsidRDefault="00BC635A" w:rsidP="00CD0080">
      <w:pPr>
        <w:pStyle w:val="TOC2"/>
        <w:rPr>
          <w:rFonts w:eastAsiaTheme="minorEastAsia" w:cstheme="minorBidi"/>
          <w:kern w:val="2"/>
          <w:sz w:val="24"/>
          <w:szCs w:val="24"/>
          <w:lang w:eastAsia="en-GB"/>
          <w14:ligatures w14:val="standardContextual"/>
        </w:rPr>
      </w:pPr>
      <w:r>
        <w:t>Best Practice Principle 5</w:t>
      </w:r>
      <w:r>
        <w:tab/>
      </w:r>
      <w:r>
        <w:fldChar w:fldCharType="begin"/>
      </w:r>
      <w:r>
        <w:instrText xml:space="preserve"> PAGEREF _Toc184061540 \h </w:instrText>
      </w:r>
      <w:r>
        <w:fldChar w:fldCharType="separate"/>
      </w:r>
      <w:r w:rsidR="0055337E">
        <w:t>13</w:t>
      </w:r>
      <w:r>
        <w:fldChar w:fldCharType="end"/>
      </w:r>
    </w:p>
    <w:p w14:paraId="1D6A1F29" w14:textId="5D83447B" w:rsidR="00BC635A" w:rsidRDefault="00BC635A" w:rsidP="00CD0080">
      <w:pPr>
        <w:pStyle w:val="TOC2"/>
        <w:rPr>
          <w:rFonts w:eastAsiaTheme="minorEastAsia" w:cstheme="minorBidi"/>
          <w:kern w:val="2"/>
          <w:sz w:val="24"/>
          <w:szCs w:val="24"/>
          <w:lang w:eastAsia="en-GB"/>
          <w14:ligatures w14:val="standardContextual"/>
        </w:rPr>
      </w:pPr>
      <w:r>
        <w:t>Best Practice Principle 6</w:t>
      </w:r>
      <w:r>
        <w:tab/>
      </w:r>
      <w:r>
        <w:fldChar w:fldCharType="begin"/>
      </w:r>
      <w:r>
        <w:instrText xml:space="preserve"> PAGEREF _Toc184061541 \h </w:instrText>
      </w:r>
      <w:r>
        <w:fldChar w:fldCharType="separate"/>
      </w:r>
      <w:r w:rsidR="0055337E">
        <w:t>13</w:t>
      </w:r>
      <w:r>
        <w:fldChar w:fldCharType="end"/>
      </w:r>
    </w:p>
    <w:p w14:paraId="0B3A2CFB" w14:textId="2DD3D6F0" w:rsidR="00BC635A" w:rsidRDefault="00BC635A" w:rsidP="00CD0080">
      <w:pPr>
        <w:pStyle w:val="TOC2"/>
        <w:rPr>
          <w:rFonts w:eastAsiaTheme="minorEastAsia" w:cstheme="minorBidi"/>
          <w:iCs/>
          <w:kern w:val="2"/>
          <w:sz w:val="24"/>
          <w:szCs w:val="24"/>
          <w:lang w:eastAsia="en-GB"/>
          <w14:ligatures w14:val="standardContextual"/>
        </w:rPr>
      </w:pPr>
      <w:r>
        <w:t>Table B: Common ‘error</w:t>
      </w:r>
      <w:r w:rsidRPr="00F64FED">
        <w:rPr>
          <w:rFonts w:ascii="Cambria Math" w:hAnsi="Cambria Math" w:cs="Cambria Math"/>
        </w:rPr>
        <w:t>‑</w:t>
      </w:r>
      <w:r>
        <w:t xml:space="preserve">prone’ or unacceptable abbreviations for </w:t>
      </w:r>
      <w:r w:rsidR="00D402E1">
        <w:br/>
      </w:r>
      <w:r>
        <w:t>medicine names and chemical names that should be written in full</w:t>
      </w:r>
      <w:r>
        <w:tab/>
      </w:r>
      <w:r>
        <w:fldChar w:fldCharType="begin"/>
      </w:r>
      <w:r>
        <w:instrText xml:space="preserve"> PAGEREF _Toc184061542 \h </w:instrText>
      </w:r>
      <w:r>
        <w:fldChar w:fldCharType="separate"/>
      </w:r>
      <w:r w:rsidR="0055337E">
        <w:t>14</w:t>
      </w:r>
      <w:r>
        <w:fldChar w:fldCharType="end"/>
      </w:r>
    </w:p>
    <w:p w14:paraId="51DC5ECB" w14:textId="409D4534" w:rsidR="00BC635A" w:rsidRDefault="00BC635A" w:rsidP="00CD0080">
      <w:pPr>
        <w:pStyle w:val="TOC2"/>
        <w:rPr>
          <w:rFonts w:eastAsiaTheme="minorEastAsia" w:cstheme="minorBidi"/>
          <w:kern w:val="2"/>
          <w:sz w:val="24"/>
          <w:szCs w:val="24"/>
          <w:lang w:eastAsia="en-GB"/>
          <w14:ligatures w14:val="standardContextual"/>
        </w:rPr>
      </w:pPr>
      <w:r>
        <w:t>Best Practice Principle 7</w:t>
      </w:r>
      <w:r>
        <w:tab/>
      </w:r>
      <w:r>
        <w:fldChar w:fldCharType="begin"/>
      </w:r>
      <w:r>
        <w:instrText xml:space="preserve"> PAGEREF _Toc184061543 \h </w:instrText>
      </w:r>
      <w:r>
        <w:fldChar w:fldCharType="separate"/>
      </w:r>
      <w:r w:rsidR="0055337E">
        <w:t>16</w:t>
      </w:r>
      <w:r>
        <w:fldChar w:fldCharType="end"/>
      </w:r>
    </w:p>
    <w:p w14:paraId="0E2D61C6" w14:textId="55698D39" w:rsidR="00BC635A" w:rsidRDefault="00BC635A" w:rsidP="00CD0080">
      <w:pPr>
        <w:pStyle w:val="TOC2"/>
        <w:rPr>
          <w:rFonts w:eastAsiaTheme="minorEastAsia" w:cstheme="minorBidi"/>
          <w:kern w:val="2"/>
          <w:sz w:val="24"/>
          <w:szCs w:val="24"/>
          <w:lang w:eastAsia="en-GB"/>
          <w14:ligatures w14:val="standardContextual"/>
        </w:rPr>
      </w:pPr>
      <w:r>
        <w:t>Best Practice Principle 8</w:t>
      </w:r>
      <w:r>
        <w:tab/>
      </w:r>
      <w:r>
        <w:fldChar w:fldCharType="begin"/>
      </w:r>
      <w:r>
        <w:instrText xml:space="preserve"> PAGEREF _Toc184061544 \h </w:instrText>
      </w:r>
      <w:r>
        <w:fldChar w:fldCharType="separate"/>
      </w:r>
      <w:r w:rsidR="0055337E">
        <w:t>16</w:t>
      </w:r>
      <w:r>
        <w:fldChar w:fldCharType="end"/>
      </w:r>
    </w:p>
    <w:p w14:paraId="7E0C9C1A" w14:textId="51D131D6" w:rsidR="00BC635A" w:rsidRDefault="00BC635A" w:rsidP="00CD0080">
      <w:pPr>
        <w:pStyle w:val="TOC2"/>
        <w:rPr>
          <w:rFonts w:eastAsiaTheme="minorEastAsia" w:cstheme="minorBidi"/>
          <w:kern w:val="2"/>
          <w:sz w:val="24"/>
          <w:szCs w:val="24"/>
          <w:lang w:eastAsia="en-GB"/>
          <w14:ligatures w14:val="standardContextual"/>
        </w:rPr>
      </w:pPr>
      <w:r>
        <w:t>Best Practice Principle 9</w:t>
      </w:r>
      <w:r>
        <w:tab/>
      </w:r>
      <w:r>
        <w:fldChar w:fldCharType="begin"/>
      </w:r>
      <w:r>
        <w:instrText xml:space="preserve"> PAGEREF _Toc184061545 \h </w:instrText>
      </w:r>
      <w:r>
        <w:fldChar w:fldCharType="separate"/>
      </w:r>
      <w:r w:rsidR="0055337E">
        <w:t>16</w:t>
      </w:r>
      <w:r>
        <w:fldChar w:fldCharType="end"/>
      </w:r>
    </w:p>
    <w:p w14:paraId="44CD93F8" w14:textId="64B7274C" w:rsidR="00BC635A" w:rsidRDefault="00BC635A" w:rsidP="00CD0080">
      <w:pPr>
        <w:pStyle w:val="TOC2"/>
        <w:rPr>
          <w:rFonts w:eastAsiaTheme="minorEastAsia" w:cstheme="minorBidi"/>
          <w:kern w:val="2"/>
          <w:sz w:val="24"/>
          <w:szCs w:val="24"/>
          <w:lang w:eastAsia="en-GB"/>
          <w14:ligatures w14:val="standardContextual"/>
        </w:rPr>
      </w:pPr>
      <w:r>
        <w:t>Best Practice Principle 10</w:t>
      </w:r>
      <w:r>
        <w:tab/>
      </w:r>
      <w:r>
        <w:fldChar w:fldCharType="begin"/>
      </w:r>
      <w:r>
        <w:instrText xml:space="preserve"> PAGEREF _Toc184061546 \h </w:instrText>
      </w:r>
      <w:r>
        <w:fldChar w:fldCharType="separate"/>
      </w:r>
      <w:r w:rsidR="0055337E">
        <w:t>16</w:t>
      </w:r>
      <w:r>
        <w:fldChar w:fldCharType="end"/>
      </w:r>
    </w:p>
    <w:p w14:paraId="1DB27B1F" w14:textId="7247C1CA" w:rsidR="00BC635A" w:rsidRDefault="00BC635A" w:rsidP="00CD0080">
      <w:pPr>
        <w:pStyle w:val="TOC2"/>
        <w:rPr>
          <w:rFonts w:eastAsiaTheme="minorEastAsia" w:cstheme="minorBidi"/>
          <w:kern w:val="2"/>
          <w:sz w:val="24"/>
          <w:szCs w:val="24"/>
          <w:lang w:eastAsia="en-GB"/>
          <w14:ligatures w14:val="standardContextual"/>
        </w:rPr>
      </w:pPr>
      <w:r>
        <w:t>Best Practice Principle 11</w:t>
      </w:r>
      <w:r>
        <w:tab/>
      </w:r>
      <w:r>
        <w:fldChar w:fldCharType="begin"/>
      </w:r>
      <w:r>
        <w:instrText xml:space="preserve"> PAGEREF _Toc184061547 \h </w:instrText>
      </w:r>
      <w:r>
        <w:fldChar w:fldCharType="separate"/>
      </w:r>
      <w:r w:rsidR="0055337E">
        <w:t>16</w:t>
      </w:r>
      <w:r>
        <w:fldChar w:fldCharType="end"/>
      </w:r>
    </w:p>
    <w:p w14:paraId="632A088F" w14:textId="16F8BCBF" w:rsidR="00BC635A" w:rsidRDefault="00BC635A" w:rsidP="00CD0080">
      <w:pPr>
        <w:pStyle w:val="TOC2"/>
        <w:rPr>
          <w:rFonts w:eastAsiaTheme="minorEastAsia" w:cstheme="minorBidi"/>
          <w:kern w:val="2"/>
          <w:sz w:val="24"/>
          <w:szCs w:val="24"/>
          <w:lang w:eastAsia="en-GB"/>
          <w14:ligatures w14:val="standardContextual"/>
        </w:rPr>
      </w:pPr>
      <w:r>
        <w:t>Best Practice Principle 12</w:t>
      </w:r>
      <w:r>
        <w:tab/>
      </w:r>
      <w:r>
        <w:fldChar w:fldCharType="begin"/>
      </w:r>
      <w:r>
        <w:instrText xml:space="preserve"> PAGEREF _Toc184061548 \h </w:instrText>
      </w:r>
      <w:r>
        <w:fldChar w:fldCharType="separate"/>
      </w:r>
      <w:r w:rsidR="0055337E">
        <w:t>17</w:t>
      </w:r>
      <w:r>
        <w:fldChar w:fldCharType="end"/>
      </w:r>
    </w:p>
    <w:p w14:paraId="5E974DE8" w14:textId="0AA83F25" w:rsidR="00BC635A" w:rsidRDefault="00BC635A" w:rsidP="00CD0080">
      <w:pPr>
        <w:pStyle w:val="TOC2"/>
        <w:rPr>
          <w:rFonts w:eastAsiaTheme="minorEastAsia" w:cstheme="minorBidi"/>
          <w:kern w:val="2"/>
          <w:sz w:val="24"/>
          <w:szCs w:val="24"/>
          <w:lang w:eastAsia="en-GB"/>
          <w14:ligatures w14:val="standardContextual"/>
        </w:rPr>
      </w:pPr>
      <w:r>
        <w:t>Best Practice Principle 13</w:t>
      </w:r>
      <w:r>
        <w:tab/>
      </w:r>
      <w:r>
        <w:fldChar w:fldCharType="begin"/>
      </w:r>
      <w:r>
        <w:instrText xml:space="preserve"> PAGEREF _Toc184061549 \h </w:instrText>
      </w:r>
      <w:r>
        <w:fldChar w:fldCharType="separate"/>
      </w:r>
      <w:r w:rsidR="0055337E">
        <w:t>17</w:t>
      </w:r>
      <w:r>
        <w:fldChar w:fldCharType="end"/>
      </w:r>
    </w:p>
    <w:p w14:paraId="6D94B610" w14:textId="396ABF85" w:rsidR="00BC635A" w:rsidRDefault="00BC635A" w:rsidP="00CD0080">
      <w:pPr>
        <w:pStyle w:val="TOC2"/>
        <w:rPr>
          <w:rFonts w:eastAsiaTheme="minorEastAsia" w:cstheme="minorBidi"/>
          <w:iCs/>
          <w:kern w:val="2"/>
          <w:sz w:val="24"/>
          <w:szCs w:val="24"/>
          <w:lang w:eastAsia="en-GB"/>
          <w14:ligatures w14:val="standardContextual"/>
        </w:rPr>
      </w:pPr>
      <w:r>
        <w:t>Figure 2: Fractions in dosing instructions</w:t>
      </w:r>
      <w:r>
        <w:tab/>
      </w:r>
      <w:r>
        <w:fldChar w:fldCharType="begin"/>
      </w:r>
      <w:r>
        <w:instrText xml:space="preserve"> PAGEREF _Toc184061550 \h </w:instrText>
      </w:r>
      <w:r>
        <w:fldChar w:fldCharType="separate"/>
      </w:r>
      <w:r w:rsidR="0055337E">
        <w:t>17</w:t>
      </w:r>
      <w:r>
        <w:fldChar w:fldCharType="end"/>
      </w:r>
    </w:p>
    <w:p w14:paraId="7D197C85" w14:textId="395EA51E" w:rsidR="00BC635A" w:rsidRDefault="00BC635A" w:rsidP="00CD0080">
      <w:pPr>
        <w:pStyle w:val="TOC2"/>
        <w:rPr>
          <w:rFonts w:eastAsiaTheme="minorEastAsia" w:cstheme="minorBidi"/>
          <w:kern w:val="2"/>
          <w:sz w:val="24"/>
          <w:szCs w:val="24"/>
          <w:lang w:eastAsia="en-GB"/>
          <w14:ligatures w14:val="standardContextual"/>
        </w:rPr>
      </w:pPr>
      <w:r>
        <w:t>Best Practice Principle 14</w:t>
      </w:r>
      <w:r>
        <w:tab/>
      </w:r>
      <w:r>
        <w:fldChar w:fldCharType="begin"/>
      </w:r>
      <w:r>
        <w:instrText xml:space="preserve"> PAGEREF _Toc184061551 \h </w:instrText>
      </w:r>
      <w:r>
        <w:fldChar w:fldCharType="separate"/>
      </w:r>
      <w:r w:rsidR="0055337E">
        <w:t>17</w:t>
      </w:r>
      <w:r>
        <w:fldChar w:fldCharType="end"/>
      </w:r>
    </w:p>
    <w:p w14:paraId="55CAEC22" w14:textId="0767C333" w:rsidR="00BC635A" w:rsidRDefault="00BC635A" w:rsidP="00CD0080">
      <w:pPr>
        <w:pStyle w:val="TOC2"/>
        <w:rPr>
          <w:rFonts w:eastAsiaTheme="minorEastAsia" w:cstheme="minorBidi"/>
          <w:kern w:val="2"/>
          <w:sz w:val="24"/>
          <w:szCs w:val="24"/>
          <w:lang w:eastAsia="en-GB"/>
          <w14:ligatures w14:val="standardContextual"/>
        </w:rPr>
      </w:pPr>
      <w:r>
        <w:t>Best Practice Principle 15</w:t>
      </w:r>
      <w:r>
        <w:tab/>
      </w:r>
      <w:r>
        <w:fldChar w:fldCharType="begin"/>
      </w:r>
      <w:r>
        <w:instrText xml:space="preserve"> PAGEREF _Toc184061552 \h </w:instrText>
      </w:r>
      <w:r>
        <w:fldChar w:fldCharType="separate"/>
      </w:r>
      <w:r w:rsidR="0055337E">
        <w:t>18</w:t>
      </w:r>
      <w:r>
        <w:fldChar w:fldCharType="end"/>
      </w:r>
    </w:p>
    <w:p w14:paraId="64D1AAE4" w14:textId="61AD6B7A" w:rsidR="00BC635A" w:rsidRDefault="00BC635A" w:rsidP="00CD0080">
      <w:pPr>
        <w:pStyle w:val="TOC2"/>
        <w:rPr>
          <w:rFonts w:eastAsiaTheme="minorEastAsia" w:cstheme="minorBidi"/>
          <w:kern w:val="2"/>
          <w:sz w:val="24"/>
          <w:szCs w:val="24"/>
          <w:lang w:eastAsia="en-GB"/>
          <w14:ligatures w14:val="standardContextual"/>
        </w:rPr>
      </w:pPr>
      <w:r>
        <w:t>Best Practice Principle 16</w:t>
      </w:r>
      <w:r>
        <w:tab/>
      </w:r>
      <w:r>
        <w:fldChar w:fldCharType="begin"/>
      </w:r>
      <w:r>
        <w:instrText xml:space="preserve"> PAGEREF _Toc184061553 \h </w:instrText>
      </w:r>
      <w:r>
        <w:fldChar w:fldCharType="separate"/>
      </w:r>
      <w:r w:rsidR="0055337E">
        <w:t>18</w:t>
      </w:r>
      <w:r>
        <w:fldChar w:fldCharType="end"/>
      </w:r>
    </w:p>
    <w:p w14:paraId="5A95E529" w14:textId="270E6019" w:rsidR="00BC635A" w:rsidRDefault="00BC635A" w:rsidP="00CD0080">
      <w:pPr>
        <w:pStyle w:val="TOC2"/>
        <w:rPr>
          <w:rFonts w:eastAsiaTheme="minorEastAsia" w:cstheme="minorBidi"/>
          <w:kern w:val="2"/>
          <w:sz w:val="24"/>
          <w:szCs w:val="24"/>
          <w:lang w:eastAsia="en-GB"/>
          <w14:ligatures w14:val="standardContextual"/>
        </w:rPr>
      </w:pPr>
      <w:r>
        <w:t>Best Practice Principle 17</w:t>
      </w:r>
      <w:r>
        <w:tab/>
      </w:r>
      <w:r>
        <w:fldChar w:fldCharType="begin"/>
      </w:r>
      <w:r>
        <w:instrText xml:space="preserve"> PAGEREF _Toc184061554 \h </w:instrText>
      </w:r>
      <w:r>
        <w:fldChar w:fldCharType="separate"/>
      </w:r>
      <w:r w:rsidR="0055337E">
        <w:t>18</w:t>
      </w:r>
      <w:r>
        <w:fldChar w:fldCharType="end"/>
      </w:r>
    </w:p>
    <w:p w14:paraId="43854B28" w14:textId="4989FA1A" w:rsidR="00BC635A" w:rsidRDefault="00BC635A" w:rsidP="00CD0080">
      <w:pPr>
        <w:pStyle w:val="TOC2"/>
        <w:rPr>
          <w:rFonts w:eastAsiaTheme="minorEastAsia" w:cstheme="minorBidi"/>
          <w:iCs/>
          <w:kern w:val="2"/>
          <w:sz w:val="24"/>
          <w:szCs w:val="24"/>
          <w:lang w:eastAsia="en-GB"/>
          <w14:ligatures w14:val="standardContextual"/>
        </w:rPr>
      </w:pPr>
      <w:r>
        <w:t>Figure 3: Acceptable codes: Reasons for withholding or not administering</w:t>
      </w:r>
      <w:r>
        <w:tab/>
      </w:r>
      <w:r>
        <w:fldChar w:fldCharType="begin"/>
      </w:r>
      <w:r>
        <w:instrText xml:space="preserve"> PAGEREF _Toc184061555 \h </w:instrText>
      </w:r>
      <w:r>
        <w:fldChar w:fldCharType="separate"/>
      </w:r>
      <w:r w:rsidR="0055337E">
        <w:t>18</w:t>
      </w:r>
      <w:r>
        <w:fldChar w:fldCharType="end"/>
      </w:r>
    </w:p>
    <w:p w14:paraId="6BA121A2" w14:textId="0E03E878" w:rsidR="00BC635A" w:rsidRDefault="00BC635A" w:rsidP="00CD0080">
      <w:pPr>
        <w:pStyle w:val="TOC2"/>
        <w:rPr>
          <w:rFonts w:eastAsiaTheme="minorEastAsia" w:cstheme="minorBidi"/>
          <w:iCs/>
          <w:kern w:val="2"/>
          <w:sz w:val="24"/>
          <w:szCs w:val="24"/>
          <w:lang w:eastAsia="en-GB"/>
          <w14:ligatures w14:val="standardContextual"/>
        </w:rPr>
      </w:pPr>
      <w:r>
        <w:t>Table C: Examples of symbols that are unacceptable or should be avoided</w:t>
      </w:r>
      <w:r>
        <w:tab/>
      </w:r>
      <w:r>
        <w:fldChar w:fldCharType="begin"/>
      </w:r>
      <w:r>
        <w:instrText xml:space="preserve"> PAGEREF _Toc184061556 \h </w:instrText>
      </w:r>
      <w:r>
        <w:fldChar w:fldCharType="separate"/>
      </w:r>
      <w:r w:rsidR="0055337E">
        <w:t>19</w:t>
      </w:r>
      <w:r>
        <w:fldChar w:fldCharType="end"/>
      </w:r>
    </w:p>
    <w:p w14:paraId="1F943778" w14:textId="00D86493" w:rsidR="00BC635A" w:rsidRDefault="00BC635A" w:rsidP="00DA5C7C">
      <w:pPr>
        <w:pStyle w:val="TOC1"/>
        <w:rPr>
          <w:rFonts w:eastAsiaTheme="minorEastAsia" w:cstheme="minorBidi"/>
          <w:color w:val="auto"/>
          <w:kern w:val="2"/>
          <w:szCs w:val="24"/>
          <w:lang w:eastAsia="en-GB"/>
          <w14:ligatures w14:val="standardContextual"/>
        </w:rPr>
      </w:pPr>
      <w:r>
        <w:t>List of acceptable terms, abbreviations and dose designations</w:t>
      </w:r>
      <w:r>
        <w:tab/>
      </w:r>
      <w:r>
        <w:fldChar w:fldCharType="begin"/>
      </w:r>
      <w:r>
        <w:instrText xml:space="preserve"> PAGEREF _Toc184061557 \h </w:instrText>
      </w:r>
      <w:r>
        <w:fldChar w:fldCharType="separate"/>
      </w:r>
      <w:r w:rsidR="0055337E">
        <w:t>21</w:t>
      </w:r>
      <w:r>
        <w:fldChar w:fldCharType="end"/>
      </w:r>
    </w:p>
    <w:p w14:paraId="1420B490" w14:textId="2553A8BA" w:rsidR="00BC635A" w:rsidRDefault="00BC635A" w:rsidP="00CD0080">
      <w:pPr>
        <w:pStyle w:val="TOC3"/>
        <w:rPr>
          <w:rFonts w:eastAsiaTheme="minorEastAsia" w:cstheme="minorBidi"/>
          <w:kern w:val="2"/>
          <w:sz w:val="24"/>
          <w:szCs w:val="24"/>
          <w:lang w:eastAsia="en-GB"/>
          <w14:ligatures w14:val="standardContextual"/>
        </w:rPr>
      </w:pPr>
      <w:r>
        <w:t>Table D: Dose frequency or timing</w:t>
      </w:r>
      <w:r>
        <w:tab/>
      </w:r>
      <w:r>
        <w:fldChar w:fldCharType="begin"/>
      </w:r>
      <w:r>
        <w:instrText xml:space="preserve"> PAGEREF _Toc184061558 \h </w:instrText>
      </w:r>
      <w:r>
        <w:fldChar w:fldCharType="separate"/>
      </w:r>
      <w:r w:rsidR="0055337E">
        <w:t>21</w:t>
      </w:r>
      <w:r>
        <w:fldChar w:fldCharType="end"/>
      </w:r>
    </w:p>
    <w:p w14:paraId="45BBB41B" w14:textId="6875FB8B" w:rsidR="00BC635A" w:rsidRDefault="00BC635A" w:rsidP="00CD0080">
      <w:pPr>
        <w:pStyle w:val="TOC3"/>
        <w:rPr>
          <w:rFonts w:eastAsiaTheme="minorEastAsia" w:cstheme="minorBidi"/>
          <w:kern w:val="2"/>
          <w:sz w:val="24"/>
          <w:szCs w:val="24"/>
          <w:lang w:eastAsia="en-GB"/>
          <w14:ligatures w14:val="standardContextual"/>
        </w:rPr>
      </w:pPr>
      <w:r>
        <w:t>Table E: Routes of administration</w:t>
      </w:r>
      <w:r>
        <w:tab/>
      </w:r>
      <w:r>
        <w:fldChar w:fldCharType="begin"/>
      </w:r>
      <w:r>
        <w:instrText xml:space="preserve"> PAGEREF _Toc184061559 \h </w:instrText>
      </w:r>
      <w:r>
        <w:fldChar w:fldCharType="separate"/>
      </w:r>
      <w:r w:rsidR="0055337E">
        <w:t>22</w:t>
      </w:r>
      <w:r>
        <w:fldChar w:fldCharType="end"/>
      </w:r>
    </w:p>
    <w:p w14:paraId="4CF947B3" w14:textId="5B8F3D34" w:rsidR="00BC635A" w:rsidRDefault="00BC635A" w:rsidP="00CD0080">
      <w:pPr>
        <w:pStyle w:val="TOC3"/>
        <w:rPr>
          <w:rFonts w:eastAsiaTheme="minorEastAsia" w:cstheme="minorBidi"/>
          <w:kern w:val="2"/>
          <w:sz w:val="24"/>
          <w:szCs w:val="24"/>
          <w:lang w:eastAsia="en-GB"/>
          <w14:ligatures w14:val="standardContextual"/>
        </w:rPr>
      </w:pPr>
      <w:r>
        <w:t>Table F: Dose designations: Units of measure, concentration and rates of administration</w:t>
      </w:r>
      <w:r>
        <w:tab/>
      </w:r>
      <w:r>
        <w:fldChar w:fldCharType="begin"/>
      </w:r>
      <w:r>
        <w:instrText xml:space="preserve"> PAGEREF _Toc184061560 \h </w:instrText>
      </w:r>
      <w:r>
        <w:fldChar w:fldCharType="separate"/>
      </w:r>
      <w:r w:rsidR="0055337E">
        <w:t>23</w:t>
      </w:r>
      <w:r>
        <w:fldChar w:fldCharType="end"/>
      </w:r>
    </w:p>
    <w:p w14:paraId="12407A58" w14:textId="2977857C" w:rsidR="00BC635A" w:rsidRDefault="00BC635A" w:rsidP="00CD0080">
      <w:pPr>
        <w:pStyle w:val="TOC3"/>
        <w:rPr>
          <w:rFonts w:eastAsiaTheme="minorEastAsia" w:cstheme="minorBidi"/>
          <w:kern w:val="2"/>
          <w:sz w:val="24"/>
          <w:szCs w:val="24"/>
          <w:lang w:eastAsia="en-GB"/>
          <w14:ligatures w14:val="standardContextual"/>
        </w:rPr>
      </w:pPr>
      <w:r>
        <w:t>Table G: Dose forms</w:t>
      </w:r>
      <w:r>
        <w:tab/>
      </w:r>
      <w:r>
        <w:fldChar w:fldCharType="begin"/>
      </w:r>
      <w:r>
        <w:instrText xml:space="preserve"> PAGEREF _Toc184061561 \h </w:instrText>
      </w:r>
      <w:r>
        <w:fldChar w:fldCharType="separate"/>
      </w:r>
      <w:r w:rsidR="0055337E">
        <w:t>24</w:t>
      </w:r>
      <w:r>
        <w:fldChar w:fldCharType="end"/>
      </w:r>
    </w:p>
    <w:p w14:paraId="4EA22D0D" w14:textId="258649B1" w:rsidR="00BC635A" w:rsidRDefault="00BC635A" w:rsidP="00DA5C7C">
      <w:pPr>
        <w:pStyle w:val="TOC1"/>
        <w:rPr>
          <w:rFonts w:eastAsiaTheme="minorEastAsia" w:cstheme="minorBidi"/>
          <w:color w:val="auto"/>
          <w:kern w:val="2"/>
          <w:szCs w:val="24"/>
          <w:lang w:eastAsia="en-GB"/>
          <w14:ligatures w14:val="standardContextual"/>
        </w:rPr>
      </w:pPr>
      <w:r>
        <w:t>References</w:t>
      </w:r>
      <w:r>
        <w:tab/>
      </w:r>
      <w:r>
        <w:fldChar w:fldCharType="begin"/>
      </w:r>
      <w:r>
        <w:instrText xml:space="preserve"> PAGEREF _Toc184061562 \h </w:instrText>
      </w:r>
      <w:r>
        <w:fldChar w:fldCharType="separate"/>
      </w:r>
      <w:r w:rsidR="0055337E">
        <w:t>26</w:t>
      </w:r>
      <w:r>
        <w:fldChar w:fldCharType="end"/>
      </w:r>
    </w:p>
    <w:p w14:paraId="617718A6" w14:textId="3EAAFF0B" w:rsidR="009621C7" w:rsidRDefault="00295887" w:rsidP="00D926A0">
      <w:pPr>
        <w:pStyle w:val="Heading1"/>
      </w:pPr>
      <w:r>
        <w:rPr>
          <w:noProof/>
        </w:rPr>
        <w:lastRenderedPageBreak/>
        <w:fldChar w:fldCharType="end"/>
      </w:r>
      <w:bookmarkStart w:id="0" w:name="_Toc184061523"/>
      <w:r w:rsidR="009621C7">
        <w:t>Executive summary</w:t>
      </w:r>
      <w:bookmarkEnd w:id="0"/>
    </w:p>
    <w:p w14:paraId="30F986D3" w14:textId="77777777" w:rsidR="009621C7" w:rsidRDefault="009621C7" w:rsidP="009621C7">
      <w:pPr>
        <w:rPr>
          <w:rStyle w:val="Superscript"/>
        </w:rPr>
      </w:pPr>
      <w:r>
        <w:t xml:space="preserve">This document is an update and renaming of the </w:t>
      </w:r>
      <w:r>
        <w:rPr>
          <w:rStyle w:val="Emphasis"/>
        </w:rPr>
        <w:t>Recommendations for Terminology, Abbreviations and Symbols used in the Medicines Documentation</w:t>
      </w:r>
      <w:r>
        <w:t>.</w:t>
      </w:r>
      <w:r>
        <w:rPr>
          <w:rStyle w:val="Superscript"/>
        </w:rPr>
        <w:t>1</w:t>
      </w:r>
      <w:r>
        <w:t xml:space="preserve"> The document has been modified by the Australian Commission on Safety and Quality in Health Care (the Commission)</w:t>
      </w:r>
      <w:r w:rsidRPr="008B2E29">
        <w:rPr>
          <w:rStyle w:val="Superscript"/>
        </w:rPr>
        <w:footnoteReference w:id="1"/>
      </w:r>
      <w:r>
        <w:rPr>
          <w:rStyle w:val="FootnoteReference"/>
        </w:rPr>
        <w:t xml:space="preserve"> </w:t>
      </w:r>
      <w:r>
        <w:t>based on reported adverse events and international trends in ‘error-prone’ medicines terminology and informed by a literature review and environmental scan.</w:t>
      </w:r>
      <w:r>
        <w:rPr>
          <w:rStyle w:val="Superscript"/>
        </w:rPr>
        <w:t xml:space="preserve">3 </w:t>
      </w:r>
    </w:p>
    <w:p w14:paraId="6FB6236B" w14:textId="2C49A06D" w:rsidR="009621C7" w:rsidRDefault="009621C7" w:rsidP="009621C7">
      <w:pPr>
        <w:rPr>
          <w:rStyle w:val="Superscript"/>
        </w:rPr>
      </w:pPr>
      <w:r>
        <w:t>Medication errors are one of the most reported clinical incidents in acute health care settings and, while rates of serious harm are low, their prevalence is of concern particularly as many are preventable. A recognised major cause of medication errors is the use of potentially dangerous abbreviations and dose expressions, with ‘error-prone’ abbreviations being used in 8.4% of in</w:t>
      </w:r>
      <w:r w:rsidR="00B77EBB">
        <w:noBreakHyphen/>
      </w:r>
      <w:r>
        <w:t>hospital handwritten medication orders.</w:t>
      </w:r>
      <w:r>
        <w:rPr>
          <w:rStyle w:val="Superscript"/>
        </w:rPr>
        <w:t>4</w:t>
      </w:r>
    </w:p>
    <w:p w14:paraId="3979A6C0" w14:textId="77777777" w:rsidR="009621C7" w:rsidRDefault="009621C7" w:rsidP="009621C7">
      <w:pPr>
        <w:spacing w:after="240"/>
      </w:pPr>
      <w:r>
        <w:t xml:space="preserve">An abbreviation, term or symbol used by a prescriber may mean something quite different to the person interpreting the medicine order, for instance, for dispensing or administration; or for patients (their family and/or carers) or other prescribers. Abbreviations that are unclear, ambiguous or incomplete may be misunderstood, and have been identified as ‘error-prone’. In addition, when combined with words or numerals, the information may appear as something altogether unintended. </w:t>
      </w:r>
    </w:p>
    <w:p w14:paraId="0AFED65D" w14:textId="42854ADF" w:rsidR="009621C7" w:rsidRDefault="009621C7" w:rsidP="00503E52">
      <w:pPr>
        <w:pStyle w:val="PulloutTextBody"/>
      </w:pPr>
      <w:r>
        <w:t xml:space="preserve">‘Error-prone’ terminologies are a critical patient safety issue due to the potential for misinterpretation and should never be used in any communications about medicines (verbal, digital or handwritten), </w:t>
      </w:r>
      <w:r w:rsidRPr="00503E52">
        <w:t>including</w:t>
      </w:r>
      <w:r>
        <w:t xml:space="preserve"> policies, guidelines, posters or presentations. </w:t>
      </w:r>
    </w:p>
    <w:p w14:paraId="5ACA5953" w14:textId="77777777" w:rsidR="009621C7" w:rsidRDefault="009621C7" w:rsidP="009621C7">
      <w:pPr>
        <w:spacing w:before="240"/>
      </w:pPr>
      <w:r>
        <w:t>All medicines information is recommended to be presented in full within digital displays, without abbreviation.</w:t>
      </w:r>
      <w:r>
        <w:rPr>
          <w:rStyle w:val="Superscript"/>
        </w:rPr>
        <w:t xml:space="preserve">5 </w:t>
      </w:r>
      <w:r>
        <w:t xml:space="preserve">However, there are some situations, such as small screen devices where abbreviations are required. In addition, abbreviations and acronyms may be helpful in accelerating the entry of clinical data, such as ‘sig </w:t>
      </w:r>
      <w:proofErr w:type="gramStart"/>
      <w:r>
        <w:t>codes’</w:t>
      </w:r>
      <w:proofErr w:type="gramEnd"/>
      <w:r>
        <w:t xml:space="preserve">. Any keystroke combinations or shortened forms to enable rapid data entry should be unambiguous and displayed using the full name or terminology to achieve correct digital presentation. </w:t>
      </w:r>
    </w:p>
    <w:p w14:paraId="1FD1B8C5" w14:textId="77777777" w:rsidR="009621C7" w:rsidRDefault="009621C7" w:rsidP="009621C7">
      <w:r>
        <w:t>To eliminate the use of ambiguous ‘error-prone’ medicines terminology and promote patient safety, this document sets out:</w:t>
      </w:r>
    </w:p>
    <w:p w14:paraId="4BAA1B75" w14:textId="2114FC6F" w:rsidR="009621C7" w:rsidRDefault="009621C7" w:rsidP="007621BD">
      <w:pPr>
        <w:pStyle w:val="ListParagraph"/>
        <w:numPr>
          <w:ilvl w:val="0"/>
          <w:numId w:val="30"/>
        </w:numPr>
      </w:pPr>
      <w:r>
        <w:t>To identify and explain the problem with the use of unacceptable or ‘error prone’ medicines</w:t>
      </w:r>
      <w:r w:rsidR="006B4AC3">
        <w:t> </w:t>
      </w:r>
      <w:r>
        <w:t xml:space="preserve">terminology </w:t>
      </w:r>
    </w:p>
    <w:p w14:paraId="57EC32B1" w14:textId="2F6B1C8D" w:rsidR="009621C7" w:rsidRDefault="009621C7" w:rsidP="007621BD">
      <w:pPr>
        <w:pStyle w:val="ListParagraph"/>
        <w:numPr>
          <w:ilvl w:val="0"/>
          <w:numId w:val="30"/>
        </w:numPr>
      </w:pPr>
      <w:r>
        <w:t>Best Practice Principles for safe, clear and consistent terminology for medicines (summarised in</w:t>
      </w:r>
      <w:r w:rsidR="00D07DDF">
        <w:t xml:space="preserve"> </w:t>
      </w:r>
      <w:r w:rsidR="00D07DDF" w:rsidRPr="00D07DDF">
        <w:rPr>
          <w:rStyle w:val="Cross-reference"/>
        </w:rPr>
        <w:fldChar w:fldCharType="begin"/>
      </w:r>
      <w:r w:rsidR="00D07DDF" w:rsidRPr="00D07DDF">
        <w:rPr>
          <w:rStyle w:val="Cross-reference"/>
        </w:rPr>
        <w:instrText xml:space="preserve"> REF F1 \h </w:instrText>
      </w:r>
      <w:r w:rsidR="00D07DDF">
        <w:rPr>
          <w:rStyle w:val="Cross-reference"/>
        </w:rPr>
        <w:instrText xml:space="preserve"> \* MERGEFORMAT </w:instrText>
      </w:r>
      <w:r w:rsidR="00D07DDF" w:rsidRPr="00D07DDF">
        <w:rPr>
          <w:rStyle w:val="Cross-reference"/>
        </w:rPr>
      </w:r>
      <w:r w:rsidR="00D07DDF" w:rsidRPr="00D07DDF">
        <w:rPr>
          <w:rStyle w:val="Cross-reference"/>
        </w:rPr>
        <w:fldChar w:fldCharType="separate"/>
      </w:r>
      <w:r w:rsidR="00D07DDF" w:rsidRPr="00D07DDF">
        <w:rPr>
          <w:rStyle w:val="Cross-reference"/>
        </w:rPr>
        <w:t>Figure 1</w:t>
      </w:r>
      <w:r w:rsidR="00D07DDF" w:rsidRPr="00D07DDF">
        <w:rPr>
          <w:rStyle w:val="Cross-reference"/>
        </w:rPr>
        <w:fldChar w:fldCharType="end"/>
      </w:r>
      <w:r>
        <w:t>)</w:t>
      </w:r>
    </w:p>
    <w:p w14:paraId="1B618C51" w14:textId="77777777" w:rsidR="009621C7" w:rsidRDefault="009621C7" w:rsidP="007621BD">
      <w:pPr>
        <w:pStyle w:val="ListParagraph"/>
        <w:numPr>
          <w:ilvl w:val="0"/>
          <w:numId w:val="30"/>
        </w:numPr>
      </w:pPr>
      <w:r>
        <w:t>Acceptable terms and dose designations for medicines</w:t>
      </w:r>
    </w:p>
    <w:p w14:paraId="0850B501" w14:textId="77777777" w:rsidR="009621C7" w:rsidRDefault="009621C7" w:rsidP="007621BD">
      <w:pPr>
        <w:pStyle w:val="ListParagraph"/>
        <w:numPr>
          <w:ilvl w:val="0"/>
          <w:numId w:val="30"/>
        </w:numPr>
      </w:pPr>
      <w:r>
        <w:t xml:space="preserve">Standardised abbreviations for circumstances where full expression is not possible. </w:t>
      </w:r>
    </w:p>
    <w:p w14:paraId="1B3C95F9" w14:textId="77777777" w:rsidR="009621C7" w:rsidRDefault="009621C7" w:rsidP="009621C7">
      <w:r>
        <w:t xml:space="preserve">This document promotes and underpins the use of safe, clear and consistent abbreviations and terminology for the </w:t>
      </w:r>
      <w:r>
        <w:rPr>
          <w:rStyle w:val="Emphasis"/>
        </w:rPr>
        <w:t>National Guidelines for On-screen Display of Medicines Information</w:t>
      </w:r>
      <w:r>
        <w:rPr>
          <w:rStyle w:val="Superscript"/>
        </w:rPr>
        <w:t xml:space="preserve">5 </w:t>
      </w:r>
      <w:r>
        <w:t>and the National standard for labelling dispensed medicines.</w:t>
      </w:r>
      <w:r>
        <w:rPr>
          <w:rStyle w:val="Superscript"/>
        </w:rPr>
        <w:t xml:space="preserve">6 </w:t>
      </w:r>
      <w:r>
        <w:t xml:space="preserve">All three documents are applicable in all health settings. </w:t>
      </w:r>
    </w:p>
    <w:p w14:paraId="7E52242E" w14:textId="77777777" w:rsidR="009621C7" w:rsidRDefault="009621C7" w:rsidP="009621C7">
      <w:r>
        <w:t xml:space="preserve">A </w:t>
      </w:r>
      <w:hyperlink r:id="rId20" w:history="1">
        <w:r>
          <w:rPr>
            <w:rStyle w:val="Hyperlink"/>
          </w:rPr>
          <w:t>Fact sheet: Recommendations for safe use of medicines terminology</w:t>
        </w:r>
      </w:hyperlink>
      <w:r>
        <w:rPr>
          <w:rStyle w:val="Superscript"/>
        </w:rPr>
        <w:t>7</w:t>
      </w:r>
      <w:r>
        <w:t xml:space="preserve"> is available to support health service organisations and clinicians apply the recommendations and best practice principles. It includes the full list of acceptable terms, abbreviations and dose designations.</w:t>
      </w:r>
    </w:p>
    <w:p w14:paraId="1428DC9F" w14:textId="36357382" w:rsidR="009621C7" w:rsidRPr="005C1E07" w:rsidRDefault="009621C7" w:rsidP="00E47B8F">
      <w:pPr>
        <w:pStyle w:val="FigureTableTitle"/>
      </w:pPr>
      <w:bookmarkStart w:id="1" w:name="F1"/>
      <w:bookmarkStart w:id="2" w:name="_Toc184061524"/>
      <w:r w:rsidRPr="005C1E07">
        <w:lastRenderedPageBreak/>
        <w:t>Figure</w:t>
      </w:r>
      <w:r w:rsidR="00661066" w:rsidRPr="005C1E07">
        <w:t> </w:t>
      </w:r>
      <w:r w:rsidRPr="005C1E07">
        <w:t>1</w:t>
      </w:r>
      <w:bookmarkEnd w:id="1"/>
      <w:r w:rsidRPr="005C1E07">
        <w:t>: Best Practice Principles for safe, clear and consistent terminology for medicines</w:t>
      </w:r>
      <w:bookmarkEnd w:id="2"/>
    </w:p>
    <w:p w14:paraId="7EA48A3D" w14:textId="77777777" w:rsidR="009621C7" w:rsidRDefault="009621C7" w:rsidP="007621BD">
      <w:pPr>
        <w:pStyle w:val="BPPSubheading1"/>
        <w:spacing w:before="120"/>
      </w:pPr>
      <w:r>
        <w:t>Best Practice Principle 1: Use plain language – avoid jargon</w:t>
      </w:r>
    </w:p>
    <w:p w14:paraId="09583522" w14:textId="77777777" w:rsidR="009621C7" w:rsidRDefault="009621C7" w:rsidP="00DB138B">
      <w:pPr>
        <w:pStyle w:val="BPPSubheading2"/>
      </w:pPr>
      <w:r>
        <w:t>Best Practice Principle 2: Write or display all characters clearly – especially when handwriting medicine details</w:t>
      </w:r>
    </w:p>
    <w:p w14:paraId="17FB0D48" w14:textId="7DC98DEC" w:rsidR="009621C7" w:rsidRDefault="009621C7" w:rsidP="00DB138B">
      <w:pPr>
        <w:pStyle w:val="BPPSubheading1"/>
      </w:pPr>
      <w:r>
        <w:t>Best Practice Principle 3: Write, display or speak instructions and routes of administration in</w:t>
      </w:r>
      <w:r w:rsidR="003669A4">
        <w:t> </w:t>
      </w:r>
      <w:r>
        <w:t>full</w:t>
      </w:r>
    </w:p>
    <w:p w14:paraId="153931EA" w14:textId="77777777" w:rsidR="009621C7" w:rsidRDefault="009621C7" w:rsidP="00DB138B">
      <w:pPr>
        <w:pStyle w:val="BPPSubheading2"/>
      </w:pPr>
      <w:r>
        <w:t>Best Practice Principle 4: Instructions must be clear</w:t>
      </w:r>
    </w:p>
    <w:p w14:paraId="4E3C9EAC" w14:textId="77777777" w:rsidR="009621C7" w:rsidRDefault="009621C7" w:rsidP="00DB138B">
      <w:pPr>
        <w:pStyle w:val="BPPSubheading1"/>
      </w:pPr>
      <w:r>
        <w:t>Best Practice Principle 5: Use active ingredient medicine names</w:t>
      </w:r>
    </w:p>
    <w:p w14:paraId="069FFCF6" w14:textId="77777777" w:rsidR="009621C7" w:rsidRDefault="009621C7" w:rsidP="00DB138B">
      <w:pPr>
        <w:pStyle w:val="BPPSubheading2"/>
      </w:pPr>
      <w:r>
        <w:t>Best Practice Principle 6: Write, display or speak medicine names and/or the chemical names of medicines in full – do not abbreviate</w:t>
      </w:r>
    </w:p>
    <w:p w14:paraId="42B81FFD" w14:textId="77777777" w:rsidR="009621C7" w:rsidRDefault="009621C7" w:rsidP="00DB138B">
      <w:pPr>
        <w:pStyle w:val="BPPSubheading1"/>
      </w:pPr>
      <w:r>
        <w:t>Best Practice Principle 7: Write or display days of the week names in full – or at a minimum the first three letters</w:t>
      </w:r>
    </w:p>
    <w:p w14:paraId="2CB016B6" w14:textId="77777777" w:rsidR="009621C7" w:rsidRDefault="009621C7" w:rsidP="00DB138B">
      <w:pPr>
        <w:pStyle w:val="BPPSubheading2"/>
      </w:pPr>
      <w:r>
        <w:t>Best Practice Principle 8: Incorporate safety features within digital systems to address unavoidable use of abbreviations</w:t>
      </w:r>
    </w:p>
    <w:p w14:paraId="7A6409DF" w14:textId="77777777" w:rsidR="009621C7" w:rsidRDefault="009621C7" w:rsidP="00DB138B">
      <w:pPr>
        <w:pStyle w:val="BPPSubheading1"/>
      </w:pPr>
      <w:r>
        <w:t>Best Practice Principle 9: Do not include the salt of the chemical unless it is clinically significant</w:t>
      </w:r>
    </w:p>
    <w:p w14:paraId="6ADBB455" w14:textId="77777777" w:rsidR="009621C7" w:rsidRDefault="009621C7" w:rsidP="00DB138B">
      <w:pPr>
        <w:pStyle w:val="BPPSubheading2"/>
      </w:pPr>
      <w:r>
        <w:t>Best Practice Principle 10: Use ‘mixed-case lettering’ for ‘look-alike, sound-alike’ medicines</w:t>
      </w:r>
    </w:p>
    <w:p w14:paraId="09A218B1" w14:textId="77777777" w:rsidR="009621C7" w:rsidRDefault="009621C7" w:rsidP="00DB138B">
      <w:pPr>
        <w:pStyle w:val="BPPSubheading1"/>
        <w:rPr>
          <w:color w:val="000000"/>
        </w:rPr>
      </w:pPr>
      <w:r>
        <w:t xml:space="preserve">Best Practice Principle 11: Express the dose, preferably as whole numbers, using words or Hindu-Arabic numbers. Apply metric units and do not use trailing zeros </w:t>
      </w:r>
    </w:p>
    <w:p w14:paraId="2A9A02DD" w14:textId="77777777" w:rsidR="009621C7" w:rsidRDefault="009621C7" w:rsidP="00DB138B">
      <w:pPr>
        <w:pStyle w:val="BPPSubheading2"/>
      </w:pPr>
      <w:r>
        <w:t xml:space="preserve">Best Practice Principle 12: Use </w:t>
      </w:r>
      <w:proofErr w:type="gramStart"/>
      <w:r>
        <w:t>24 hour</w:t>
      </w:r>
      <w:proofErr w:type="gramEnd"/>
      <w:r>
        <w:t xml:space="preserve"> time/clock format for </w:t>
      </w:r>
      <w:proofErr w:type="gramStart"/>
      <w:r>
        <w:t>time of day</w:t>
      </w:r>
      <w:proofErr w:type="gramEnd"/>
      <w:r>
        <w:t xml:space="preserve"> administration</w:t>
      </w:r>
    </w:p>
    <w:p w14:paraId="716C937A" w14:textId="52967701" w:rsidR="009621C7" w:rsidRDefault="009621C7" w:rsidP="00DB138B">
      <w:pPr>
        <w:pStyle w:val="BPPSubheading1"/>
      </w:pPr>
      <w:r>
        <w:t xml:space="preserve">Best Practice Principle 13: Express fractions in words </w:t>
      </w:r>
      <w:r>
        <w:rPr>
          <w:rStyle w:val="Emphasis"/>
          <w:i w:val="0"/>
          <w:iCs w:val="0"/>
          <w:sz w:val="20"/>
          <w:szCs w:val="20"/>
        </w:rPr>
        <w:t xml:space="preserve">– </w:t>
      </w:r>
      <w:r w:rsidRPr="00F7387D">
        <w:rPr>
          <w:rStyle w:val="Emphasis"/>
          <w:b w:val="0"/>
          <w:bCs/>
          <w:i w:val="0"/>
          <w:iCs w:val="0"/>
          <w:szCs w:val="22"/>
        </w:rPr>
        <w:t>see examples in</w:t>
      </w:r>
      <w:r w:rsidR="00F7387D" w:rsidRPr="00F7387D">
        <w:rPr>
          <w:rStyle w:val="Emphasis"/>
          <w:b w:val="0"/>
          <w:bCs/>
          <w:i w:val="0"/>
          <w:iCs w:val="0"/>
          <w:szCs w:val="22"/>
        </w:rPr>
        <w:t xml:space="preserve"> </w:t>
      </w:r>
      <w:r w:rsidR="00F7387D" w:rsidRPr="005E6BDC">
        <w:rPr>
          <w:rStyle w:val="Cross-reference"/>
          <w:b w:val="0"/>
          <w:bCs/>
          <w:color w:val="005370" w:themeColor="text2"/>
          <w:szCs w:val="22"/>
        </w:rPr>
        <w:fldChar w:fldCharType="begin"/>
      </w:r>
      <w:r w:rsidR="00F7387D" w:rsidRPr="005E6BDC">
        <w:rPr>
          <w:rStyle w:val="Cross-reference"/>
          <w:b w:val="0"/>
          <w:bCs/>
          <w:color w:val="005370" w:themeColor="text2"/>
          <w:szCs w:val="22"/>
        </w:rPr>
        <w:instrText xml:space="preserve"> REF F2 \h  \* MERGEFORMAT </w:instrText>
      </w:r>
      <w:r w:rsidR="00F7387D" w:rsidRPr="005E6BDC">
        <w:rPr>
          <w:rStyle w:val="Cross-reference"/>
          <w:b w:val="0"/>
          <w:bCs/>
          <w:color w:val="005370" w:themeColor="text2"/>
          <w:szCs w:val="22"/>
        </w:rPr>
      </w:r>
      <w:r w:rsidR="00F7387D" w:rsidRPr="005E6BDC">
        <w:rPr>
          <w:rStyle w:val="Cross-reference"/>
          <w:b w:val="0"/>
          <w:bCs/>
          <w:color w:val="005370" w:themeColor="text2"/>
          <w:szCs w:val="22"/>
        </w:rPr>
        <w:fldChar w:fldCharType="separate"/>
      </w:r>
      <w:r w:rsidR="00F7387D" w:rsidRPr="005E6BDC">
        <w:rPr>
          <w:rStyle w:val="Cross-reference"/>
          <w:b w:val="0"/>
          <w:bCs/>
          <w:color w:val="005370" w:themeColor="text2"/>
          <w:szCs w:val="22"/>
        </w:rPr>
        <w:t>Figure 2</w:t>
      </w:r>
      <w:r w:rsidR="00F7387D" w:rsidRPr="005E6BDC">
        <w:rPr>
          <w:rStyle w:val="Cross-reference"/>
          <w:b w:val="0"/>
          <w:bCs/>
          <w:color w:val="005370" w:themeColor="text2"/>
          <w:szCs w:val="22"/>
        </w:rPr>
        <w:fldChar w:fldCharType="end"/>
      </w:r>
    </w:p>
    <w:p w14:paraId="6D629C30" w14:textId="77777777" w:rsidR="009621C7" w:rsidRDefault="009621C7" w:rsidP="00DB138B">
      <w:pPr>
        <w:pStyle w:val="BPPSubheading2"/>
      </w:pPr>
      <w:r>
        <w:t>Best Practice Principle 14: Do not use symbols</w:t>
      </w:r>
    </w:p>
    <w:p w14:paraId="7B0EDACA" w14:textId="77777777" w:rsidR="009621C7" w:rsidRDefault="009621C7" w:rsidP="00DB138B">
      <w:pPr>
        <w:pStyle w:val="BPPSubheading1"/>
      </w:pPr>
      <w:r>
        <w:t>Best Practice Principle 15: Do not use acronyms or abbreviations for medical terms and procedure names on orders or prescriptions</w:t>
      </w:r>
    </w:p>
    <w:p w14:paraId="03EC733E" w14:textId="77777777" w:rsidR="009621C7" w:rsidRDefault="009621C7" w:rsidP="00DB138B">
      <w:pPr>
        <w:pStyle w:val="BPPSubheading2"/>
      </w:pPr>
      <w:r>
        <w:t>Best Practice Principle 16: Express numbers of 1,000 or more clearly</w:t>
      </w:r>
    </w:p>
    <w:p w14:paraId="210DCEBE" w14:textId="5FF71255" w:rsidR="009621C7" w:rsidRDefault="009621C7" w:rsidP="00DB138B">
      <w:pPr>
        <w:pStyle w:val="BPPSubheading1"/>
        <w:rPr>
          <w:color w:val="000000"/>
        </w:rPr>
      </w:pPr>
      <w:r>
        <w:t xml:space="preserve">Best Practice Principle 17: Use acceptable circled codes on paper-based medication charts </w:t>
      </w:r>
      <w:r w:rsidRPr="00F7387D">
        <w:rPr>
          <w:rStyle w:val="Emphasis"/>
          <w:i w:val="0"/>
          <w:iCs w:val="0"/>
          <w:szCs w:val="22"/>
        </w:rPr>
        <w:t>– </w:t>
      </w:r>
      <w:r w:rsidRPr="00F7387D">
        <w:rPr>
          <w:rStyle w:val="Emphasis"/>
          <w:b w:val="0"/>
          <w:bCs/>
          <w:i w:val="0"/>
          <w:iCs w:val="0"/>
          <w:szCs w:val="22"/>
        </w:rPr>
        <w:t>see codes in</w:t>
      </w:r>
      <w:r w:rsidR="00F7387D" w:rsidRPr="00F7387D">
        <w:rPr>
          <w:rStyle w:val="Emphasis"/>
          <w:b w:val="0"/>
          <w:bCs/>
          <w:i w:val="0"/>
          <w:iCs w:val="0"/>
          <w:szCs w:val="22"/>
        </w:rPr>
        <w:t xml:space="preserve"> </w:t>
      </w:r>
      <w:r w:rsidR="00F7387D" w:rsidRPr="005E6BDC">
        <w:rPr>
          <w:rStyle w:val="Cross-reference"/>
          <w:b w:val="0"/>
          <w:bCs/>
          <w:color w:val="005370" w:themeColor="text2"/>
          <w:szCs w:val="22"/>
        </w:rPr>
        <w:fldChar w:fldCharType="begin"/>
      </w:r>
      <w:r w:rsidR="00F7387D" w:rsidRPr="005E6BDC">
        <w:rPr>
          <w:rStyle w:val="Cross-reference"/>
          <w:b w:val="0"/>
          <w:bCs/>
          <w:color w:val="005370" w:themeColor="text2"/>
          <w:szCs w:val="22"/>
        </w:rPr>
        <w:instrText xml:space="preserve"> REF F3 \h  \* MERGEFORMAT </w:instrText>
      </w:r>
      <w:r w:rsidR="00F7387D" w:rsidRPr="005E6BDC">
        <w:rPr>
          <w:rStyle w:val="Cross-reference"/>
          <w:b w:val="0"/>
          <w:bCs/>
          <w:color w:val="005370" w:themeColor="text2"/>
          <w:szCs w:val="22"/>
        </w:rPr>
      </w:r>
      <w:r w:rsidR="00F7387D" w:rsidRPr="005E6BDC">
        <w:rPr>
          <w:rStyle w:val="Cross-reference"/>
          <w:b w:val="0"/>
          <w:bCs/>
          <w:color w:val="005370" w:themeColor="text2"/>
          <w:szCs w:val="22"/>
        </w:rPr>
        <w:fldChar w:fldCharType="separate"/>
      </w:r>
      <w:r w:rsidR="00F7387D" w:rsidRPr="005E6BDC">
        <w:rPr>
          <w:rStyle w:val="Cross-reference"/>
          <w:b w:val="0"/>
          <w:bCs/>
          <w:color w:val="005370" w:themeColor="text2"/>
          <w:szCs w:val="22"/>
        </w:rPr>
        <w:t>Figure 3</w:t>
      </w:r>
      <w:r w:rsidR="00F7387D" w:rsidRPr="005E6BDC">
        <w:rPr>
          <w:rStyle w:val="Cross-reference"/>
          <w:b w:val="0"/>
          <w:bCs/>
          <w:color w:val="005370" w:themeColor="text2"/>
          <w:szCs w:val="22"/>
        </w:rPr>
        <w:fldChar w:fldCharType="end"/>
      </w:r>
    </w:p>
    <w:p w14:paraId="42722091" w14:textId="77777777" w:rsidR="004D71B0" w:rsidRDefault="004D71B0" w:rsidP="004D71B0">
      <w:r>
        <w:br w:type="page"/>
      </w:r>
    </w:p>
    <w:p w14:paraId="6ED6FFA8" w14:textId="1DB4F6F0" w:rsidR="009621C7" w:rsidRPr="00D926A0" w:rsidRDefault="009621C7" w:rsidP="00D926A0">
      <w:pPr>
        <w:pStyle w:val="Heading1"/>
      </w:pPr>
      <w:bookmarkStart w:id="3" w:name="_Toc184061525"/>
      <w:r w:rsidRPr="00D926A0">
        <w:lastRenderedPageBreak/>
        <w:t>Introduction and application</w:t>
      </w:r>
      <w:bookmarkEnd w:id="3"/>
    </w:p>
    <w:p w14:paraId="491ACEF6" w14:textId="77777777" w:rsidR="009621C7" w:rsidRDefault="009621C7" w:rsidP="00D926A0">
      <w:pPr>
        <w:pStyle w:val="Heading2"/>
      </w:pPr>
      <w:bookmarkStart w:id="4" w:name="_Toc184061526"/>
      <w:r w:rsidRPr="00D926A0">
        <w:t>Introduction</w:t>
      </w:r>
      <w:bookmarkEnd w:id="4"/>
    </w:p>
    <w:p w14:paraId="248281D2" w14:textId="77777777" w:rsidR="009621C7" w:rsidRDefault="009621C7" w:rsidP="009621C7">
      <w:r>
        <w:t>To eliminate the use of ambiguous ‘error</w:t>
      </w:r>
      <w:r>
        <w:rPr>
          <w:rFonts w:ascii="Cambria Math" w:hAnsi="Cambria Math" w:cs="Cambria Math"/>
        </w:rPr>
        <w:t>‑</w:t>
      </w:r>
      <w:r>
        <w:t xml:space="preserve">prone’ terms and promote patient safety, the Commission promotes the use of safe, clear and consistent abbreviations and terminology via a set of Best Practice Principles. </w:t>
      </w:r>
    </w:p>
    <w:p w14:paraId="3DBB0F95" w14:textId="77777777" w:rsidR="009621C7" w:rsidRDefault="009621C7" w:rsidP="009621C7">
      <w:r>
        <w:t>Medicine name(s) should be displayed in the prescription, medication order, medicines list or selection list in full, with no abbreviation. All active ingredient names must be displayed, except for combination products with four or more active ingredients or components, which may be described by brand name. In some instances, including the brand in addition to the active ingredient should be considered. For further information on these exceptions and presentation of medicine names, refer to the materials and resources on active ingredient prescribing (AIP)</w:t>
      </w:r>
      <w:r>
        <w:rPr>
          <w:rStyle w:val="Superscript"/>
        </w:rPr>
        <w:t>8</w:t>
      </w:r>
      <w:r>
        <w:t xml:space="preserve"> and the </w:t>
      </w:r>
      <w:r>
        <w:rPr>
          <w:rStyle w:val="Emphasis"/>
        </w:rPr>
        <w:t>National Guidelines for On-screen Display of Medicines Information</w:t>
      </w:r>
      <w:r>
        <w:t>.</w:t>
      </w:r>
      <w:r>
        <w:rPr>
          <w:rStyle w:val="Superscript"/>
        </w:rPr>
        <w:t>5</w:t>
      </w:r>
      <w:r>
        <w:t xml:space="preserve"> </w:t>
      </w:r>
    </w:p>
    <w:p w14:paraId="4C51AD1B" w14:textId="77777777" w:rsidR="009621C7" w:rsidRDefault="009621C7" w:rsidP="009621C7">
      <w:r>
        <w:t xml:space="preserve">The Commission also supports elimination of ‘error-prone’ terminology and language to improve health and medicines literacy. This enables individuals and their carers to have appropriate information about their medicines, through various sources, including </w:t>
      </w:r>
      <w:hyperlink r:id="rId21" w:history="1">
        <w:r>
          <w:rPr>
            <w:rStyle w:val="Hyperlink"/>
          </w:rPr>
          <w:t>My Health Record</w:t>
        </w:r>
      </w:hyperlink>
      <w:r>
        <w:t xml:space="preserve">. </w:t>
      </w:r>
    </w:p>
    <w:p w14:paraId="746AC6D0" w14:textId="77777777" w:rsidR="009621C7" w:rsidRDefault="009621C7" w:rsidP="009621C7">
      <w:r>
        <w:t xml:space="preserve">People taking medicines and their carers have the right to understand which medicines are being prescribed for them and that they are being administered as intended. Technical terms are not well understood and using codes, symbols, or an outmoded language is not acceptable. </w:t>
      </w:r>
    </w:p>
    <w:p w14:paraId="3F5A09E1" w14:textId="77777777" w:rsidR="009621C7" w:rsidRDefault="009621C7" w:rsidP="009621C7">
      <w:r>
        <w:t>People with low health literacy have difficulty reading and interpreting instructions and warnings about their medicines, and this can be compounded by the increasing digital display of medicines- or health-related information.</w:t>
      </w:r>
      <w:r>
        <w:rPr>
          <w:rStyle w:val="Superscript"/>
        </w:rPr>
        <w:t>9</w:t>
      </w:r>
      <w:r>
        <w:t xml:space="preserve"> In Australia, whilst the majority (83%) of people surveyed in 2018 felt that they were able to ‘appraise health information’, up to 17% people ‘disagreed or strongly disagreed’ they could do so.</w:t>
      </w:r>
      <w:r>
        <w:rPr>
          <w:rStyle w:val="Superscript"/>
        </w:rPr>
        <w:t>10</w:t>
      </w:r>
      <w:r>
        <w:t xml:space="preserve"> People with low health literacy are reported to be more likely to have worse health outcomes and adverse health behaviours, including poorer understanding of medicine instructions leading to non</w:t>
      </w:r>
      <w:r>
        <w:rPr>
          <w:rFonts w:ascii="Cambria Math" w:hAnsi="Cambria Math" w:cs="Cambria Math"/>
        </w:rPr>
        <w:t>‑</w:t>
      </w:r>
      <w:r>
        <w:t>adherence and/or improper usage.</w:t>
      </w:r>
      <w:r>
        <w:rPr>
          <w:rStyle w:val="Superscript"/>
        </w:rPr>
        <w:t>11,12</w:t>
      </w:r>
      <w:r>
        <w:t xml:space="preserve"> </w:t>
      </w:r>
    </w:p>
    <w:p w14:paraId="7C39E15D" w14:textId="22C7D252" w:rsidR="009621C7" w:rsidRDefault="009621C7" w:rsidP="00D926A0">
      <w:pPr>
        <w:pStyle w:val="Heading2"/>
      </w:pPr>
      <w:bookmarkStart w:id="5" w:name="_Toc184061527"/>
      <w:r>
        <w:t>Application of the recommendations and Best</w:t>
      </w:r>
      <w:r w:rsidR="005E054C">
        <w:t> </w:t>
      </w:r>
      <w:r w:rsidRPr="00D926A0">
        <w:t>Practice</w:t>
      </w:r>
      <w:r w:rsidR="005E054C">
        <w:t> </w:t>
      </w:r>
      <w:r>
        <w:t>Principles</w:t>
      </w:r>
      <w:bookmarkEnd w:id="5"/>
      <w:r>
        <w:t xml:space="preserve"> </w:t>
      </w:r>
    </w:p>
    <w:p w14:paraId="5387AAD0" w14:textId="77777777" w:rsidR="009621C7" w:rsidRDefault="009621C7" w:rsidP="009621C7">
      <w:r>
        <w:t>The Best Practice Principles and list of acceptable terms, abbreviations and dose designations apply to all medicine orders and medicines documentation and are relevant to the Australian context. This includes all handwritten, pre</w:t>
      </w:r>
      <w:r>
        <w:rPr>
          <w:rFonts w:ascii="Cambria Math" w:hAnsi="Cambria Math" w:cs="Cambria Math"/>
        </w:rPr>
        <w:t>‑</w:t>
      </w:r>
      <w:r>
        <w:t>printed or electronically generated or displayed medicine</w:t>
      </w:r>
      <w:r>
        <w:rPr>
          <w:rFonts w:ascii="Cambria Math" w:hAnsi="Cambria Math" w:cs="Cambria Math"/>
        </w:rPr>
        <w:t>‑</w:t>
      </w:r>
      <w:r>
        <w:t xml:space="preserve">related resources used in Australian hospitals or health services. </w:t>
      </w:r>
    </w:p>
    <w:p w14:paraId="16B0DB7C" w14:textId="77777777" w:rsidR="009621C7" w:rsidRDefault="009621C7" w:rsidP="009621C7">
      <w:r>
        <w:t>Verbal communications should also avoid use of abbreviations and outmoded or truncated language when relaying clinical information about a person’s medical treatment. Effective communication, in all forms, supports safe and high</w:t>
      </w:r>
      <w:r>
        <w:rPr>
          <w:rFonts w:ascii="Cambria Math" w:hAnsi="Cambria Math" w:cs="Cambria Math"/>
        </w:rPr>
        <w:t>‑</w:t>
      </w:r>
      <w:r>
        <w:t>quality care.</w:t>
      </w:r>
      <w:r>
        <w:rPr>
          <w:rStyle w:val="Superscript"/>
        </w:rPr>
        <w:t>13</w:t>
      </w:r>
      <w:r>
        <w:t xml:space="preserve"> This includes effective communication of critical information during clinical handover.</w:t>
      </w:r>
      <w:r>
        <w:rPr>
          <w:rStyle w:val="Superscript"/>
        </w:rPr>
        <w:t>14</w:t>
      </w:r>
    </w:p>
    <w:p w14:paraId="19E0E96F" w14:textId="77777777" w:rsidR="009621C7" w:rsidRDefault="009621C7" w:rsidP="009621C7">
      <w:r>
        <w:t>Since 2016, many health services have moved from paper</w:t>
      </w:r>
      <w:r>
        <w:rPr>
          <w:rFonts w:ascii="Cambria Math" w:hAnsi="Cambria Math" w:cs="Cambria Math"/>
        </w:rPr>
        <w:t>‑</w:t>
      </w:r>
      <w:r>
        <w:t xml:space="preserve">based to digital medication management systems where efforts have focused on integrating principles from the Commission’s </w:t>
      </w:r>
      <w:r>
        <w:rPr>
          <w:rStyle w:val="Emphasis"/>
        </w:rPr>
        <w:t>National Guidelines for On</w:t>
      </w:r>
      <w:r>
        <w:rPr>
          <w:rStyle w:val="Emphasis"/>
          <w:rFonts w:ascii="Cambria Math" w:hAnsi="Cambria Math" w:cs="Cambria Math"/>
        </w:rPr>
        <w:t>‑</w:t>
      </w:r>
      <w:r>
        <w:rPr>
          <w:rStyle w:val="Emphasis"/>
        </w:rPr>
        <w:t>screen Display of Medicines Information</w:t>
      </w:r>
      <w:r>
        <w:t>.</w:t>
      </w:r>
      <w:r>
        <w:rPr>
          <w:rStyle w:val="Superscript"/>
        </w:rPr>
        <w:t>5</w:t>
      </w:r>
      <w:r>
        <w:t xml:space="preserve"> Hybrid versions of these systems may also be in use, for example, where medicine orders are digitally generated and printed to paper which is used to record administration of these medicines. </w:t>
      </w:r>
    </w:p>
    <w:p w14:paraId="64680271" w14:textId="77777777" w:rsidR="009621C7" w:rsidRDefault="009621C7" w:rsidP="009621C7">
      <w:r>
        <w:t xml:space="preserve">In some situations, the medicines catalogue data base that supports digital medication management systems does not align with this guidance. In these circumstances risk management principles need to be applied by health service organisations (see </w:t>
      </w:r>
      <w:r>
        <w:rPr>
          <w:rStyle w:val="Hyperlink"/>
        </w:rPr>
        <w:t>Risk management</w:t>
      </w:r>
      <w:r>
        <w:t>).</w:t>
      </w:r>
    </w:p>
    <w:p w14:paraId="05328EF5" w14:textId="093E2E87" w:rsidR="009621C7" w:rsidRDefault="009621C7" w:rsidP="00D926A0">
      <w:pPr>
        <w:pStyle w:val="Heading1"/>
      </w:pPr>
      <w:bookmarkStart w:id="6" w:name="_Toc184061528"/>
      <w:r>
        <w:lastRenderedPageBreak/>
        <w:t>Limitations, implementation and risk</w:t>
      </w:r>
      <w:r w:rsidR="00D926A0">
        <w:t> </w:t>
      </w:r>
      <w:r>
        <w:t>management</w:t>
      </w:r>
      <w:bookmarkEnd w:id="6"/>
    </w:p>
    <w:p w14:paraId="7FA301AD" w14:textId="77777777" w:rsidR="009621C7" w:rsidRDefault="009621C7" w:rsidP="00D926A0">
      <w:pPr>
        <w:pStyle w:val="Heading2"/>
      </w:pPr>
      <w:bookmarkStart w:id="7" w:name="_Toc184061529"/>
      <w:r>
        <w:t>Limitations, implementation and risk management</w:t>
      </w:r>
      <w:bookmarkEnd w:id="7"/>
      <w:r>
        <w:t xml:space="preserve"> </w:t>
      </w:r>
    </w:p>
    <w:p w14:paraId="2B843E4A" w14:textId="5F8DD3EE" w:rsidR="009621C7" w:rsidRDefault="009621C7" w:rsidP="00D45653">
      <w:pPr>
        <w:tabs>
          <w:tab w:val="left" w:pos="2127"/>
        </w:tabs>
      </w:pPr>
      <w:r>
        <w:t>This document is not an exhaustive list of all terminologies relating to medicines. Rather, it provides standardised guidance for the most frequently used terms and abbreviations in the Australian context. The absence of a term, abbreviation or symbol does not imply that it is safe to use (</w:t>
      </w:r>
      <w:r>
        <w:rPr>
          <w:rStyle w:val="Emphasis"/>
        </w:rPr>
        <w:t>see</w:t>
      </w:r>
      <w:r w:rsidR="00D45653">
        <w:t xml:space="preserve"> </w:t>
      </w:r>
      <w:r w:rsidR="00D45653" w:rsidRPr="00D45653">
        <w:rPr>
          <w:rStyle w:val="Cross-reference"/>
        </w:rPr>
        <w:fldChar w:fldCharType="begin"/>
      </w:r>
      <w:r w:rsidR="00D45653" w:rsidRPr="00D45653">
        <w:rPr>
          <w:rStyle w:val="Cross-reference"/>
        </w:rPr>
        <w:instrText xml:space="preserve"> REF RM \h </w:instrText>
      </w:r>
      <w:r w:rsidR="00D45653">
        <w:rPr>
          <w:rStyle w:val="Cross-reference"/>
        </w:rPr>
        <w:instrText xml:space="preserve"> \* MERGEFORMAT </w:instrText>
      </w:r>
      <w:r w:rsidR="00D45653" w:rsidRPr="00D45653">
        <w:rPr>
          <w:rStyle w:val="Cross-reference"/>
        </w:rPr>
      </w:r>
      <w:r w:rsidR="00D45653" w:rsidRPr="00D45653">
        <w:rPr>
          <w:rStyle w:val="Cross-reference"/>
        </w:rPr>
        <w:fldChar w:fldCharType="separate"/>
      </w:r>
      <w:r w:rsidR="00D45653" w:rsidRPr="00D45653">
        <w:rPr>
          <w:rStyle w:val="Cross-reference"/>
        </w:rPr>
        <w:t>Risk management</w:t>
      </w:r>
      <w:r w:rsidR="00D45653" w:rsidRPr="00D45653">
        <w:rPr>
          <w:rStyle w:val="Cross-reference"/>
        </w:rPr>
        <w:fldChar w:fldCharType="end"/>
      </w:r>
      <w:r w:rsidR="00D45653">
        <w:t>).</w:t>
      </w:r>
      <w:r>
        <w:t xml:space="preserve"> </w:t>
      </w:r>
    </w:p>
    <w:p w14:paraId="0B565ADA" w14:textId="77777777" w:rsidR="009621C7" w:rsidRDefault="009621C7" w:rsidP="009621C7">
      <w:r>
        <w:t>The Institute for Safe Medication Practices (ISMP) is a peak body based in the US focused solely on improving the safety of medication systems and medicines use. The ISMP maintains a comprehensive list of terminologies known to be ‘error</w:t>
      </w:r>
      <w:r>
        <w:rPr>
          <w:rFonts w:ascii="Cambria Math" w:hAnsi="Cambria Math" w:cs="Cambria Math"/>
        </w:rPr>
        <w:t>‑</w:t>
      </w:r>
      <w:r>
        <w:t>prone’</w:t>
      </w:r>
      <w:r>
        <w:rPr>
          <w:rStyle w:val="Superscript"/>
        </w:rPr>
        <w:t>15</w:t>
      </w:r>
      <w:r>
        <w:t xml:space="preserve"> and The Joint Commission have published a ‘Do Not Use’ List.</w:t>
      </w:r>
      <w:r>
        <w:rPr>
          <w:rStyle w:val="Superscript"/>
        </w:rPr>
        <w:t>16</w:t>
      </w:r>
    </w:p>
    <w:p w14:paraId="0AE818FE" w14:textId="77777777" w:rsidR="009621C7" w:rsidRDefault="009621C7" w:rsidP="009621C7">
      <w:r>
        <w:t>Wherever possible, all medicines information should be presented in full, with no abbreviation.</w:t>
      </w:r>
      <w:r>
        <w:rPr>
          <w:rStyle w:val="Superscript"/>
        </w:rPr>
        <w:t>4</w:t>
      </w:r>
      <w:r>
        <w:t xml:space="preserve"> Where full presentation is not possible due to limitations of space, such as small screen devices, then the standard terms and abbreviations described here may be used.</w:t>
      </w:r>
    </w:p>
    <w:p w14:paraId="051379CE" w14:textId="1293C61A" w:rsidR="009621C7" w:rsidRDefault="009621C7" w:rsidP="009621C7">
      <w:r>
        <w:t>This guidance applies to all formats of medicines information presentation where space is provided for a full description. This includes prescriptions, medication charts, discharge summaries, My</w:t>
      </w:r>
      <w:r w:rsidR="000744C0">
        <w:t> </w:t>
      </w:r>
      <w:r>
        <w:t>Health Record and dispensed medicine labels.</w:t>
      </w:r>
    </w:p>
    <w:p w14:paraId="1596B578" w14:textId="77777777" w:rsidR="009621C7" w:rsidRDefault="009621C7" w:rsidP="00D926A0">
      <w:pPr>
        <w:pStyle w:val="Heading3"/>
      </w:pPr>
      <w:bookmarkStart w:id="8" w:name="_Toc184061530"/>
      <w:r>
        <w:t>Smart pump technologies</w:t>
      </w:r>
      <w:bookmarkEnd w:id="8"/>
      <w:r>
        <w:t xml:space="preserve"> </w:t>
      </w:r>
    </w:p>
    <w:p w14:paraId="51BC8114" w14:textId="77777777" w:rsidR="009621C7" w:rsidRDefault="009621C7" w:rsidP="009621C7">
      <w:r>
        <w:t>Use of smart pump technologies has expanded and whilst the use of abbreviations is not supported, health services have found the character limits within these technologies have forced the use of abbreviations. In 2023, the Victorian Therapeutics Advisory Group (</w:t>
      </w:r>
      <w:proofErr w:type="spellStart"/>
      <w:r>
        <w:t>VicTAG</w:t>
      </w:r>
      <w:proofErr w:type="spellEnd"/>
      <w:r>
        <w:t>) released a ‘Victorian Framework for Implementation of smart infusion pumps’ which provides guidance on managing the ‘20 character’ limit for the display of medicines</w:t>
      </w:r>
      <w:r>
        <w:rPr>
          <w:rFonts w:ascii="Cambria Math" w:hAnsi="Cambria Math" w:cs="Cambria Math"/>
        </w:rPr>
        <w:t>‑</w:t>
      </w:r>
      <w:r>
        <w:t>related information.</w:t>
      </w:r>
      <w:r>
        <w:rPr>
          <w:rStyle w:val="Superscript"/>
        </w:rPr>
        <w:t>17</w:t>
      </w:r>
      <w:r>
        <w:t xml:space="preserve"> </w:t>
      </w:r>
    </w:p>
    <w:p w14:paraId="47B0B6DB" w14:textId="77777777" w:rsidR="009621C7" w:rsidRDefault="009621C7" w:rsidP="00D926A0">
      <w:pPr>
        <w:pStyle w:val="Heading3"/>
      </w:pPr>
      <w:bookmarkStart w:id="9" w:name="_Toc184061531"/>
      <w:r>
        <w:t>Medicines imported from overseas</w:t>
      </w:r>
      <w:bookmarkEnd w:id="9"/>
    </w:p>
    <w:p w14:paraId="6163BA2F" w14:textId="60610B12" w:rsidR="009621C7" w:rsidRDefault="009621C7" w:rsidP="009621C7">
      <w:r>
        <w:t>For medicines that are imported from overseas and are not registered on the TGA’s Australian Register of Therapeutic Goods, health service organisations’ medicines governance groups should apply a risk management approach to determine how medicines information should be presented (</w:t>
      </w:r>
      <w:r>
        <w:rPr>
          <w:rStyle w:val="Emphasis"/>
        </w:rPr>
        <w:t xml:space="preserve">see </w:t>
      </w:r>
      <w:r w:rsidR="00230BFC" w:rsidRPr="00D45653">
        <w:rPr>
          <w:rStyle w:val="Cross-reference"/>
        </w:rPr>
        <w:fldChar w:fldCharType="begin"/>
      </w:r>
      <w:r w:rsidR="00230BFC" w:rsidRPr="00D45653">
        <w:rPr>
          <w:rStyle w:val="Cross-reference"/>
        </w:rPr>
        <w:instrText xml:space="preserve"> REF RM \h </w:instrText>
      </w:r>
      <w:r w:rsidR="00230BFC">
        <w:rPr>
          <w:rStyle w:val="Cross-reference"/>
        </w:rPr>
        <w:instrText xml:space="preserve"> \* MERGEFORMAT </w:instrText>
      </w:r>
      <w:r w:rsidR="00230BFC" w:rsidRPr="00D45653">
        <w:rPr>
          <w:rStyle w:val="Cross-reference"/>
        </w:rPr>
      </w:r>
      <w:r w:rsidR="00230BFC" w:rsidRPr="00D45653">
        <w:rPr>
          <w:rStyle w:val="Cross-reference"/>
        </w:rPr>
        <w:fldChar w:fldCharType="separate"/>
      </w:r>
      <w:r w:rsidR="00230BFC" w:rsidRPr="00D45653">
        <w:rPr>
          <w:rStyle w:val="Cross-reference"/>
        </w:rPr>
        <w:t>Risk management</w:t>
      </w:r>
      <w:r w:rsidR="00230BFC" w:rsidRPr="00D45653">
        <w:rPr>
          <w:rStyle w:val="Cross-reference"/>
        </w:rPr>
        <w:fldChar w:fldCharType="end"/>
      </w:r>
      <w:r>
        <w:t>). This includes, but is not limited to, medicines accessed through the Special Access Scheme (SAS) or TGA</w:t>
      </w:r>
      <w:r>
        <w:rPr>
          <w:rFonts w:ascii="Cambria Math" w:hAnsi="Cambria Math" w:cs="Cambria Math"/>
        </w:rPr>
        <w:t>‑</w:t>
      </w:r>
      <w:r>
        <w:t xml:space="preserve">approved alternatives available during a medicine shortage. It will be important to assess safety considerations when accessing alternative products as outlined within the </w:t>
      </w:r>
      <w:hyperlink r:id="rId22" w:history="1">
        <w:r>
          <w:rPr>
            <w:rStyle w:val="Hyperlink"/>
          </w:rPr>
          <w:t>Principles for safe selection and storage of medicines</w:t>
        </w:r>
      </w:hyperlink>
      <w:r>
        <w:t>.</w:t>
      </w:r>
      <w:r>
        <w:rPr>
          <w:rStyle w:val="Superscript"/>
        </w:rPr>
        <w:t>18</w:t>
      </w:r>
    </w:p>
    <w:p w14:paraId="48220428" w14:textId="6AE78491" w:rsidR="009621C7" w:rsidRDefault="009621C7" w:rsidP="00D926A0">
      <w:pPr>
        <w:pStyle w:val="Heading3"/>
      </w:pPr>
      <w:bookmarkStart w:id="10" w:name="RM"/>
      <w:bookmarkStart w:id="11" w:name="_Toc184061532"/>
      <w:r>
        <w:t>Risk</w:t>
      </w:r>
      <w:r w:rsidR="00D45653">
        <w:t> </w:t>
      </w:r>
      <w:r>
        <w:t>management</w:t>
      </w:r>
      <w:bookmarkEnd w:id="10"/>
      <w:bookmarkEnd w:id="11"/>
    </w:p>
    <w:p w14:paraId="5C06416E" w14:textId="77777777" w:rsidR="009621C7" w:rsidRDefault="009621C7" w:rsidP="009621C7">
      <w:r>
        <w:t xml:space="preserve">Given that this document is not exhaustive, health service organisations may need to consider whether additional terminologies (abbreviations and/or symbols), are also safe to use. If requests are made it is recommended that the organisation’s medicines governance group should initially review and apply the </w:t>
      </w:r>
      <w:r>
        <w:rPr>
          <w:rStyle w:val="Emphasis"/>
        </w:rPr>
        <w:t xml:space="preserve">Recommendations for safe use of medicines terminology </w:t>
      </w:r>
      <w:r>
        <w:t>before incorporating into local policy, procedures or guidelines. It is also recommended that a risk assessment be conducted before any new or additional terminologies are approved and implemented.</w:t>
      </w:r>
    </w:p>
    <w:p w14:paraId="7708FD10" w14:textId="77777777" w:rsidR="009621C7" w:rsidRDefault="009621C7" w:rsidP="009621C7">
      <w:r>
        <w:t>The organisation’s medicines governance group should also continue to monitor incidents associated with the use of medicines terminology.</w:t>
      </w:r>
    </w:p>
    <w:p w14:paraId="12BE33EE" w14:textId="77777777" w:rsidR="009621C7" w:rsidRDefault="009621C7" w:rsidP="00D926A0">
      <w:pPr>
        <w:pStyle w:val="Heading3"/>
      </w:pPr>
      <w:bookmarkStart w:id="12" w:name="_Toc184061533"/>
      <w:r>
        <w:lastRenderedPageBreak/>
        <w:t>Monitoring the use of ‘error</w:t>
      </w:r>
      <w:r>
        <w:rPr>
          <w:rFonts w:ascii="Cambria Math" w:hAnsi="Cambria Math" w:cs="Cambria Math"/>
        </w:rPr>
        <w:t>‑</w:t>
      </w:r>
      <w:r>
        <w:t>prone’ terminology</w:t>
      </w:r>
      <w:bookmarkEnd w:id="12"/>
    </w:p>
    <w:p w14:paraId="25DAED41" w14:textId="77777777" w:rsidR="009621C7" w:rsidRDefault="009621C7" w:rsidP="009621C7">
      <w:r>
        <w:t>Monitoring ‘error</w:t>
      </w:r>
      <w:r>
        <w:rPr>
          <w:rFonts w:ascii="Cambria Math" w:hAnsi="Cambria Math" w:cs="Cambria Math"/>
        </w:rPr>
        <w:t>‑</w:t>
      </w:r>
      <w:r>
        <w:t xml:space="preserve">prone’ terminologies within health service organisations should be targeted as part of a comprehensive program of continuous quality improvement. Where uncertainty exists, and clarification must be sought to avoid potential misinterpretation and medication error, then the terminology must be deemed unsafe, unclear or ambiguous. </w:t>
      </w:r>
    </w:p>
    <w:p w14:paraId="5ACCAE81" w14:textId="77777777" w:rsidR="009621C7" w:rsidRDefault="009621C7" w:rsidP="009621C7">
      <w:r>
        <w:t>The </w:t>
      </w:r>
      <w:r>
        <w:rPr>
          <w:rStyle w:val="Emphasis"/>
        </w:rPr>
        <w:t>National Quality Use of Medicines Indicators for Australian Hospitals Indicator 3.3: Percentage of medication orders that include error</w:t>
      </w:r>
      <w:r>
        <w:rPr>
          <w:rStyle w:val="Emphasis"/>
          <w:rFonts w:ascii="Cambria Math" w:hAnsi="Cambria Math" w:cs="Cambria Math"/>
        </w:rPr>
        <w:t>‑</w:t>
      </w:r>
      <w:r>
        <w:rPr>
          <w:rStyle w:val="Emphasis"/>
        </w:rPr>
        <w:t>prone abbreviations</w:t>
      </w:r>
      <w:r>
        <w:t xml:space="preserve"> may assist organisations to assess ongoing progress and performance.</w:t>
      </w:r>
      <w:r>
        <w:rPr>
          <w:rStyle w:val="Superscript"/>
        </w:rPr>
        <w:t>19</w:t>
      </w:r>
      <w:r>
        <w:t xml:space="preserve"> Use of ‘error</w:t>
      </w:r>
      <w:r>
        <w:rPr>
          <w:rFonts w:ascii="Cambria Math" w:hAnsi="Cambria Math" w:cs="Cambria Math"/>
        </w:rPr>
        <w:t>‑</w:t>
      </w:r>
      <w:r>
        <w:t>prone’ abbreviations may also be monitored through the National Standard Medication Chart Audit.</w:t>
      </w:r>
      <w:r>
        <w:rPr>
          <w:rStyle w:val="Superscript"/>
        </w:rPr>
        <w:t>20</w:t>
      </w:r>
    </w:p>
    <w:p w14:paraId="794F672C" w14:textId="77777777" w:rsidR="009621C7" w:rsidRDefault="009621C7" w:rsidP="009621C7">
      <w:r>
        <w:t xml:space="preserve">Application of the Best Practice Principles outline within the </w:t>
      </w:r>
      <w:r>
        <w:rPr>
          <w:rStyle w:val="Emphasis"/>
        </w:rPr>
        <w:t xml:space="preserve">Recommendations for safe use of medicines terminology </w:t>
      </w:r>
      <w:r>
        <w:t>will assist health services being assessed against the National Safety and Quality Health Service Standards.</w:t>
      </w:r>
    </w:p>
    <w:p w14:paraId="7635FACB" w14:textId="77777777" w:rsidR="009621C7" w:rsidRDefault="009621C7" w:rsidP="009621C7">
      <w:r>
        <w:t>This document is valid as at November 2024 and may be modified based on issues arising from ‘error</w:t>
      </w:r>
      <w:r>
        <w:rPr>
          <w:rFonts w:ascii="Cambria Math" w:hAnsi="Cambria Math" w:cs="Cambria Math"/>
        </w:rPr>
        <w:t>‑</w:t>
      </w:r>
      <w:r>
        <w:t xml:space="preserve">prone’ terminology. Requests for additions or changes to the </w:t>
      </w:r>
      <w:r>
        <w:rPr>
          <w:rStyle w:val="Emphasis"/>
        </w:rPr>
        <w:t xml:space="preserve">Recommendations for safe use of medicines terminology </w:t>
      </w:r>
      <w:r>
        <w:t xml:space="preserve">will be considered by the Commission. Evidence or information regarding the potential safety risks should be emailed to </w:t>
      </w:r>
      <w:hyperlink r:id="rId23" w:history="1">
        <w:r>
          <w:rPr>
            <w:rStyle w:val="Hyperlink"/>
          </w:rPr>
          <w:t>medsafety@safetyandquality.gov.au</w:t>
        </w:r>
      </w:hyperlink>
      <w:r>
        <w:t>.</w:t>
      </w:r>
    </w:p>
    <w:p w14:paraId="189C09C1" w14:textId="77777777" w:rsidR="009621C7" w:rsidRDefault="009621C7" w:rsidP="00D926A0">
      <w:pPr>
        <w:pStyle w:val="Heading1"/>
      </w:pPr>
      <w:bookmarkStart w:id="13" w:name="_Toc184061534"/>
      <w:r>
        <w:lastRenderedPageBreak/>
        <w:t>Best Practice Principles for safe, clear and consistent terminology for medicines</w:t>
      </w:r>
      <w:bookmarkEnd w:id="13"/>
      <w:r>
        <w:t xml:space="preserve"> </w:t>
      </w:r>
    </w:p>
    <w:p w14:paraId="352EFE97" w14:textId="74A506AE" w:rsidR="009621C7" w:rsidRDefault="009621C7" w:rsidP="00D926A0">
      <w:pPr>
        <w:pStyle w:val="Heading2"/>
      </w:pPr>
      <w:bookmarkStart w:id="14" w:name="P1"/>
      <w:bookmarkStart w:id="15" w:name="_Toc184061535"/>
      <w:r>
        <w:t>Best Practice Principle</w:t>
      </w:r>
      <w:r w:rsidR="00C13512">
        <w:t> </w:t>
      </w:r>
      <w:r>
        <w:t>1</w:t>
      </w:r>
      <w:bookmarkEnd w:id="14"/>
      <w:r>
        <w:t>: Use plain language – avoid jargon</w:t>
      </w:r>
      <w:r w:rsidRPr="002A4DFE">
        <w:rPr>
          <w:rStyle w:val="Superscript"/>
          <w:b w:val="0"/>
          <w:bCs w:val="0"/>
          <w:vertAlign w:val="baseline"/>
        </w:rPr>
        <w:footnoteReference w:id="2"/>
      </w:r>
      <w:r w:rsidRPr="00533133">
        <w:rPr>
          <w:rStyle w:val="Superscript"/>
          <w:b w:val="0"/>
          <w:bCs w:val="0"/>
        </w:rPr>
        <w:t>,</w:t>
      </w:r>
      <w:r w:rsidRPr="00533133">
        <w:rPr>
          <w:rStyle w:val="Superscript"/>
          <w:b w:val="0"/>
          <w:bCs w:val="0"/>
        </w:rPr>
        <w:footnoteReference w:id="3"/>
      </w:r>
      <w:bookmarkEnd w:id="15"/>
    </w:p>
    <w:p w14:paraId="66E9B9A6" w14:textId="77777777" w:rsidR="009621C7" w:rsidRDefault="009621C7" w:rsidP="009621C7">
      <w:r>
        <w:t>Plain language, when words are written, displayed or spoken in full, is easier to understand and less likely to cause confusion, be misunderstood or be misread.</w:t>
      </w:r>
    </w:p>
    <w:p w14:paraId="2F840A7E" w14:textId="2A962BE1" w:rsidR="009621C7" w:rsidRDefault="009621C7" w:rsidP="00D926A0">
      <w:pPr>
        <w:pStyle w:val="Heading2"/>
      </w:pPr>
      <w:bookmarkStart w:id="16" w:name="_Toc184061536"/>
      <w:r>
        <w:t>Best Practice Principle</w:t>
      </w:r>
      <w:r w:rsidR="00C13512">
        <w:t> </w:t>
      </w:r>
      <w:r>
        <w:t>2: Write or display all characters clearly – especially when handwriting medicine details</w:t>
      </w:r>
      <w:bookmarkEnd w:id="16"/>
      <w:r>
        <w:t xml:space="preserve"> </w:t>
      </w:r>
    </w:p>
    <w:p w14:paraId="779360E8" w14:textId="77777777" w:rsidR="009621C7" w:rsidRDefault="009621C7" w:rsidP="009621C7">
      <w:r>
        <w:t>Avoid cursive handwriting. To avoid misreading instructions and doses, clearly separate different elements of the medicine order so that letters do not appear to flow into the numbers that follow, and vice versa. Leave space between numbers and units of measure (for instance, a single blank space when displayed digitally), to ensure numbers do not appear to flow into the units of measure that follow. For example, 25 mg or 32 units in digital displays.</w:t>
      </w:r>
    </w:p>
    <w:p w14:paraId="6BF99C04" w14:textId="77777777" w:rsidR="009621C7" w:rsidRDefault="009621C7" w:rsidP="000A4E84">
      <w:r>
        <w:rPr>
          <w:rStyle w:val="StrongBoldBlue"/>
        </w:rPr>
        <w:t>Exception when expressing percentages, for example, 5% or 0.45%.</w:t>
      </w:r>
    </w:p>
    <w:p w14:paraId="61E3297B" w14:textId="44D90ADB" w:rsidR="009621C7" w:rsidRDefault="009621C7" w:rsidP="00D926A0">
      <w:pPr>
        <w:pStyle w:val="Heading2"/>
      </w:pPr>
      <w:bookmarkStart w:id="17" w:name="P3"/>
      <w:bookmarkStart w:id="18" w:name="_Toc184061537"/>
      <w:r>
        <w:t>Best Practice Principle</w:t>
      </w:r>
      <w:r w:rsidR="00C13512">
        <w:t> </w:t>
      </w:r>
      <w:r>
        <w:t>3</w:t>
      </w:r>
      <w:bookmarkEnd w:id="17"/>
      <w:r>
        <w:t>: Write, display or speak instructions and routes of administration in full</w:t>
      </w:r>
      <w:bookmarkEnd w:id="18"/>
      <w:r>
        <w:t xml:space="preserve"> </w:t>
      </w:r>
    </w:p>
    <w:p w14:paraId="62BB4067" w14:textId="76218EC8" w:rsidR="009621C7" w:rsidRDefault="009621C7" w:rsidP="009621C7">
      <w:pPr>
        <w:rPr>
          <w:rStyle w:val="Superscript"/>
        </w:rPr>
      </w:pPr>
      <w:r>
        <w:t>Avoid using abbreviations. In circumstances where abbreviations are required, avoid Latin abbreviations that are not universally understood. Do not use plural abbreviations except for units and description of time, for example, hours, days or weeks.</w:t>
      </w:r>
      <w:r w:rsidR="002A4DFE">
        <w:t xml:space="preserve"> </w:t>
      </w:r>
      <w:r w:rsidR="002A4DFE" w:rsidRPr="002A4DFE">
        <w:rPr>
          <w:rStyle w:val="Cross-reference"/>
        </w:rPr>
        <w:fldChar w:fldCharType="begin"/>
      </w:r>
      <w:r w:rsidR="002A4DFE" w:rsidRPr="002A4DFE">
        <w:rPr>
          <w:rStyle w:val="Cross-reference"/>
        </w:rPr>
        <w:instrText xml:space="preserve"> REF TA \h </w:instrText>
      </w:r>
      <w:r w:rsidR="002A4DFE">
        <w:rPr>
          <w:rStyle w:val="Cross-reference"/>
        </w:rPr>
        <w:instrText xml:space="preserve"> \* MERGEFORMAT </w:instrText>
      </w:r>
      <w:r w:rsidR="002A4DFE" w:rsidRPr="002A4DFE">
        <w:rPr>
          <w:rStyle w:val="Cross-reference"/>
        </w:rPr>
      </w:r>
      <w:r w:rsidR="002A4DFE" w:rsidRPr="002A4DFE">
        <w:rPr>
          <w:rStyle w:val="Cross-reference"/>
        </w:rPr>
        <w:fldChar w:fldCharType="separate"/>
      </w:r>
      <w:r w:rsidR="002A4DFE" w:rsidRPr="002A4DFE">
        <w:rPr>
          <w:rStyle w:val="Cross-reference"/>
        </w:rPr>
        <w:t>Table A</w:t>
      </w:r>
      <w:r w:rsidR="002A4DFE" w:rsidRPr="002A4DFE">
        <w:rPr>
          <w:rStyle w:val="Cross-reference"/>
        </w:rPr>
        <w:fldChar w:fldCharType="end"/>
      </w:r>
      <w:r w:rsidR="002A4DFE">
        <w:t xml:space="preserve"> </w:t>
      </w:r>
      <w:r>
        <w:t>includes unacceptable, ‘error</w:t>
      </w:r>
      <w:r>
        <w:rPr>
          <w:rFonts w:ascii="Cambria Math" w:hAnsi="Cambria Math" w:cs="Cambria Math"/>
        </w:rPr>
        <w:t>‑</w:t>
      </w:r>
      <w:r>
        <w:t>prone’ abbreviations relating to instructions and routes of administration.</w:t>
      </w:r>
      <w:r>
        <w:rPr>
          <w:rStyle w:val="Superscript"/>
        </w:rPr>
        <w:t>1,3,15,16</w:t>
      </w:r>
    </w:p>
    <w:p w14:paraId="44A29EC3" w14:textId="288F5A7E" w:rsidR="009621C7" w:rsidRDefault="009621C7" w:rsidP="009621C7">
      <w:r>
        <w:t xml:space="preserve">Whilst abbreviations or acronyms may be helpful in accelerating the entry of clinical data, such as ‘sig codes’, they should display in full. For </w:t>
      </w:r>
      <w:proofErr w:type="gramStart"/>
      <w:r>
        <w:t>example</w:t>
      </w:r>
      <w:proofErr w:type="gramEnd"/>
      <w:r>
        <w:t xml:space="preserve"> on a medicine label.</w:t>
      </w:r>
      <w:r>
        <w:rPr>
          <w:rStyle w:val="Superscript"/>
        </w:rPr>
        <w:t>5</w:t>
      </w:r>
      <w:r>
        <w:t xml:space="preserve"> </w:t>
      </w:r>
      <w:r w:rsidRPr="00CC765D">
        <w:rPr>
          <w:rStyle w:val="Emphasis"/>
        </w:rPr>
        <w:t>See</w:t>
      </w:r>
      <w:r w:rsidR="00F7387D">
        <w:t xml:space="preserve"> </w:t>
      </w:r>
      <w:r w:rsidR="00F7387D" w:rsidRPr="00F7387D">
        <w:rPr>
          <w:rStyle w:val="Cross-reference"/>
        </w:rPr>
        <w:fldChar w:fldCharType="begin"/>
      </w:r>
      <w:r w:rsidR="00F7387D" w:rsidRPr="00F7387D">
        <w:rPr>
          <w:rStyle w:val="Cross-reference"/>
        </w:rPr>
        <w:instrText xml:space="preserve"> REF P8 \h </w:instrText>
      </w:r>
      <w:r w:rsidR="00F7387D">
        <w:rPr>
          <w:rStyle w:val="Cross-reference"/>
        </w:rPr>
        <w:instrText xml:space="preserve"> \* MERGEFORMAT </w:instrText>
      </w:r>
      <w:r w:rsidR="00F7387D" w:rsidRPr="00F7387D">
        <w:rPr>
          <w:rStyle w:val="Cross-reference"/>
        </w:rPr>
      </w:r>
      <w:r w:rsidR="00F7387D" w:rsidRPr="00F7387D">
        <w:rPr>
          <w:rStyle w:val="Cross-reference"/>
        </w:rPr>
        <w:fldChar w:fldCharType="separate"/>
      </w:r>
      <w:r w:rsidR="00F7387D" w:rsidRPr="00F7387D">
        <w:rPr>
          <w:rStyle w:val="Cross-reference"/>
        </w:rPr>
        <w:t xml:space="preserve">Best Practice </w:t>
      </w:r>
      <w:proofErr w:type="gramStart"/>
      <w:r w:rsidR="00F7387D" w:rsidRPr="00F7387D">
        <w:rPr>
          <w:rStyle w:val="Cross-reference"/>
        </w:rPr>
        <w:t>Principle</w:t>
      </w:r>
      <w:proofErr w:type="gramEnd"/>
      <w:r w:rsidR="00F7387D" w:rsidRPr="00F7387D">
        <w:rPr>
          <w:rStyle w:val="Cross-reference"/>
        </w:rPr>
        <w:t> 8</w:t>
      </w:r>
      <w:r w:rsidR="00F7387D" w:rsidRPr="00F7387D">
        <w:rPr>
          <w:rStyle w:val="Cross-reference"/>
        </w:rPr>
        <w:fldChar w:fldCharType="end"/>
      </w:r>
      <w:r>
        <w:t>.</w:t>
      </w:r>
    </w:p>
    <w:p w14:paraId="2DB17589" w14:textId="14A0F17B" w:rsidR="009621C7" w:rsidRDefault="009621C7" w:rsidP="00E47B8F">
      <w:pPr>
        <w:pStyle w:val="FigureTableTitle"/>
      </w:pPr>
      <w:bookmarkStart w:id="19" w:name="TA"/>
      <w:bookmarkStart w:id="20" w:name="_Toc184061538"/>
      <w:r>
        <w:t>Table</w:t>
      </w:r>
      <w:r w:rsidR="00661066">
        <w:t> </w:t>
      </w:r>
      <w:r>
        <w:t>A</w:t>
      </w:r>
      <w:bookmarkEnd w:id="19"/>
      <w:r>
        <w:t>: Unacceptable, ‘error</w:t>
      </w:r>
      <w:r>
        <w:rPr>
          <w:rFonts w:ascii="Cambria Math" w:hAnsi="Cambria Math" w:cs="Cambria Math"/>
        </w:rPr>
        <w:t>‑</w:t>
      </w:r>
      <w:r>
        <w:t>prone’ abbreviations relating to instructions and routes of administration</w:t>
      </w:r>
      <w:bookmarkEnd w:id="20"/>
    </w:p>
    <w:tbl>
      <w:tblPr>
        <w:tblStyle w:val="RECBanded"/>
        <w:tblW w:w="5000" w:type="pct"/>
        <w:tblLook w:val="0420" w:firstRow="1" w:lastRow="0" w:firstColumn="0" w:lastColumn="0" w:noHBand="0" w:noVBand="1"/>
        <w:tblDescription w:val="Table A: Unacceptable, ‘error‑prone’ abbreviations relating to instructions and routes of administration"/>
      </w:tblPr>
      <w:tblGrid>
        <w:gridCol w:w="1661"/>
        <w:gridCol w:w="2381"/>
        <w:gridCol w:w="5590"/>
      </w:tblGrid>
      <w:tr w:rsidR="009621C7" w14:paraId="7C228140" w14:textId="77777777" w:rsidTr="00307F4B">
        <w:trPr>
          <w:cnfStyle w:val="100000000000" w:firstRow="1" w:lastRow="0" w:firstColumn="0" w:lastColumn="0" w:oddVBand="0" w:evenVBand="0" w:oddHBand="0" w:evenHBand="0" w:firstRowFirstColumn="0" w:firstRowLastColumn="0" w:lastRowFirstColumn="0" w:lastRowLastColumn="0"/>
          <w:trHeight w:val="60"/>
        </w:trPr>
        <w:tc>
          <w:tcPr>
            <w:tcW w:w="862" w:type="pct"/>
          </w:tcPr>
          <w:p w14:paraId="0BF6C251" w14:textId="77777777" w:rsidR="009621C7" w:rsidRDefault="009621C7" w:rsidP="00422E8C">
            <w:r>
              <w:t xml:space="preserve">Unacceptable abbreviations </w:t>
            </w:r>
          </w:p>
        </w:tc>
        <w:tc>
          <w:tcPr>
            <w:tcW w:w="1236" w:type="pct"/>
          </w:tcPr>
          <w:p w14:paraId="14896416" w14:textId="77777777" w:rsidR="009621C7" w:rsidRDefault="009621C7" w:rsidP="00422E8C">
            <w:r>
              <w:t>Recommended alternative</w:t>
            </w:r>
          </w:p>
        </w:tc>
        <w:tc>
          <w:tcPr>
            <w:tcW w:w="2902" w:type="pct"/>
          </w:tcPr>
          <w:p w14:paraId="75D15E7B" w14:textId="77777777" w:rsidR="009621C7" w:rsidRDefault="009621C7" w:rsidP="00422E8C">
            <w:r>
              <w:t>Issue</w:t>
            </w:r>
          </w:p>
        </w:tc>
      </w:tr>
      <w:tr w:rsidR="009621C7" w14:paraId="614D8070" w14:textId="77777777" w:rsidTr="00307F4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52C57C18" w14:textId="77777777" w:rsidR="009621C7" w:rsidRDefault="009621C7" w:rsidP="00422E8C">
            <w:r>
              <w:t xml:space="preserve">2º, 2h, 2 </w:t>
            </w:r>
            <w:proofErr w:type="spellStart"/>
            <w:r>
              <w:t>hrly</w:t>
            </w:r>
            <w:proofErr w:type="spellEnd"/>
          </w:p>
        </w:tc>
        <w:tc>
          <w:tcPr>
            <w:tcW w:w="1236" w:type="pct"/>
          </w:tcPr>
          <w:p w14:paraId="7D368AB1" w14:textId="77777777" w:rsidR="009621C7" w:rsidRDefault="009621C7" w:rsidP="00422E8C">
            <w:r>
              <w:t>‘</w:t>
            </w:r>
            <w:proofErr w:type="gramStart"/>
            <w:r>
              <w:t>every</w:t>
            </w:r>
            <w:proofErr w:type="gramEnd"/>
            <w:r>
              <w:t xml:space="preserve"> 2 hrs’ or ‘every 2 hours’</w:t>
            </w:r>
          </w:p>
        </w:tc>
        <w:tc>
          <w:tcPr>
            <w:tcW w:w="2902" w:type="pct"/>
          </w:tcPr>
          <w:p w14:paraId="3073B0AC" w14:textId="77777777" w:rsidR="009621C7" w:rsidRDefault="009621C7" w:rsidP="00422E8C">
            <w:r>
              <w:t xml:space="preserve">Can be confused with other unsafe abbreviations, noting that ‘2 </w:t>
            </w:r>
            <w:proofErr w:type="spellStart"/>
            <w:r>
              <w:t>hrly</w:t>
            </w:r>
            <w:proofErr w:type="spellEnd"/>
            <w:r>
              <w:t>’ is an exception to other similarly expressed dose frequency or timings</w:t>
            </w:r>
          </w:p>
        </w:tc>
      </w:tr>
      <w:tr w:rsidR="009621C7" w14:paraId="0D2B6785" w14:textId="77777777" w:rsidTr="00307F4B">
        <w:trPr>
          <w:trHeight w:val="687"/>
        </w:trPr>
        <w:tc>
          <w:tcPr>
            <w:tcW w:w="862" w:type="pct"/>
          </w:tcPr>
          <w:p w14:paraId="75452D3D" w14:textId="77777777" w:rsidR="009621C7" w:rsidRDefault="009621C7" w:rsidP="00422E8C">
            <w:r>
              <w:t>4/24, 6/24, 8/24, etc.</w:t>
            </w:r>
          </w:p>
        </w:tc>
        <w:tc>
          <w:tcPr>
            <w:tcW w:w="1236" w:type="pct"/>
          </w:tcPr>
          <w:p w14:paraId="79E57438" w14:textId="77777777" w:rsidR="009621C7" w:rsidRDefault="009621C7" w:rsidP="00422E8C">
            <w:r>
              <w:t>‘</w:t>
            </w:r>
            <w:proofErr w:type="gramStart"/>
            <w:r>
              <w:t>every</w:t>
            </w:r>
            <w:proofErr w:type="gramEnd"/>
            <w:r>
              <w:t xml:space="preserve"> 4 hrs’, ‘every 4 hours’, etc.</w:t>
            </w:r>
          </w:p>
        </w:tc>
        <w:tc>
          <w:tcPr>
            <w:tcW w:w="2902" w:type="pct"/>
          </w:tcPr>
          <w:p w14:paraId="72A87A4F" w14:textId="77777777" w:rsidR="009621C7" w:rsidRDefault="009621C7" w:rsidP="00422E8C">
            <w:r>
              <w:t>Can be confused with other unsafe abbreviations if not displayed/written clearly</w:t>
            </w:r>
          </w:p>
          <w:p w14:paraId="44690D2E" w14:textId="1AE4E6AA" w:rsidR="009621C7" w:rsidRDefault="009621C7" w:rsidP="00422E8C">
            <w:r>
              <w:rPr>
                <w:rStyle w:val="Emphasis"/>
              </w:rPr>
              <w:t>See</w:t>
            </w:r>
            <w:r>
              <w:t xml:space="preserve"> </w:t>
            </w:r>
            <w:r w:rsidR="00E7512B" w:rsidRPr="00E7512B">
              <w:rPr>
                <w:rStyle w:val="Cross-reference"/>
              </w:rPr>
              <w:fldChar w:fldCharType="begin"/>
            </w:r>
            <w:r w:rsidR="00E7512B" w:rsidRPr="00E7512B">
              <w:rPr>
                <w:rStyle w:val="Cross-reference"/>
              </w:rPr>
              <w:instrText xml:space="preserve"> REF TD \h </w:instrText>
            </w:r>
            <w:r w:rsidR="00E7512B">
              <w:rPr>
                <w:rStyle w:val="Cross-reference"/>
              </w:rPr>
              <w:instrText xml:space="preserve"> \* MERGEFORMAT </w:instrText>
            </w:r>
            <w:r w:rsidR="00E7512B" w:rsidRPr="00E7512B">
              <w:rPr>
                <w:rStyle w:val="Cross-reference"/>
              </w:rPr>
            </w:r>
            <w:r w:rsidR="00E7512B" w:rsidRPr="00E7512B">
              <w:rPr>
                <w:rStyle w:val="Cross-reference"/>
              </w:rPr>
              <w:fldChar w:fldCharType="separate"/>
            </w:r>
            <w:r w:rsidR="00E7512B" w:rsidRPr="00E7512B">
              <w:rPr>
                <w:rStyle w:val="Cross-reference"/>
              </w:rPr>
              <w:t>Table D</w:t>
            </w:r>
            <w:r w:rsidR="00E7512B" w:rsidRPr="00E7512B">
              <w:rPr>
                <w:rStyle w:val="Cross-reference"/>
              </w:rPr>
              <w:fldChar w:fldCharType="end"/>
            </w:r>
            <w:r w:rsidR="00B349F7">
              <w:t xml:space="preserve"> f</w:t>
            </w:r>
            <w:r>
              <w:t>or acceptable abbreviations for dose frequency and timing</w:t>
            </w:r>
          </w:p>
        </w:tc>
      </w:tr>
      <w:tr w:rsidR="009621C7" w14:paraId="03BF40A4" w14:textId="77777777" w:rsidTr="00307F4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552F0992" w14:textId="77777777" w:rsidR="009621C7" w:rsidRDefault="009621C7" w:rsidP="00422E8C">
            <w:r>
              <w:lastRenderedPageBreak/>
              <w:t>ac and pc</w:t>
            </w:r>
          </w:p>
        </w:tc>
        <w:tc>
          <w:tcPr>
            <w:tcW w:w="1236" w:type="pct"/>
          </w:tcPr>
          <w:p w14:paraId="088EFEFC" w14:textId="77777777" w:rsidR="009621C7" w:rsidRDefault="009621C7" w:rsidP="00422E8C">
            <w:r>
              <w:t>before food and after food</w:t>
            </w:r>
          </w:p>
        </w:tc>
        <w:tc>
          <w:tcPr>
            <w:tcW w:w="2902" w:type="pct"/>
          </w:tcPr>
          <w:p w14:paraId="70D8ADF6" w14:textId="77777777" w:rsidR="009621C7" w:rsidRDefault="009621C7" w:rsidP="00422E8C">
            <w:r>
              <w:t>Latin term that is not always understood by all people</w:t>
            </w:r>
          </w:p>
          <w:p w14:paraId="43969AD9" w14:textId="77777777" w:rsidR="009621C7" w:rsidRDefault="009621C7" w:rsidP="00422E8C">
            <w:r>
              <w:t>Should be written in full</w:t>
            </w:r>
          </w:p>
        </w:tc>
      </w:tr>
      <w:tr w:rsidR="009621C7" w14:paraId="2A065628" w14:textId="77777777" w:rsidTr="00307F4B">
        <w:trPr>
          <w:trHeight w:val="60"/>
        </w:trPr>
        <w:tc>
          <w:tcPr>
            <w:tcW w:w="862" w:type="pct"/>
          </w:tcPr>
          <w:p w14:paraId="5B1F83D5" w14:textId="77777777" w:rsidR="009621C7" w:rsidRDefault="009621C7" w:rsidP="00422E8C">
            <w:r>
              <w:t xml:space="preserve">cc </w:t>
            </w:r>
          </w:p>
        </w:tc>
        <w:tc>
          <w:tcPr>
            <w:tcW w:w="1236" w:type="pct"/>
          </w:tcPr>
          <w:p w14:paraId="63115B51" w14:textId="77777777" w:rsidR="009621C7" w:rsidRDefault="009621C7" w:rsidP="00422E8C">
            <w:r>
              <w:t>mL</w:t>
            </w:r>
          </w:p>
        </w:tc>
        <w:tc>
          <w:tcPr>
            <w:tcW w:w="2902" w:type="pct"/>
          </w:tcPr>
          <w:p w14:paraId="2BE92392" w14:textId="77777777" w:rsidR="009621C7" w:rsidRDefault="009621C7" w:rsidP="00422E8C">
            <w:r>
              <w:t>Use of ‘cc’ is poorly understood and use of this abbreviation risks lack of consistency with accepted and standard abbreviation</w:t>
            </w:r>
          </w:p>
        </w:tc>
      </w:tr>
      <w:tr w:rsidR="009621C7" w14:paraId="379187DD" w14:textId="77777777" w:rsidTr="00307F4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50240643" w14:textId="77777777" w:rsidR="009621C7" w:rsidRDefault="009621C7" w:rsidP="00422E8C">
            <w:r>
              <w:t>D</w:t>
            </w:r>
          </w:p>
        </w:tc>
        <w:tc>
          <w:tcPr>
            <w:tcW w:w="1236" w:type="pct"/>
          </w:tcPr>
          <w:p w14:paraId="111107FE" w14:textId="77777777" w:rsidR="009621C7" w:rsidRDefault="009621C7" w:rsidP="00422E8C">
            <w:r>
              <w:t>daily</w:t>
            </w:r>
          </w:p>
        </w:tc>
        <w:tc>
          <w:tcPr>
            <w:tcW w:w="2902" w:type="pct"/>
          </w:tcPr>
          <w:p w14:paraId="556C51F8" w14:textId="77777777" w:rsidR="009621C7" w:rsidRDefault="009621C7" w:rsidP="00422E8C">
            <w:r>
              <w:t xml:space="preserve">Can be interpreted as day or dose, or mistaken for a number </w:t>
            </w:r>
          </w:p>
        </w:tc>
      </w:tr>
      <w:tr w:rsidR="009621C7" w14:paraId="199EFFA4" w14:textId="77777777" w:rsidTr="00307F4B">
        <w:trPr>
          <w:trHeight w:val="60"/>
        </w:trPr>
        <w:tc>
          <w:tcPr>
            <w:tcW w:w="862" w:type="pct"/>
          </w:tcPr>
          <w:p w14:paraId="6515EAEC" w14:textId="77777777" w:rsidR="009621C7" w:rsidRDefault="009621C7" w:rsidP="00422E8C">
            <w:r>
              <w:t xml:space="preserve">D/C </w:t>
            </w:r>
          </w:p>
        </w:tc>
        <w:tc>
          <w:tcPr>
            <w:tcW w:w="1236" w:type="pct"/>
          </w:tcPr>
          <w:p w14:paraId="14E23E12" w14:textId="77777777" w:rsidR="009621C7" w:rsidRDefault="009621C7" w:rsidP="00422E8C">
            <w:r>
              <w:t>‘discharge’ or ‘discontinue’, whichever is intended</w:t>
            </w:r>
          </w:p>
        </w:tc>
        <w:tc>
          <w:tcPr>
            <w:tcW w:w="2902" w:type="pct"/>
          </w:tcPr>
          <w:p w14:paraId="46740651" w14:textId="77777777" w:rsidR="009621C7" w:rsidRDefault="009621C7" w:rsidP="00422E8C">
            <w:r>
              <w:t>Uses of term risks causing premature discontinuation of medicines if discharge is the intended meaning</w:t>
            </w:r>
          </w:p>
          <w:p w14:paraId="6C2319BB" w14:textId="77777777" w:rsidR="009621C7" w:rsidRDefault="009621C7" w:rsidP="00422E8C">
            <w:r>
              <w:t>Can be mistaken for ‘discharge’ or ‘discontinue’</w:t>
            </w:r>
          </w:p>
        </w:tc>
      </w:tr>
      <w:tr w:rsidR="009621C7" w14:paraId="4C6FCADA" w14:textId="77777777" w:rsidTr="00307F4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03C1EEDA" w14:textId="77777777" w:rsidR="009621C7" w:rsidRDefault="009621C7" w:rsidP="00422E8C">
            <w:r>
              <w:t>E, e</w:t>
            </w:r>
          </w:p>
        </w:tc>
        <w:tc>
          <w:tcPr>
            <w:tcW w:w="1236" w:type="pct"/>
          </w:tcPr>
          <w:p w14:paraId="41F4E47B" w14:textId="77777777" w:rsidR="009621C7" w:rsidRDefault="009621C7" w:rsidP="00422E8C">
            <w:r>
              <w:t>eye or ear</w:t>
            </w:r>
          </w:p>
        </w:tc>
        <w:tc>
          <w:tcPr>
            <w:tcW w:w="2902" w:type="pct"/>
          </w:tcPr>
          <w:p w14:paraId="6AEE20DE" w14:textId="77777777" w:rsidR="009621C7" w:rsidRDefault="009621C7" w:rsidP="00422E8C">
            <w:r>
              <w:t>Can be mistaken for ‘ear’ when ‘eye’ is intended or for ‘ear’ when ‘eye’ is intended</w:t>
            </w:r>
          </w:p>
        </w:tc>
      </w:tr>
      <w:tr w:rsidR="009621C7" w14:paraId="0903AD74" w14:textId="77777777" w:rsidTr="00307F4B">
        <w:trPr>
          <w:trHeight w:val="60"/>
        </w:trPr>
        <w:tc>
          <w:tcPr>
            <w:tcW w:w="862" w:type="pct"/>
          </w:tcPr>
          <w:p w14:paraId="77C5DDBD" w14:textId="77777777" w:rsidR="009621C7" w:rsidRDefault="009621C7" w:rsidP="00422E8C">
            <w:r>
              <w:t>gm</w:t>
            </w:r>
          </w:p>
        </w:tc>
        <w:tc>
          <w:tcPr>
            <w:tcW w:w="1236" w:type="pct"/>
          </w:tcPr>
          <w:p w14:paraId="7CD8A5F9" w14:textId="77777777" w:rsidR="009621C7" w:rsidRDefault="009621C7" w:rsidP="00422E8C">
            <w:r>
              <w:t>gram, g</w:t>
            </w:r>
          </w:p>
        </w:tc>
        <w:tc>
          <w:tcPr>
            <w:tcW w:w="2902" w:type="pct"/>
          </w:tcPr>
          <w:p w14:paraId="1E644DA6" w14:textId="58CE5A15" w:rsidR="009621C7" w:rsidRDefault="009621C7" w:rsidP="00422E8C">
            <w:r>
              <w:rPr>
                <w:rStyle w:val="Emphasis"/>
              </w:rPr>
              <w:t>See</w:t>
            </w:r>
            <w:r>
              <w:t xml:space="preserve"> </w:t>
            </w:r>
            <w:r w:rsidR="00F7387D" w:rsidRPr="00F7387D">
              <w:rPr>
                <w:rStyle w:val="Cross-reference"/>
              </w:rPr>
              <w:fldChar w:fldCharType="begin"/>
            </w:r>
            <w:r w:rsidR="00F7387D" w:rsidRPr="00F7387D">
              <w:rPr>
                <w:rStyle w:val="Cross-reference"/>
              </w:rPr>
              <w:instrText xml:space="preserve"> REF P5 \h </w:instrText>
            </w:r>
            <w:r w:rsidR="00F7387D">
              <w:rPr>
                <w:rStyle w:val="Cross-reference"/>
              </w:rPr>
              <w:instrText xml:space="preserve"> \* MERGEFORMAT </w:instrText>
            </w:r>
            <w:r w:rsidR="00F7387D" w:rsidRPr="00F7387D">
              <w:rPr>
                <w:rStyle w:val="Cross-reference"/>
              </w:rPr>
            </w:r>
            <w:r w:rsidR="00F7387D" w:rsidRPr="00F7387D">
              <w:rPr>
                <w:rStyle w:val="Cross-reference"/>
              </w:rPr>
              <w:fldChar w:fldCharType="separate"/>
            </w:r>
            <w:r w:rsidR="00F7387D" w:rsidRPr="00F7387D">
              <w:rPr>
                <w:rStyle w:val="Cross-reference"/>
              </w:rPr>
              <w:t xml:space="preserve">Best Practice </w:t>
            </w:r>
            <w:proofErr w:type="gramStart"/>
            <w:r w:rsidR="00F7387D" w:rsidRPr="00F7387D">
              <w:rPr>
                <w:rStyle w:val="Cross-reference"/>
              </w:rPr>
              <w:t>Principle</w:t>
            </w:r>
            <w:proofErr w:type="gramEnd"/>
            <w:r w:rsidR="00F7387D" w:rsidRPr="00F7387D">
              <w:rPr>
                <w:rStyle w:val="Cross-reference"/>
              </w:rPr>
              <w:t> 5</w:t>
            </w:r>
            <w:r w:rsidR="00F7387D" w:rsidRPr="00F7387D">
              <w:rPr>
                <w:rStyle w:val="Cross-reference"/>
              </w:rPr>
              <w:fldChar w:fldCharType="end"/>
            </w:r>
            <w:r w:rsidR="00F7387D">
              <w:t xml:space="preserve"> </w:t>
            </w:r>
            <w:r>
              <w:t>and</w:t>
            </w:r>
            <w:r w:rsidR="00E7512B">
              <w:t xml:space="preserve"> </w:t>
            </w:r>
            <w:r w:rsidR="00E7512B" w:rsidRPr="00E7512B">
              <w:rPr>
                <w:rStyle w:val="Cross-reference"/>
              </w:rPr>
              <w:fldChar w:fldCharType="begin"/>
            </w:r>
            <w:r w:rsidR="00E7512B" w:rsidRPr="00E7512B">
              <w:rPr>
                <w:rStyle w:val="Cross-reference"/>
              </w:rPr>
              <w:instrText xml:space="preserve"> REF TF \h </w:instrText>
            </w:r>
            <w:r w:rsidR="00E7512B">
              <w:rPr>
                <w:rStyle w:val="Cross-reference"/>
              </w:rPr>
              <w:instrText xml:space="preserve"> \* MERGEFORMAT </w:instrText>
            </w:r>
            <w:r w:rsidR="00E7512B" w:rsidRPr="00E7512B">
              <w:rPr>
                <w:rStyle w:val="Cross-reference"/>
              </w:rPr>
            </w:r>
            <w:r w:rsidR="00E7512B" w:rsidRPr="00E7512B">
              <w:rPr>
                <w:rStyle w:val="Cross-reference"/>
              </w:rPr>
              <w:fldChar w:fldCharType="separate"/>
            </w:r>
            <w:r w:rsidR="00E7512B" w:rsidRPr="00E7512B">
              <w:rPr>
                <w:rStyle w:val="Cross-reference"/>
              </w:rPr>
              <w:t>Table F</w:t>
            </w:r>
            <w:r w:rsidR="00E7512B" w:rsidRPr="00E7512B">
              <w:rPr>
                <w:rStyle w:val="Cross-reference"/>
              </w:rPr>
              <w:fldChar w:fldCharType="end"/>
            </w:r>
            <w:r w:rsidR="00E7512B">
              <w:t xml:space="preserve"> </w:t>
            </w:r>
            <w:r>
              <w:t>for acceptable abbreviations for dose designations</w:t>
            </w:r>
          </w:p>
        </w:tc>
      </w:tr>
      <w:tr w:rsidR="009621C7" w14:paraId="70D062BB" w14:textId="77777777" w:rsidTr="00307F4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6D21EDF1" w14:textId="77777777" w:rsidR="009621C7" w:rsidRDefault="009621C7" w:rsidP="00422E8C">
            <w:proofErr w:type="spellStart"/>
            <w:r>
              <w:t>gutte</w:t>
            </w:r>
            <w:proofErr w:type="spellEnd"/>
            <w:r>
              <w:t xml:space="preserve">, </w:t>
            </w:r>
            <w:proofErr w:type="spellStart"/>
            <w:r>
              <w:t>gtt</w:t>
            </w:r>
            <w:proofErr w:type="spellEnd"/>
          </w:p>
        </w:tc>
        <w:tc>
          <w:tcPr>
            <w:tcW w:w="1236" w:type="pct"/>
          </w:tcPr>
          <w:p w14:paraId="49B2163C" w14:textId="77777777" w:rsidR="009621C7" w:rsidRDefault="009621C7" w:rsidP="00422E8C">
            <w:r>
              <w:t>drops</w:t>
            </w:r>
          </w:p>
        </w:tc>
        <w:tc>
          <w:tcPr>
            <w:tcW w:w="2902" w:type="pct"/>
          </w:tcPr>
          <w:p w14:paraId="500BD3FD" w14:textId="77777777" w:rsidR="009621C7" w:rsidRDefault="009621C7" w:rsidP="00422E8C">
            <w:r>
              <w:t xml:space="preserve">Latin term that is not always understood by all people </w:t>
            </w:r>
          </w:p>
        </w:tc>
      </w:tr>
      <w:tr w:rsidR="009621C7" w14:paraId="6BC2220A" w14:textId="77777777" w:rsidTr="00307F4B">
        <w:trPr>
          <w:trHeight w:val="60"/>
        </w:trPr>
        <w:tc>
          <w:tcPr>
            <w:tcW w:w="862" w:type="pct"/>
          </w:tcPr>
          <w:p w14:paraId="05688743" w14:textId="77777777" w:rsidR="009621C7" w:rsidRDefault="009621C7" w:rsidP="00422E8C">
            <w:r>
              <w:t xml:space="preserve">HS, </w:t>
            </w:r>
            <w:proofErr w:type="spellStart"/>
            <w:r>
              <w:t>hs</w:t>
            </w:r>
            <w:proofErr w:type="spellEnd"/>
          </w:p>
        </w:tc>
        <w:tc>
          <w:tcPr>
            <w:tcW w:w="1236" w:type="pct"/>
          </w:tcPr>
          <w:p w14:paraId="1619DB67" w14:textId="77777777" w:rsidR="009621C7" w:rsidRDefault="009621C7" w:rsidP="00422E8C">
            <w:r>
              <w:t>Half</w:t>
            </w:r>
            <w:r>
              <w:rPr>
                <w:rFonts w:ascii="Cambria Math" w:hAnsi="Cambria Math" w:cs="Cambria Math"/>
              </w:rPr>
              <w:t>‑</w:t>
            </w:r>
            <w:r>
              <w:t>strength or bedtime</w:t>
            </w:r>
          </w:p>
        </w:tc>
        <w:tc>
          <w:tcPr>
            <w:tcW w:w="2902" w:type="pct"/>
          </w:tcPr>
          <w:p w14:paraId="7902AB86" w14:textId="77777777" w:rsidR="009621C7" w:rsidRDefault="009621C7" w:rsidP="00422E8C">
            <w:r>
              <w:t>Latin term that is not always understood by all people</w:t>
            </w:r>
          </w:p>
          <w:p w14:paraId="767B1ADA" w14:textId="77777777" w:rsidR="009621C7" w:rsidRDefault="009621C7" w:rsidP="00422E8C">
            <w:r>
              <w:t>Can be mistaken for ‘half</w:t>
            </w:r>
            <w:r>
              <w:rPr>
                <w:rFonts w:ascii="Cambria Math" w:hAnsi="Cambria Math" w:cs="Cambria Math"/>
              </w:rPr>
              <w:t>‑</w:t>
            </w:r>
            <w:r>
              <w:t>strength’ or ‘bedtime’, whichever is intended</w:t>
            </w:r>
          </w:p>
        </w:tc>
      </w:tr>
      <w:tr w:rsidR="009621C7" w14:paraId="2FE93BF2" w14:textId="77777777" w:rsidTr="00307F4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11A0DBC9" w14:textId="77777777" w:rsidR="009621C7" w:rsidRDefault="009621C7" w:rsidP="00422E8C">
            <w:r>
              <w:t>IN</w:t>
            </w:r>
          </w:p>
        </w:tc>
        <w:tc>
          <w:tcPr>
            <w:tcW w:w="1236" w:type="pct"/>
          </w:tcPr>
          <w:p w14:paraId="631C7520" w14:textId="77777777" w:rsidR="009621C7" w:rsidRDefault="009621C7" w:rsidP="00422E8C">
            <w:r>
              <w:t>intranasal</w:t>
            </w:r>
          </w:p>
        </w:tc>
        <w:tc>
          <w:tcPr>
            <w:tcW w:w="2902" w:type="pct"/>
          </w:tcPr>
          <w:p w14:paraId="55C634ED" w14:textId="77777777" w:rsidR="009621C7" w:rsidRDefault="009621C7" w:rsidP="00422E8C">
            <w:r>
              <w:t>Can be mistaken as ‘IM’ (intramuscular) or ‘IV’ (intravenous)</w:t>
            </w:r>
          </w:p>
        </w:tc>
      </w:tr>
      <w:tr w:rsidR="009621C7" w14:paraId="3B07661E" w14:textId="77777777" w:rsidTr="00307F4B">
        <w:trPr>
          <w:trHeight w:val="60"/>
        </w:trPr>
        <w:tc>
          <w:tcPr>
            <w:tcW w:w="862" w:type="pct"/>
          </w:tcPr>
          <w:p w14:paraId="21AD7035" w14:textId="77777777" w:rsidR="009621C7" w:rsidRDefault="009621C7" w:rsidP="00422E8C">
            <w:r>
              <w:t xml:space="preserve">INH, </w:t>
            </w:r>
            <w:proofErr w:type="spellStart"/>
            <w:r>
              <w:t>inh</w:t>
            </w:r>
            <w:proofErr w:type="spellEnd"/>
          </w:p>
        </w:tc>
        <w:tc>
          <w:tcPr>
            <w:tcW w:w="1236" w:type="pct"/>
          </w:tcPr>
          <w:p w14:paraId="15B66B10" w14:textId="77777777" w:rsidR="009621C7" w:rsidRDefault="009621C7" w:rsidP="00422E8C">
            <w:r>
              <w:t>inhale, inhalation</w:t>
            </w:r>
          </w:p>
        </w:tc>
        <w:tc>
          <w:tcPr>
            <w:tcW w:w="2902" w:type="pct"/>
          </w:tcPr>
          <w:p w14:paraId="1235F512" w14:textId="77777777" w:rsidR="009621C7" w:rsidRDefault="009621C7" w:rsidP="00422E8C">
            <w:r>
              <w:t>Can be mistaken for other routes of administration</w:t>
            </w:r>
          </w:p>
        </w:tc>
      </w:tr>
      <w:tr w:rsidR="009621C7" w14:paraId="3EC7EC89" w14:textId="77777777" w:rsidTr="00307F4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25E557AE" w14:textId="77777777" w:rsidR="009621C7" w:rsidRDefault="009621C7" w:rsidP="00422E8C">
            <w:r>
              <w:t>IO</w:t>
            </w:r>
          </w:p>
        </w:tc>
        <w:tc>
          <w:tcPr>
            <w:tcW w:w="1236" w:type="pct"/>
          </w:tcPr>
          <w:p w14:paraId="6A616C53" w14:textId="77777777" w:rsidR="009621C7" w:rsidRDefault="009621C7" w:rsidP="00422E8C">
            <w:r>
              <w:t>intraosseous</w:t>
            </w:r>
          </w:p>
        </w:tc>
        <w:tc>
          <w:tcPr>
            <w:tcW w:w="2902" w:type="pct"/>
          </w:tcPr>
          <w:p w14:paraId="36859C3F" w14:textId="77777777" w:rsidR="009621C7" w:rsidRDefault="009621C7" w:rsidP="00422E8C">
            <w:r>
              <w:t>Can be mistaken as ‘10’ (ten) or ‘oral’</w:t>
            </w:r>
          </w:p>
        </w:tc>
      </w:tr>
      <w:tr w:rsidR="009621C7" w14:paraId="74A7285D" w14:textId="77777777" w:rsidTr="00307F4B">
        <w:trPr>
          <w:trHeight w:val="60"/>
        </w:trPr>
        <w:tc>
          <w:tcPr>
            <w:tcW w:w="862" w:type="pct"/>
          </w:tcPr>
          <w:p w14:paraId="16CA20D5" w14:textId="77777777" w:rsidR="009621C7" w:rsidRDefault="009621C7" w:rsidP="00422E8C">
            <w:r>
              <w:t>IP</w:t>
            </w:r>
          </w:p>
        </w:tc>
        <w:tc>
          <w:tcPr>
            <w:tcW w:w="1236" w:type="pct"/>
          </w:tcPr>
          <w:p w14:paraId="635A55C8" w14:textId="77777777" w:rsidR="009621C7" w:rsidRDefault="009621C7" w:rsidP="00422E8C">
            <w:r>
              <w:t>intraperitoneal</w:t>
            </w:r>
          </w:p>
        </w:tc>
        <w:tc>
          <w:tcPr>
            <w:tcW w:w="2902" w:type="pct"/>
          </w:tcPr>
          <w:p w14:paraId="1B99C1A9" w14:textId="77777777" w:rsidR="009621C7" w:rsidRDefault="009621C7" w:rsidP="00422E8C">
            <w:r>
              <w:t>Can be confused with ‘IV’</w:t>
            </w:r>
          </w:p>
        </w:tc>
      </w:tr>
      <w:tr w:rsidR="009621C7" w14:paraId="19923D53" w14:textId="77777777" w:rsidTr="00307F4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4BC46BEC" w14:textId="77777777" w:rsidR="009621C7" w:rsidRDefault="009621C7" w:rsidP="00422E8C">
            <w:r>
              <w:t>IR</w:t>
            </w:r>
          </w:p>
        </w:tc>
        <w:tc>
          <w:tcPr>
            <w:tcW w:w="1236" w:type="pct"/>
          </w:tcPr>
          <w:p w14:paraId="496D2B8E" w14:textId="77777777" w:rsidR="009621C7" w:rsidRDefault="009621C7" w:rsidP="00422E8C">
            <w:r>
              <w:t>N/A</w:t>
            </w:r>
          </w:p>
        </w:tc>
        <w:tc>
          <w:tcPr>
            <w:tcW w:w="2902" w:type="pct"/>
          </w:tcPr>
          <w:p w14:paraId="7C2CB2DC" w14:textId="77777777" w:rsidR="009621C7" w:rsidRDefault="009621C7" w:rsidP="00422E8C">
            <w:r>
              <w:t xml:space="preserve">IR or ‘immediate release’ can be confused for other unsafe abbreviations </w:t>
            </w:r>
          </w:p>
          <w:p w14:paraId="59D69EAD" w14:textId="77777777" w:rsidR="009621C7" w:rsidRDefault="009621C7" w:rsidP="00422E8C">
            <w:r>
              <w:rPr>
                <w:rStyle w:val="StrongBoldBlue"/>
              </w:rPr>
              <w:t xml:space="preserve">Exception: </w:t>
            </w:r>
            <w:r>
              <w:t>‘IR’ may be included if it is a part of a medicines’ brand name only (i.e. not a part of the active ingredient medicine name).</w:t>
            </w:r>
          </w:p>
        </w:tc>
      </w:tr>
      <w:tr w:rsidR="009621C7" w14:paraId="7E205E4D" w14:textId="77777777" w:rsidTr="00307F4B">
        <w:trPr>
          <w:trHeight w:val="60"/>
        </w:trPr>
        <w:tc>
          <w:tcPr>
            <w:tcW w:w="862" w:type="pct"/>
          </w:tcPr>
          <w:p w14:paraId="1A4750E7" w14:textId="77777777" w:rsidR="009621C7" w:rsidRDefault="009621C7" w:rsidP="00422E8C">
            <w:r>
              <w:t xml:space="preserve">IVI </w:t>
            </w:r>
          </w:p>
        </w:tc>
        <w:tc>
          <w:tcPr>
            <w:tcW w:w="1236" w:type="pct"/>
          </w:tcPr>
          <w:p w14:paraId="3CF766CA" w14:textId="77777777" w:rsidR="009621C7" w:rsidRDefault="009621C7" w:rsidP="00422E8C">
            <w:r>
              <w:t>IV</w:t>
            </w:r>
          </w:p>
        </w:tc>
        <w:tc>
          <w:tcPr>
            <w:tcW w:w="2902" w:type="pct"/>
          </w:tcPr>
          <w:p w14:paraId="7A2F280C" w14:textId="77777777" w:rsidR="009621C7" w:rsidRDefault="009621C7" w:rsidP="00422E8C">
            <w:r>
              <w:t>Can be mistaken as ‘IV 1’</w:t>
            </w:r>
          </w:p>
        </w:tc>
      </w:tr>
      <w:tr w:rsidR="009621C7" w14:paraId="43FF6053" w14:textId="77777777" w:rsidTr="00307F4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3ACE993F" w14:textId="77777777" w:rsidR="009621C7" w:rsidRDefault="009621C7" w:rsidP="00422E8C">
            <w:r>
              <w:t>LE, RE</w:t>
            </w:r>
          </w:p>
        </w:tc>
        <w:tc>
          <w:tcPr>
            <w:tcW w:w="1236" w:type="pct"/>
          </w:tcPr>
          <w:p w14:paraId="22D9E7AC" w14:textId="77777777" w:rsidR="009621C7" w:rsidRDefault="009621C7" w:rsidP="00422E8C">
            <w:r>
              <w:t>left ear or eye, right ear or eye</w:t>
            </w:r>
          </w:p>
        </w:tc>
        <w:tc>
          <w:tcPr>
            <w:tcW w:w="2902" w:type="pct"/>
          </w:tcPr>
          <w:p w14:paraId="1C996689" w14:textId="77777777" w:rsidR="009621C7" w:rsidRDefault="009621C7" w:rsidP="00422E8C">
            <w:r>
              <w:t>Can be mistaken for ‘ear’ when ‘eye’ is intended or for ‘ear’ when ‘eye’ is intended</w:t>
            </w:r>
          </w:p>
        </w:tc>
      </w:tr>
      <w:tr w:rsidR="009621C7" w14:paraId="031A91C9" w14:textId="77777777" w:rsidTr="00307F4B">
        <w:trPr>
          <w:trHeight w:val="60"/>
        </w:trPr>
        <w:tc>
          <w:tcPr>
            <w:tcW w:w="862" w:type="pct"/>
          </w:tcPr>
          <w:p w14:paraId="371F1FBA" w14:textId="77777777" w:rsidR="009621C7" w:rsidRDefault="009621C7" w:rsidP="00422E8C">
            <w:r>
              <w:t>M</w:t>
            </w:r>
          </w:p>
        </w:tc>
        <w:tc>
          <w:tcPr>
            <w:tcW w:w="1236" w:type="pct"/>
          </w:tcPr>
          <w:p w14:paraId="4010F8AA" w14:textId="77777777" w:rsidR="009621C7" w:rsidRDefault="009621C7" w:rsidP="00422E8C">
            <w:r>
              <w:t>morning, mane</w:t>
            </w:r>
          </w:p>
        </w:tc>
        <w:tc>
          <w:tcPr>
            <w:tcW w:w="2902" w:type="pct"/>
          </w:tcPr>
          <w:p w14:paraId="66206048" w14:textId="77777777" w:rsidR="009621C7" w:rsidRDefault="009621C7" w:rsidP="00422E8C">
            <w:r>
              <w:t>Can be mistaken for million or thousand</w:t>
            </w:r>
          </w:p>
        </w:tc>
      </w:tr>
      <w:tr w:rsidR="009621C7" w14:paraId="0282EF14" w14:textId="77777777" w:rsidTr="00307F4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2D578784" w14:textId="77777777" w:rsidR="009621C7" w:rsidRDefault="009621C7" w:rsidP="00422E8C">
            <w:r>
              <w:t xml:space="preserve">mcg, ug, </w:t>
            </w:r>
            <w:r>
              <w:rPr>
                <w:rStyle w:val="a"/>
              </w:rPr>
              <w:t>µ</w:t>
            </w:r>
            <w:r>
              <w:t>g</w:t>
            </w:r>
          </w:p>
        </w:tc>
        <w:tc>
          <w:tcPr>
            <w:tcW w:w="1236" w:type="pct"/>
          </w:tcPr>
          <w:p w14:paraId="11F68EFA" w14:textId="77777777" w:rsidR="009621C7" w:rsidRDefault="009621C7" w:rsidP="00422E8C">
            <w:r>
              <w:t xml:space="preserve">microgram, </w:t>
            </w:r>
            <w:proofErr w:type="spellStart"/>
            <w:r>
              <w:t>MICROg</w:t>
            </w:r>
            <w:proofErr w:type="spellEnd"/>
            <w:r>
              <w:t>, microg</w:t>
            </w:r>
          </w:p>
        </w:tc>
        <w:tc>
          <w:tcPr>
            <w:tcW w:w="2902" w:type="pct"/>
          </w:tcPr>
          <w:p w14:paraId="3AD7C3E5" w14:textId="77777777" w:rsidR="009621C7" w:rsidRDefault="009621C7" w:rsidP="00422E8C">
            <w:r>
              <w:t>Can be mistaken as milligram (mg)</w:t>
            </w:r>
          </w:p>
        </w:tc>
      </w:tr>
      <w:tr w:rsidR="009621C7" w14:paraId="6F39FD67" w14:textId="77777777" w:rsidTr="00307F4B">
        <w:trPr>
          <w:trHeight w:val="60"/>
        </w:trPr>
        <w:tc>
          <w:tcPr>
            <w:tcW w:w="862" w:type="pct"/>
          </w:tcPr>
          <w:p w14:paraId="741A7F4B" w14:textId="77777777" w:rsidR="009621C7" w:rsidRDefault="009621C7" w:rsidP="00422E8C">
            <w:r>
              <w:t>midi</w:t>
            </w:r>
          </w:p>
        </w:tc>
        <w:tc>
          <w:tcPr>
            <w:tcW w:w="1236" w:type="pct"/>
          </w:tcPr>
          <w:p w14:paraId="379266D2" w14:textId="77777777" w:rsidR="009621C7" w:rsidRDefault="009621C7" w:rsidP="00422E8C">
            <w:r>
              <w:t>midday</w:t>
            </w:r>
          </w:p>
        </w:tc>
        <w:tc>
          <w:tcPr>
            <w:tcW w:w="2902" w:type="pct"/>
          </w:tcPr>
          <w:p w14:paraId="067F598A" w14:textId="77777777" w:rsidR="009621C7" w:rsidRDefault="009621C7" w:rsidP="00422E8C">
            <w:r>
              <w:t>Latin term that is not always understood by all people</w:t>
            </w:r>
          </w:p>
          <w:p w14:paraId="5E9AAF0A" w14:textId="77777777" w:rsidR="009621C7" w:rsidRDefault="009621C7" w:rsidP="00422E8C">
            <w:r>
              <w:t>Should be written in full</w:t>
            </w:r>
          </w:p>
        </w:tc>
      </w:tr>
      <w:tr w:rsidR="009621C7" w14:paraId="3A612DE0" w14:textId="77777777" w:rsidTr="00307F4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1EBB5267" w14:textId="77777777" w:rsidR="009621C7" w:rsidRDefault="009621C7" w:rsidP="00422E8C">
            <w:r>
              <w:lastRenderedPageBreak/>
              <w:t>N, ON</w:t>
            </w:r>
          </w:p>
        </w:tc>
        <w:tc>
          <w:tcPr>
            <w:tcW w:w="1236" w:type="pct"/>
          </w:tcPr>
          <w:p w14:paraId="1355082C" w14:textId="77777777" w:rsidR="009621C7" w:rsidRDefault="009621C7" w:rsidP="00422E8C">
            <w:r>
              <w:t>night, nocte</w:t>
            </w:r>
          </w:p>
        </w:tc>
        <w:tc>
          <w:tcPr>
            <w:tcW w:w="2902" w:type="pct"/>
          </w:tcPr>
          <w:p w14:paraId="40272FCA" w14:textId="77777777" w:rsidR="009621C7" w:rsidRDefault="009621C7" w:rsidP="00422E8C">
            <w:r>
              <w:t>Should be written in full</w:t>
            </w:r>
          </w:p>
        </w:tc>
      </w:tr>
      <w:tr w:rsidR="009621C7" w14:paraId="7ECC2732" w14:textId="77777777" w:rsidTr="00307F4B">
        <w:trPr>
          <w:trHeight w:val="60"/>
        </w:trPr>
        <w:tc>
          <w:tcPr>
            <w:tcW w:w="862" w:type="pct"/>
          </w:tcPr>
          <w:p w14:paraId="3D29CDE1" w14:textId="77777777" w:rsidR="009621C7" w:rsidRDefault="009621C7" w:rsidP="00422E8C">
            <w:r>
              <w:t>NIA, NIM</w:t>
            </w:r>
          </w:p>
        </w:tc>
        <w:tc>
          <w:tcPr>
            <w:tcW w:w="1236" w:type="pct"/>
          </w:tcPr>
          <w:p w14:paraId="07CC12F9" w14:textId="77777777" w:rsidR="009621C7" w:rsidRDefault="009621C7" w:rsidP="00422E8C">
            <w:r>
              <w:t>nurse-initiated analgesia, nurse</w:t>
            </w:r>
            <w:r>
              <w:rPr>
                <w:rFonts w:ascii="Cambria Math" w:hAnsi="Cambria Math" w:cs="Cambria Math"/>
              </w:rPr>
              <w:t>‑</w:t>
            </w:r>
            <w:r>
              <w:t>initiated medicine</w:t>
            </w:r>
          </w:p>
        </w:tc>
        <w:tc>
          <w:tcPr>
            <w:tcW w:w="2902" w:type="pct"/>
          </w:tcPr>
          <w:p w14:paraId="3B0092F4" w14:textId="77777777" w:rsidR="009621C7" w:rsidRDefault="009621C7" w:rsidP="00422E8C">
            <w:r>
              <w:t xml:space="preserve">Can be mistaken for each other </w:t>
            </w:r>
          </w:p>
          <w:p w14:paraId="201272D5" w14:textId="77777777" w:rsidR="009621C7" w:rsidRDefault="009621C7" w:rsidP="00422E8C">
            <w:r>
              <w:t>Should be written in full</w:t>
            </w:r>
          </w:p>
        </w:tc>
      </w:tr>
      <w:tr w:rsidR="009621C7" w14:paraId="31F58F1B" w14:textId="77777777" w:rsidTr="00307F4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7908B6DA" w14:textId="77777777" w:rsidR="009621C7" w:rsidRDefault="009621C7" w:rsidP="00422E8C">
            <w:r>
              <w:t>OAT, OST, OSTP</w:t>
            </w:r>
          </w:p>
        </w:tc>
        <w:tc>
          <w:tcPr>
            <w:tcW w:w="1236" w:type="pct"/>
          </w:tcPr>
          <w:p w14:paraId="5E5BB59D" w14:textId="77777777" w:rsidR="009621C7" w:rsidRDefault="009621C7" w:rsidP="00422E8C">
            <w:r>
              <w:t>opioid agonist therapy or ‘treatment program’</w:t>
            </w:r>
          </w:p>
        </w:tc>
        <w:tc>
          <w:tcPr>
            <w:tcW w:w="2902" w:type="pct"/>
          </w:tcPr>
          <w:p w14:paraId="7F5341F1" w14:textId="77777777" w:rsidR="009621C7" w:rsidRDefault="009621C7" w:rsidP="00422E8C">
            <w:r>
              <w:t>Should be written in full</w:t>
            </w:r>
          </w:p>
          <w:p w14:paraId="3815A8B2" w14:textId="77777777" w:rsidR="009621C7" w:rsidRDefault="009621C7" w:rsidP="00422E8C">
            <w:r>
              <w:t>When prescribing, include the specific medicine’s active ingredient name and details</w:t>
            </w:r>
          </w:p>
        </w:tc>
      </w:tr>
      <w:tr w:rsidR="009621C7" w14:paraId="3E41C414" w14:textId="77777777" w:rsidTr="00307F4B">
        <w:trPr>
          <w:trHeight w:val="60"/>
        </w:trPr>
        <w:tc>
          <w:tcPr>
            <w:tcW w:w="862" w:type="pct"/>
          </w:tcPr>
          <w:p w14:paraId="347FBB80" w14:textId="77777777" w:rsidR="009621C7" w:rsidRDefault="009621C7" w:rsidP="00422E8C">
            <w:r>
              <w:t>OD, od, O.D.</w:t>
            </w:r>
          </w:p>
        </w:tc>
        <w:tc>
          <w:tcPr>
            <w:tcW w:w="1236" w:type="pct"/>
          </w:tcPr>
          <w:p w14:paraId="2348FC49" w14:textId="77777777" w:rsidR="009621C7" w:rsidRDefault="009621C7" w:rsidP="00422E8C">
            <w:r>
              <w:t>‘</w:t>
            </w:r>
            <w:proofErr w:type="gramStart"/>
            <w:r>
              <w:t>once</w:t>
            </w:r>
            <w:proofErr w:type="gramEnd"/>
            <w:r>
              <w:t xml:space="preserve"> a day’ or ‘daily’</w:t>
            </w:r>
          </w:p>
        </w:tc>
        <w:tc>
          <w:tcPr>
            <w:tcW w:w="2902" w:type="pct"/>
          </w:tcPr>
          <w:p w14:paraId="42034DBE" w14:textId="77777777" w:rsidR="009621C7" w:rsidRDefault="009621C7" w:rsidP="00422E8C">
            <w:r>
              <w:t>Can be mistaken as ‘right eye’ (OD</w:t>
            </w:r>
            <w:r>
              <w:rPr>
                <w:rFonts w:ascii="Cambria Math" w:hAnsi="Cambria Math" w:cs="Cambria Math"/>
              </w:rPr>
              <w:t>‑</w:t>
            </w:r>
            <w:r>
              <w:t xml:space="preserve">oculus dexter), leading to oral liquid medicines being administered in the eye </w:t>
            </w:r>
          </w:p>
          <w:p w14:paraId="13CA47F8" w14:textId="77777777" w:rsidR="009621C7" w:rsidRDefault="009621C7" w:rsidP="00422E8C">
            <w:r>
              <w:t>Can also be mistaken as ‘BD twice daily’ or ‘QID four times a day’, for instance, instead of once a day the intended dose could be given twice or four times a day in error</w:t>
            </w:r>
          </w:p>
          <w:p w14:paraId="5237B5AE" w14:textId="040942F1" w:rsidR="009621C7" w:rsidRDefault="009621C7" w:rsidP="00422E8C">
            <w:r>
              <w:rPr>
                <w:rStyle w:val="Emphasis"/>
              </w:rPr>
              <w:t>See</w:t>
            </w:r>
            <w:r>
              <w:t xml:space="preserve"> </w:t>
            </w:r>
            <w:r w:rsidR="00E7512B" w:rsidRPr="00E7512B">
              <w:rPr>
                <w:rStyle w:val="Cross-reference"/>
              </w:rPr>
              <w:fldChar w:fldCharType="begin"/>
            </w:r>
            <w:r w:rsidR="00E7512B" w:rsidRPr="00E7512B">
              <w:rPr>
                <w:rStyle w:val="Cross-reference"/>
              </w:rPr>
              <w:instrText xml:space="preserve"> REF TD \h </w:instrText>
            </w:r>
            <w:r w:rsidR="00E7512B">
              <w:rPr>
                <w:rStyle w:val="Cross-reference"/>
              </w:rPr>
              <w:instrText xml:space="preserve"> \* MERGEFORMAT </w:instrText>
            </w:r>
            <w:r w:rsidR="00E7512B" w:rsidRPr="00E7512B">
              <w:rPr>
                <w:rStyle w:val="Cross-reference"/>
              </w:rPr>
            </w:r>
            <w:r w:rsidR="00E7512B" w:rsidRPr="00E7512B">
              <w:rPr>
                <w:rStyle w:val="Cross-reference"/>
              </w:rPr>
              <w:fldChar w:fldCharType="separate"/>
            </w:r>
            <w:r w:rsidR="00E7512B" w:rsidRPr="00E7512B">
              <w:rPr>
                <w:rStyle w:val="Cross-reference"/>
              </w:rPr>
              <w:t> D</w:t>
            </w:r>
            <w:r w:rsidR="00E7512B" w:rsidRPr="00E7512B">
              <w:rPr>
                <w:rStyle w:val="Cross-reference"/>
              </w:rPr>
              <w:fldChar w:fldCharType="end"/>
            </w:r>
            <w:r w:rsidR="00E7512B">
              <w:t xml:space="preserve"> f</w:t>
            </w:r>
            <w:r>
              <w:t>or acceptable abbreviations for dose frequency and timing</w:t>
            </w:r>
          </w:p>
        </w:tc>
      </w:tr>
      <w:tr w:rsidR="009621C7" w14:paraId="7DD4D8BD" w14:textId="77777777" w:rsidTr="00307F4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7C0C145F" w14:textId="77777777" w:rsidR="009621C7" w:rsidRDefault="009621C7" w:rsidP="00422E8C">
            <w:r>
              <w:t>OJ</w:t>
            </w:r>
          </w:p>
        </w:tc>
        <w:tc>
          <w:tcPr>
            <w:tcW w:w="1236" w:type="pct"/>
          </w:tcPr>
          <w:p w14:paraId="767669EF" w14:textId="77777777" w:rsidR="009621C7" w:rsidRDefault="009621C7" w:rsidP="00422E8C">
            <w:r>
              <w:t xml:space="preserve">orange juice </w:t>
            </w:r>
          </w:p>
        </w:tc>
        <w:tc>
          <w:tcPr>
            <w:tcW w:w="2902" w:type="pct"/>
          </w:tcPr>
          <w:p w14:paraId="37CAE58B" w14:textId="77777777" w:rsidR="009621C7" w:rsidRDefault="009621C7" w:rsidP="00422E8C">
            <w:r>
              <w:t>Can be mistaken as ‘OD’ or ‘OS’ (ocular sinister), right or left eye, respectively, and the risk that medicines meant to be diluted in orange juice may be given in the eye</w:t>
            </w:r>
          </w:p>
        </w:tc>
      </w:tr>
      <w:tr w:rsidR="009621C7" w14:paraId="38E058CA" w14:textId="77777777" w:rsidTr="00307F4B">
        <w:trPr>
          <w:trHeight w:val="60"/>
        </w:trPr>
        <w:tc>
          <w:tcPr>
            <w:tcW w:w="862" w:type="pct"/>
          </w:tcPr>
          <w:p w14:paraId="698BC34B" w14:textId="77777777" w:rsidR="009621C7" w:rsidRDefault="009621C7" w:rsidP="00422E8C">
            <w:r>
              <w:t>OS, OD</w:t>
            </w:r>
          </w:p>
        </w:tc>
        <w:tc>
          <w:tcPr>
            <w:tcW w:w="1236" w:type="pct"/>
          </w:tcPr>
          <w:p w14:paraId="31CFFF2C" w14:textId="77777777" w:rsidR="009621C7" w:rsidRDefault="009621C7" w:rsidP="00422E8C">
            <w:r>
              <w:t>left eye, right eye</w:t>
            </w:r>
          </w:p>
        </w:tc>
        <w:tc>
          <w:tcPr>
            <w:tcW w:w="2902" w:type="pct"/>
          </w:tcPr>
          <w:p w14:paraId="137CF62E" w14:textId="77777777" w:rsidR="009621C7" w:rsidRDefault="009621C7" w:rsidP="00422E8C">
            <w:r>
              <w:t>Latin terms that are not always understood by all people (OS – oculus sinister and OD – oculus dexter)</w:t>
            </w:r>
          </w:p>
          <w:p w14:paraId="3BFD0938" w14:textId="77777777" w:rsidR="009621C7" w:rsidRDefault="009621C7" w:rsidP="00422E8C">
            <w:r>
              <w:t xml:space="preserve">Can be mistaken for ‘once a day’ or ‘daily’ </w:t>
            </w:r>
          </w:p>
          <w:p w14:paraId="75578042" w14:textId="5A067FBF" w:rsidR="009621C7" w:rsidRDefault="009621C7" w:rsidP="00422E8C">
            <w:r>
              <w:rPr>
                <w:rStyle w:val="Emphasis"/>
              </w:rPr>
              <w:t>See</w:t>
            </w:r>
            <w:r>
              <w:t xml:space="preserve"> </w:t>
            </w:r>
            <w:r w:rsidR="00E7512B" w:rsidRPr="00E7512B">
              <w:rPr>
                <w:rStyle w:val="Cross-reference"/>
              </w:rPr>
              <w:fldChar w:fldCharType="begin"/>
            </w:r>
            <w:r w:rsidR="00E7512B" w:rsidRPr="00E7512B">
              <w:rPr>
                <w:rStyle w:val="Cross-reference"/>
              </w:rPr>
              <w:instrText xml:space="preserve"> REF TE \h </w:instrText>
            </w:r>
            <w:r w:rsidR="00E7512B">
              <w:rPr>
                <w:rStyle w:val="Cross-reference"/>
              </w:rPr>
              <w:instrText xml:space="preserve"> \* MERGEFORMAT </w:instrText>
            </w:r>
            <w:r w:rsidR="00E7512B" w:rsidRPr="00E7512B">
              <w:rPr>
                <w:rStyle w:val="Cross-reference"/>
              </w:rPr>
            </w:r>
            <w:r w:rsidR="00E7512B" w:rsidRPr="00E7512B">
              <w:rPr>
                <w:rStyle w:val="Cross-reference"/>
              </w:rPr>
              <w:fldChar w:fldCharType="separate"/>
            </w:r>
            <w:r w:rsidR="00E7512B" w:rsidRPr="00E7512B">
              <w:rPr>
                <w:rStyle w:val="Cross-reference"/>
              </w:rPr>
              <w:t>Table E</w:t>
            </w:r>
            <w:r w:rsidR="00E7512B" w:rsidRPr="00E7512B">
              <w:rPr>
                <w:rStyle w:val="Cross-reference"/>
              </w:rPr>
              <w:fldChar w:fldCharType="end"/>
            </w:r>
            <w:r>
              <w:t xml:space="preserve"> for acceptable abbreviations for routes of administration</w:t>
            </w:r>
          </w:p>
        </w:tc>
      </w:tr>
      <w:tr w:rsidR="009621C7" w14:paraId="731C5C2A" w14:textId="77777777" w:rsidTr="00307F4B">
        <w:trPr>
          <w:cnfStyle w:val="000000100000" w:firstRow="0" w:lastRow="0" w:firstColumn="0" w:lastColumn="0" w:oddVBand="0" w:evenVBand="0" w:oddHBand="1" w:evenHBand="0" w:firstRowFirstColumn="0" w:firstRowLastColumn="0" w:lastRowFirstColumn="0" w:lastRowLastColumn="0"/>
          <w:trHeight w:val="1040"/>
        </w:trPr>
        <w:tc>
          <w:tcPr>
            <w:tcW w:w="862" w:type="pct"/>
          </w:tcPr>
          <w:p w14:paraId="11BB1E1E" w14:textId="77777777" w:rsidR="009621C7" w:rsidRDefault="009621C7" w:rsidP="00422E8C">
            <w:r>
              <w:t>Q1H, Q4H, Q6H, Q8H, etc.</w:t>
            </w:r>
          </w:p>
        </w:tc>
        <w:tc>
          <w:tcPr>
            <w:tcW w:w="1236" w:type="pct"/>
          </w:tcPr>
          <w:p w14:paraId="527F2B7B" w14:textId="77777777" w:rsidR="009621C7" w:rsidRDefault="009621C7" w:rsidP="00422E8C">
            <w:r>
              <w:t>‘hourly’, ‘every 4 hrs’, ‘every 4 hours’, etc.</w:t>
            </w:r>
          </w:p>
        </w:tc>
        <w:tc>
          <w:tcPr>
            <w:tcW w:w="2902" w:type="pct"/>
          </w:tcPr>
          <w:p w14:paraId="73B3EB91" w14:textId="77777777" w:rsidR="009621C7" w:rsidRDefault="009621C7" w:rsidP="00422E8C">
            <w:r>
              <w:t>Latin term that is not always understood by all people</w:t>
            </w:r>
          </w:p>
          <w:p w14:paraId="58610A5E" w14:textId="77777777" w:rsidR="009621C7" w:rsidRDefault="009621C7" w:rsidP="00422E8C">
            <w:r>
              <w:t>Can be confused with other unsafe abbreviations</w:t>
            </w:r>
          </w:p>
          <w:p w14:paraId="1DD7992F" w14:textId="4337B03D" w:rsidR="009621C7" w:rsidRDefault="009621C7" w:rsidP="00422E8C">
            <w:r>
              <w:rPr>
                <w:rStyle w:val="Emphasis"/>
              </w:rPr>
              <w:t>See</w:t>
            </w:r>
            <w:r>
              <w:t xml:space="preserve"> </w:t>
            </w:r>
            <w:r w:rsidR="00E7512B" w:rsidRPr="00E7512B">
              <w:rPr>
                <w:rStyle w:val="Cross-reference"/>
              </w:rPr>
              <w:fldChar w:fldCharType="begin"/>
            </w:r>
            <w:r w:rsidR="00E7512B" w:rsidRPr="00E7512B">
              <w:rPr>
                <w:rStyle w:val="Cross-reference"/>
              </w:rPr>
              <w:instrText xml:space="preserve"> REF TD \h </w:instrText>
            </w:r>
            <w:r w:rsidR="00E7512B">
              <w:rPr>
                <w:rStyle w:val="Cross-reference"/>
              </w:rPr>
              <w:instrText xml:space="preserve"> \* MERGEFORMAT </w:instrText>
            </w:r>
            <w:r w:rsidR="00E7512B" w:rsidRPr="00E7512B">
              <w:rPr>
                <w:rStyle w:val="Cross-reference"/>
              </w:rPr>
            </w:r>
            <w:r w:rsidR="00E7512B" w:rsidRPr="00E7512B">
              <w:rPr>
                <w:rStyle w:val="Cross-reference"/>
              </w:rPr>
              <w:fldChar w:fldCharType="separate"/>
            </w:r>
            <w:r w:rsidR="00E7512B" w:rsidRPr="00E7512B">
              <w:rPr>
                <w:rStyle w:val="Cross-reference"/>
              </w:rPr>
              <w:t>Table D</w:t>
            </w:r>
            <w:r w:rsidR="00E7512B" w:rsidRPr="00E7512B">
              <w:rPr>
                <w:rStyle w:val="Cross-reference"/>
              </w:rPr>
              <w:fldChar w:fldCharType="end"/>
            </w:r>
            <w:r w:rsidR="00E7512B">
              <w:t xml:space="preserve"> </w:t>
            </w:r>
            <w:r>
              <w:t>for acceptable abbreviations for dose frequency and timing</w:t>
            </w:r>
          </w:p>
        </w:tc>
      </w:tr>
      <w:tr w:rsidR="009621C7" w14:paraId="02ADEA27" w14:textId="77777777" w:rsidTr="00307F4B">
        <w:trPr>
          <w:trHeight w:val="508"/>
        </w:trPr>
        <w:tc>
          <w:tcPr>
            <w:tcW w:w="862" w:type="pct"/>
          </w:tcPr>
          <w:p w14:paraId="2208AB06" w14:textId="77777777" w:rsidR="009621C7" w:rsidRDefault="009621C7" w:rsidP="00422E8C">
            <w:r>
              <w:t xml:space="preserve">QD, </w:t>
            </w:r>
            <w:proofErr w:type="spellStart"/>
            <w:r>
              <w:t>qd</w:t>
            </w:r>
            <w:proofErr w:type="spellEnd"/>
            <w:r>
              <w:t>, Q.D.</w:t>
            </w:r>
          </w:p>
        </w:tc>
        <w:tc>
          <w:tcPr>
            <w:tcW w:w="1236" w:type="pct"/>
          </w:tcPr>
          <w:p w14:paraId="4195D115" w14:textId="77777777" w:rsidR="009621C7" w:rsidRDefault="009621C7" w:rsidP="00422E8C">
            <w:r>
              <w:t>‘daily’</w:t>
            </w:r>
          </w:p>
        </w:tc>
        <w:tc>
          <w:tcPr>
            <w:tcW w:w="2902" w:type="pct"/>
          </w:tcPr>
          <w:p w14:paraId="2B82EC8B" w14:textId="77777777" w:rsidR="009621C7" w:rsidRDefault="009621C7" w:rsidP="00422E8C">
            <w:r>
              <w:t>Latin term that is not always understood by all people</w:t>
            </w:r>
          </w:p>
          <w:p w14:paraId="58B96923" w14:textId="77777777" w:rsidR="009621C7" w:rsidRDefault="009621C7" w:rsidP="00422E8C">
            <w:r>
              <w:t>Can be mistaken for ‘QID’, for instance, instead of once a day the intended dose could be given four times a day in error</w:t>
            </w:r>
          </w:p>
          <w:p w14:paraId="5C0338FB" w14:textId="693669DE" w:rsidR="009621C7" w:rsidRDefault="009621C7" w:rsidP="00422E8C">
            <w:r>
              <w:rPr>
                <w:rStyle w:val="Emphasis"/>
              </w:rPr>
              <w:t>See</w:t>
            </w:r>
            <w:r>
              <w:t xml:space="preserve"> </w:t>
            </w:r>
            <w:r w:rsidR="00E7512B" w:rsidRPr="00E7512B">
              <w:rPr>
                <w:rStyle w:val="Cross-reference"/>
              </w:rPr>
              <w:fldChar w:fldCharType="begin"/>
            </w:r>
            <w:r w:rsidR="00E7512B" w:rsidRPr="00E7512B">
              <w:rPr>
                <w:rStyle w:val="Cross-reference"/>
              </w:rPr>
              <w:instrText xml:space="preserve"> REF TD \h </w:instrText>
            </w:r>
            <w:r w:rsidR="00E7512B">
              <w:rPr>
                <w:rStyle w:val="Cross-reference"/>
              </w:rPr>
              <w:instrText xml:space="preserve"> \* MERGEFORMAT </w:instrText>
            </w:r>
            <w:r w:rsidR="00E7512B" w:rsidRPr="00E7512B">
              <w:rPr>
                <w:rStyle w:val="Cross-reference"/>
              </w:rPr>
            </w:r>
            <w:r w:rsidR="00E7512B" w:rsidRPr="00E7512B">
              <w:rPr>
                <w:rStyle w:val="Cross-reference"/>
              </w:rPr>
              <w:fldChar w:fldCharType="separate"/>
            </w:r>
            <w:r w:rsidR="00E7512B" w:rsidRPr="00E7512B">
              <w:rPr>
                <w:rStyle w:val="Cross-reference"/>
              </w:rPr>
              <w:t>Table D</w:t>
            </w:r>
            <w:r w:rsidR="00E7512B" w:rsidRPr="00E7512B">
              <w:rPr>
                <w:rStyle w:val="Cross-reference"/>
              </w:rPr>
              <w:fldChar w:fldCharType="end"/>
            </w:r>
            <w:r w:rsidR="00E7512B">
              <w:t xml:space="preserve"> </w:t>
            </w:r>
            <w:r>
              <w:t>for acceptable abbreviations for dose frequency and timing</w:t>
            </w:r>
          </w:p>
        </w:tc>
      </w:tr>
      <w:tr w:rsidR="009621C7" w14:paraId="7CFB05FE" w14:textId="77777777" w:rsidTr="00307F4B">
        <w:trPr>
          <w:cnfStyle w:val="000000100000" w:firstRow="0" w:lastRow="0" w:firstColumn="0" w:lastColumn="0" w:oddVBand="0" w:evenVBand="0" w:oddHBand="1" w:evenHBand="0" w:firstRowFirstColumn="0" w:firstRowLastColumn="0" w:lastRowFirstColumn="0" w:lastRowLastColumn="0"/>
          <w:trHeight w:val="146"/>
        </w:trPr>
        <w:tc>
          <w:tcPr>
            <w:tcW w:w="862" w:type="pct"/>
          </w:tcPr>
          <w:p w14:paraId="64FC7C09" w14:textId="77777777" w:rsidR="009621C7" w:rsidRDefault="009621C7" w:rsidP="00422E8C">
            <w:r>
              <w:t xml:space="preserve">QDS, </w:t>
            </w:r>
            <w:proofErr w:type="spellStart"/>
            <w:r>
              <w:t>qds</w:t>
            </w:r>
            <w:proofErr w:type="spellEnd"/>
          </w:p>
        </w:tc>
        <w:tc>
          <w:tcPr>
            <w:tcW w:w="1236" w:type="pct"/>
          </w:tcPr>
          <w:p w14:paraId="452F4302" w14:textId="77777777" w:rsidR="009621C7" w:rsidRDefault="009621C7" w:rsidP="00422E8C">
            <w:r>
              <w:t>‘</w:t>
            </w:r>
            <w:proofErr w:type="gramStart"/>
            <w:r>
              <w:t>four</w:t>
            </w:r>
            <w:proofErr w:type="gramEnd"/>
            <w:r>
              <w:t xml:space="preserve"> times a day’</w:t>
            </w:r>
          </w:p>
        </w:tc>
        <w:tc>
          <w:tcPr>
            <w:tcW w:w="2902" w:type="pct"/>
          </w:tcPr>
          <w:p w14:paraId="412A771F" w14:textId="77777777" w:rsidR="009621C7" w:rsidRDefault="009621C7" w:rsidP="00422E8C">
            <w:r>
              <w:t>Latin term that is not always understood by all people</w:t>
            </w:r>
          </w:p>
          <w:p w14:paraId="1528C079" w14:textId="77777777" w:rsidR="009621C7" w:rsidRDefault="009621C7" w:rsidP="00422E8C">
            <w:r>
              <w:t>Can be confused with other unsafe abbreviations</w:t>
            </w:r>
          </w:p>
          <w:p w14:paraId="576C9E20" w14:textId="76408E26" w:rsidR="009621C7" w:rsidRDefault="009621C7" w:rsidP="00422E8C">
            <w:r>
              <w:rPr>
                <w:rStyle w:val="Emphasis"/>
              </w:rPr>
              <w:t>See</w:t>
            </w:r>
            <w:r>
              <w:t xml:space="preserve"> </w:t>
            </w:r>
            <w:r w:rsidR="00E7512B" w:rsidRPr="00E7512B">
              <w:rPr>
                <w:rStyle w:val="Cross-reference"/>
              </w:rPr>
              <w:fldChar w:fldCharType="begin"/>
            </w:r>
            <w:r w:rsidR="00E7512B" w:rsidRPr="00E7512B">
              <w:rPr>
                <w:rStyle w:val="Cross-reference"/>
              </w:rPr>
              <w:instrText xml:space="preserve"> REF TD \h </w:instrText>
            </w:r>
            <w:r w:rsidR="00E7512B">
              <w:rPr>
                <w:rStyle w:val="Cross-reference"/>
              </w:rPr>
              <w:instrText xml:space="preserve"> \* MERGEFORMAT </w:instrText>
            </w:r>
            <w:r w:rsidR="00E7512B" w:rsidRPr="00E7512B">
              <w:rPr>
                <w:rStyle w:val="Cross-reference"/>
              </w:rPr>
            </w:r>
            <w:r w:rsidR="00E7512B" w:rsidRPr="00E7512B">
              <w:rPr>
                <w:rStyle w:val="Cross-reference"/>
              </w:rPr>
              <w:fldChar w:fldCharType="separate"/>
            </w:r>
            <w:r w:rsidR="00E7512B" w:rsidRPr="00E7512B">
              <w:rPr>
                <w:rStyle w:val="Cross-reference"/>
              </w:rPr>
              <w:t>Table D</w:t>
            </w:r>
            <w:r w:rsidR="00E7512B" w:rsidRPr="00E7512B">
              <w:rPr>
                <w:rStyle w:val="Cross-reference"/>
              </w:rPr>
              <w:fldChar w:fldCharType="end"/>
            </w:r>
            <w:r w:rsidR="00E7512B">
              <w:t xml:space="preserve"> </w:t>
            </w:r>
            <w:r>
              <w:t>for acceptable abbreviations for dose frequency and timing</w:t>
            </w:r>
          </w:p>
        </w:tc>
      </w:tr>
      <w:tr w:rsidR="009621C7" w14:paraId="1033C2D6" w14:textId="77777777" w:rsidTr="00307F4B">
        <w:trPr>
          <w:trHeight w:val="146"/>
        </w:trPr>
        <w:tc>
          <w:tcPr>
            <w:tcW w:w="862" w:type="pct"/>
          </w:tcPr>
          <w:p w14:paraId="4521CF58" w14:textId="77777777" w:rsidR="009621C7" w:rsidRDefault="009621C7" w:rsidP="00422E8C">
            <w:proofErr w:type="spellStart"/>
            <w:r>
              <w:t>Qhs</w:t>
            </w:r>
            <w:proofErr w:type="spellEnd"/>
          </w:p>
        </w:tc>
        <w:tc>
          <w:tcPr>
            <w:tcW w:w="1236" w:type="pct"/>
          </w:tcPr>
          <w:p w14:paraId="3D1C365D" w14:textId="77777777" w:rsidR="009621C7" w:rsidRDefault="009621C7" w:rsidP="00422E8C">
            <w:r>
              <w:t>‘</w:t>
            </w:r>
            <w:proofErr w:type="gramStart"/>
            <w:r>
              <w:t>at</w:t>
            </w:r>
            <w:proofErr w:type="gramEnd"/>
            <w:r>
              <w:t xml:space="preserve"> night’, ‘daily at bedtime’</w:t>
            </w:r>
          </w:p>
        </w:tc>
        <w:tc>
          <w:tcPr>
            <w:tcW w:w="2902" w:type="pct"/>
          </w:tcPr>
          <w:p w14:paraId="7E5E6DFD" w14:textId="77777777" w:rsidR="009621C7" w:rsidRDefault="009621C7" w:rsidP="00422E8C">
            <w:r>
              <w:t>Latin term that is not always understood by all people</w:t>
            </w:r>
          </w:p>
          <w:p w14:paraId="07AE8BCF" w14:textId="77777777" w:rsidR="009621C7" w:rsidRDefault="009621C7" w:rsidP="00422E8C">
            <w:r>
              <w:t>Can be mistaken for ‘every hour’</w:t>
            </w:r>
          </w:p>
          <w:p w14:paraId="4E363248" w14:textId="2BE5D9BF" w:rsidR="009621C7" w:rsidRDefault="009621C7" w:rsidP="00422E8C">
            <w:r>
              <w:rPr>
                <w:rStyle w:val="Emphasis"/>
              </w:rPr>
              <w:t>See</w:t>
            </w:r>
            <w:r>
              <w:t xml:space="preserve"> </w:t>
            </w:r>
            <w:r w:rsidR="00E7512B" w:rsidRPr="00E7512B">
              <w:rPr>
                <w:rStyle w:val="Cross-reference"/>
              </w:rPr>
              <w:fldChar w:fldCharType="begin"/>
            </w:r>
            <w:r w:rsidR="00E7512B" w:rsidRPr="00E7512B">
              <w:rPr>
                <w:rStyle w:val="Cross-reference"/>
              </w:rPr>
              <w:instrText xml:space="preserve"> REF TD \h </w:instrText>
            </w:r>
            <w:r w:rsidR="00E7512B">
              <w:rPr>
                <w:rStyle w:val="Cross-reference"/>
              </w:rPr>
              <w:instrText xml:space="preserve"> \* MERGEFORMAT </w:instrText>
            </w:r>
            <w:r w:rsidR="00E7512B" w:rsidRPr="00E7512B">
              <w:rPr>
                <w:rStyle w:val="Cross-reference"/>
              </w:rPr>
            </w:r>
            <w:r w:rsidR="00E7512B" w:rsidRPr="00E7512B">
              <w:rPr>
                <w:rStyle w:val="Cross-reference"/>
              </w:rPr>
              <w:fldChar w:fldCharType="separate"/>
            </w:r>
            <w:r w:rsidR="00E7512B" w:rsidRPr="00E7512B">
              <w:rPr>
                <w:rStyle w:val="Cross-reference"/>
              </w:rPr>
              <w:t>Table D</w:t>
            </w:r>
            <w:r w:rsidR="00E7512B" w:rsidRPr="00E7512B">
              <w:rPr>
                <w:rStyle w:val="Cross-reference"/>
              </w:rPr>
              <w:fldChar w:fldCharType="end"/>
            </w:r>
            <w:r w:rsidR="00E7512B">
              <w:t xml:space="preserve"> </w:t>
            </w:r>
            <w:r>
              <w:t>for acceptable abbreviations for dose frequency and timing</w:t>
            </w:r>
          </w:p>
        </w:tc>
      </w:tr>
      <w:tr w:rsidR="009621C7" w14:paraId="6EAE3EF3" w14:textId="77777777" w:rsidTr="00307F4B">
        <w:trPr>
          <w:cnfStyle w:val="000000100000" w:firstRow="0" w:lastRow="0" w:firstColumn="0" w:lastColumn="0" w:oddVBand="0" w:evenVBand="0" w:oddHBand="1" w:evenHBand="0" w:firstRowFirstColumn="0" w:firstRowLastColumn="0" w:lastRowFirstColumn="0" w:lastRowLastColumn="0"/>
          <w:trHeight w:val="146"/>
        </w:trPr>
        <w:tc>
          <w:tcPr>
            <w:tcW w:w="862" w:type="pct"/>
          </w:tcPr>
          <w:p w14:paraId="2CC63494" w14:textId="77777777" w:rsidR="009621C7" w:rsidRDefault="009621C7" w:rsidP="00422E8C">
            <w:r>
              <w:lastRenderedPageBreak/>
              <w:t xml:space="preserve">QOD, </w:t>
            </w:r>
            <w:proofErr w:type="spellStart"/>
            <w:r>
              <w:t>qod</w:t>
            </w:r>
            <w:proofErr w:type="spellEnd"/>
          </w:p>
        </w:tc>
        <w:tc>
          <w:tcPr>
            <w:tcW w:w="1236" w:type="pct"/>
          </w:tcPr>
          <w:p w14:paraId="4ADBEB61" w14:textId="77777777" w:rsidR="009621C7" w:rsidRDefault="009621C7" w:rsidP="00422E8C">
            <w:r>
              <w:t>‘</w:t>
            </w:r>
            <w:proofErr w:type="gramStart"/>
            <w:r>
              <w:t>every</w:t>
            </w:r>
            <w:proofErr w:type="gramEnd"/>
            <w:r>
              <w:t xml:space="preserve"> second day’, ‘on alternate days’</w:t>
            </w:r>
          </w:p>
        </w:tc>
        <w:tc>
          <w:tcPr>
            <w:tcW w:w="2902" w:type="pct"/>
          </w:tcPr>
          <w:p w14:paraId="71E1CB5E" w14:textId="77777777" w:rsidR="009621C7" w:rsidRDefault="009621C7" w:rsidP="00422E8C">
            <w:r>
              <w:t>Latin term that is not always understood by all people</w:t>
            </w:r>
          </w:p>
          <w:p w14:paraId="7E43BAE6" w14:textId="77777777" w:rsidR="009621C7" w:rsidRDefault="009621C7" w:rsidP="00422E8C">
            <w:r>
              <w:t>Can be confused with other unsafe abbreviations</w:t>
            </w:r>
          </w:p>
          <w:p w14:paraId="0765FD2C" w14:textId="2F280B7F" w:rsidR="009621C7" w:rsidRDefault="009621C7" w:rsidP="00422E8C">
            <w:r>
              <w:rPr>
                <w:rStyle w:val="Emphasis"/>
              </w:rPr>
              <w:t>See</w:t>
            </w:r>
            <w:r>
              <w:t xml:space="preserve"> </w:t>
            </w:r>
            <w:r w:rsidR="00E7512B" w:rsidRPr="00E7512B">
              <w:rPr>
                <w:rStyle w:val="Cross-reference"/>
              </w:rPr>
              <w:fldChar w:fldCharType="begin"/>
            </w:r>
            <w:r w:rsidR="00E7512B" w:rsidRPr="00E7512B">
              <w:rPr>
                <w:rStyle w:val="Cross-reference"/>
              </w:rPr>
              <w:instrText xml:space="preserve"> REF TD \h </w:instrText>
            </w:r>
            <w:r w:rsidR="00E7512B">
              <w:rPr>
                <w:rStyle w:val="Cross-reference"/>
              </w:rPr>
              <w:instrText xml:space="preserve"> \* MERGEFORMAT </w:instrText>
            </w:r>
            <w:r w:rsidR="00E7512B" w:rsidRPr="00E7512B">
              <w:rPr>
                <w:rStyle w:val="Cross-reference"/>
              </w:rPr>
            </w:r>
            <w:r w:rsidR="00E7512B" w:rsidRPr="00E7512B">
              <w:rPr>
                <w:rStyle w:val="Cross-reference"/>
              </w:rPr>
              <w:fldChar w:fldCharType="separate"/>
            </w:r>
            <w:r w:rsidR="00E7512B" w:rsidRPr="00E7512B">
              <w:rPr>
                <w:rStyle w:val="Cross-reference"/>
              </w:rPr>
              <w:t>Table D</w:t>
            </w:r>
            <w:r w:rsidR="00E7512B" w:rsidRPr="00E7512B">
              <w:rPr>
                <w:rStyle w:val="Cross-reference"/>
              </w:rPr>
              <w:fldChar w:fldCharType="end"/>
            </w:r>
            <w:r w:rsidR="00E7512B">
              <w:t xml:space="preserve"> </w:t>
            </w:r>
            <w:r>
              <w:t>for acceptable abbreviations for dose frequency and timing</w:t>
            </w:r>
          </w:p>
        </w:tc>
      </w:tr>
      <w:tr w:rsidR="009621C7" w14:paraId="69EB3879" w14:textId="77777777" w:rsidTr="00307F4B">
        <w:trPr>
          <w:trHeight w:val="146"/>
        </w:trPr>
        <w:tc>
          <w:tcPr>
            <w:tcW w:w="862" w:type="pct"/>
          </w:tcPr>
          <w:p w14:paraId="2DB1D26F" w14:textId="77777777" w:rsidR="009621C7" w:rsidRDefault="009621C7" w:rsidP="00422E8C">
            <w:r>
              <w:t xml:space="preserve">SCI, SC, </w:t>
            </w:r>
            <w:proofErr w:type="spellStart"/>
            <w:r>
              <w:t>sc</w:t>
            </w:r>
            <w:proofErr w:type="spellEnd"/>
          </w:p>
        </w:tc>
        <w:tc>
          <w:tcPr>
            <w:tcW w:w="1236" w:type="pct"/>
          </w:tcPr>
          <w:p w14:paraId="19E2C45E" w14:textId="77777777" w:rsidR="009621C7" w:rsidRDefault="009621C7" w:rsidP="00422E8C">
            <w:r>
              <w:t xml:space="preserve">subcutaneous, </w:t>
            </w:r>
            <w:proofErr w:type="spellStart"/>
            <w:r>
              <w:t>subcut</w:t>
            </w:r>
            <w:proofErr w:type="spellEnd"/>
          </w:p>
        </w:tc>
        <w:tc>
          <w:tcPr>
            <w:tcW w:w="2902" w:type="pct"/>
          </w:tcPr>
          <w:p w14:paraId="2B940E09" w14:textId="77777777" w:rsidR="009621C7" w:rsidRDefault="009621C7" w:rsidP="00422E8C">
            <w:r>
              <w:t>Can be confused with other unsafe abbreviations, for instance, mistaken for ‘SL’ (sublingual)</w:t>
            </w:r>
          </w:p>
        </w:tc>
      </w:tr>
      <w:tr w:rsidR="009621C7" w14:paraId="55DD5E83" w14:textId="77777777" w:rsidTr="00307F4B">
        <w:trPr>
          <w:cnfStyle w:val="000000100000" w:firstRow="0" w:lastRow="0" w:firstColumn="0" w:lastColumn="0" w:oddVBand="0" w:evenVBand="0" w:oddHBand="1" w:evenHBand="0" w:firstRowFirstColumn="0" w:firstRowLastColumn="0" w:lastRowFirstColumn="0" w:lastRowLastColumn="0"/>
          <w:trHeight w:val="146"/>
        </w:trPr>
        <w:tc>
          <w:tcPr>
            <w:tcW w:w="862" w:type="pct"/>
          </w:tcPr>
          <w:p w14:paraId="7FE2658D" w14:textId="77777777" w:rsidR="009621C7" w:rsidRDefault="009621C7" w:rsidP="00422E8C">
            <w:r>
              <w:t>SL</w:t>
            </w:r>
          </w:p>
        </w:tc>
        <w:tc>
          <w:tcPr>
            <w:tcW w:w="1236" w:type="pct"/>
          </w:tcPr>
          <w:p w14:paraId="2B5ECC22" w14:textId="77777777" w:rsidR="009621C7" w:rsidRDefault="009621C7" w:rsidP="00422E8C">
            <w:r>
              <w:t xml:space="preserve">sublingual, </w:t>
            </w:r>
            <w:proofErr w:type="spellStart"/>
            <w:r>
              <w:t>subling</w:t>
            </w:r>
            <w:proofErr w:type="spellEnd"/>
          </w:p>
        </w:tc>
        <w:tc>
          <w:tcPr>
            <w:tcW w:w="2902" w:type="pct"/>
          </w:tcPr>
          <w:p w14:paraId="6EC9FC35" w14:textId="77777777" w:rsidR="009621C7" w:rsidRDefault="009621C7" w:rsidP="00422E8C">
            <w:r>
              <w:t>Can be confused with other unsafe abbreviations, for instance, mistaken for ‘SC’ (subcutaneous)</w:t>
            </w:r>
          </w:p>
        </w:tc>
      </w:tr>
      <w:tr w:rsidR="009621C7" w14:paraId="0DDEFB3B" w14:textId="77777777" w:rsidTr="00307F4B">
        <w:trPr>
          <w:trHeight w:val="146"/>
        </w:trPr>
        <w:tc>
          <w:tcPr>
            <w:tcW w:w="862" w:type="pct"/>
          </w:tcPr>
          <w:p w14:paraId="287F98BD" w14:textId="77777777" w:rsidR="009621C7" w:rsidRDefault="009621C7" w:rsidP="00422E8C">
            <w:r>
              <w:t>SS</w:t>
            </w:r>
          </w:p>
        </w:tc>
        <w:tc>
          <w:tcPr>
            <w:tcW w:w="1236" w:type="pct"/>
          </w:tcPr>
          <w:p w14:paraId="421359A3" w14:textId="77777777" w:rsidR="009621C7" w:rsidRDefault="009621C7" w:rsidP="00422E8C">
            <w:r>
              <w:t>single strength</w:t>
            </w:r>
          </w:p>
        </w:tc>
        <w:tc>
          <w:tcPr>
            <w:tcW w:w="2902" w:type="pct"/>
          </w:tcPr>
          <w:p w14:paraId="7B6286EC" w14:textId="77777777" w:rsidR="009621C7" w:rsidRDefault="009621C7" w:rsidP="00422E8C">
            <w:r>
              <w:t>Can be confused with other unsafe abbreviations, for instance, ‘SSI’ (sliding scale insulin)</w:t>
            </w:r>
          </w:p>
        </w:tc>
      </w:tr>
      <w:tr w:rsidR="009621C7" w14:paraId="611F026C" w14:textId="77777777" w:rsidTr="00307F4B">
        <w:trPr>
          <w:cnfStyle w:val="000000100000" w:firstRow="0" w:lastRow="0" w:firstColumn="0" w:lastColumn="0" w:oddVBand="0" w:evenVBand="0" w:oddHBand="1" w:evenHBand="0" w:firstRowFirstColumn="0" w:firstRowLastColumn="0" w:lastRowFirstColumn="0" w:lastRowLastColumn="0"/>
          <w:trHeight w:val="146"/>
        </w:trPr>
        <w:tc>
          <w:tcPr>
            <w:tcW w:w="862" w:type="pct"/>
          </w:tcPr>
          <w:p w14:paraId="3E58C4B3" w14:textId="77777777" w:rsidR="009621C7" w:rsidRDefault="009621C7" w:rsidP="00422E8C">
            <w:r>
              <w:t>SSRI, SSI</w:t>
            </w:r>
          </w:p>
        </w:tc>
        <w:tc>
          <w:tcPr>
            <w:tcW w:w="1236" w:type="pct"/>
          </w:tcPr>
          <w:p w14:paraId="6E7EDEB1" w14:textId="77777777" w:rsidR="009621C7" w:rsidRDefault="009621C7" w:rsidP="00422E8C">
            <w:r>
              <w:t>sliding scale (regular) insulin</w:t>
            </w:r>
          </w:p>
        </w:tc>
        <w:tc>
          <w:tcPr>
            <w:tcW w:w="2902" w:type="pct"/>
          </w:tcPr>
          <w:p w14:paraId="14321A13" w14:textId="77777777" w:rsidR="009621C7" w:rsidRDefault="009621C7" w:rsidP="00422E8C">
            <w:r>
              <w:t>Can be mistaken as ‘Selective Serotonin Reuptake Inhibitor’ or ‘Strong Solution of Iodine’</w:t>
            </w:r>
          </w:p>
        </w:tc>
      </w:tr>
      <w:tr w:rsidR="009621C7" w14:paraId="5D8B50C2" w14:textId="77777777" w:rsidTr="00307F4B">
        <w:trPr>
          <w:trHeight w:val="146"/>
        </w:trPr>
        <w:tc>
          <w:tcPr>
            <w:tcW w:w="862" w:type="pct"/>
          </w:tcPr>
          <w:p w14:paraId="7DACD9EC" w14:textId="77777777" w:rsidR="009621C7" w:rsidRDefault="009621C7" w:rsidP="00422E8C">
            <w:proofErr w:type="spellStart"/>
            <w:r>
              <w:t>tid</w:t>
            </w:r>
            <w:proofErr w:type="spellEnd"/>
          </w:p>
        </w:tc>
        <w:tc>
          <w:tcPr>
            <w:tcW w:w="1236" w:type="pct"/>
          </w:tcPr>
          <w:p w14:paraId="6B313A21" w14:textId="77777777" w:rsidR="009621C7" w:rsidRDefault="009621C7" w:rsidP="00422E8C">
            <w:proofErr w:type="spellStart"/>
            <w:r>
              <w:t>tds</w:t>
            </w:r>
            <w:proofErr w:type="spellEnd"/>
          </w:p>
        </w:tc>
        <w:tc>
          <w:tcPr>
            <w:tcW w:w="2902" w:type="pct"/>
          </w:tcPr>
          <w:p w14:paraId="5A8FE685" w14:textId="77777777" w:rsidR="009621C7" w:rsidRDefault="009621C7" w:rsidP="00422E8C">
            <w:r>
              <w:t xml:space="preserve">Can be confused with other unsafe abbreviations or acceptable </w:t>
            </w:r>
            <w:proofErr w:type="spellStart"/>
            <w:r>
              <w:t>latin</w:t>
            </w:r>
            <w:proofErr w:type="spellEnd"/>
            <w:r>
              <w:t xml:space="preserve"> abbreviations, for instance, mistaken for ‘bd’ (twice daily), especially in handwritten documentation</w:t>
            </w:r>
          </w:p>
        </w:tc>
      </w:tr>
      <w:tr w:rsidR="009621C7" w14:paraId="250D46D9" w14:textId="77777777" w:rsidTr="00307F4B">
        <w:trPr>
          <w:cnfStyle w:val="000000100000" w:firstRow="0" w:lastRow="0" w:firstColumn="0" w:lastColumn="0" w:oddVBand="0" w:evenVBand="0" w:oddHBand="1" w:evenHBand="0" w:firstRowFirstColumn="0" w:firstRowLastColumn="0" w:lastRowFirstColumn="0" w:lastRowLastColumn="0"/>
          <w:trHeight w:val="146"/>
        </w:trPr>
        <w:tc>
          <w:tcPr>
            <w:tcW w:w="862" w:type="pct"/>
          </w:tcPr>
          <w:p w14:paraId="44A61784" w14:textId="77777777" w:rsidR="009621C7" w:rsidRDefault="009621C7" w:rsidP="00422E8C">
            <w:r>
              <w:t xml:space="preserve">TIW, </w:t>
            </w:r>
            <w:proofErr w:type="spellStart"/>
            <w:r>
              <w:t>tiw</w:t>
            </w:r>
            <w:proofErr w:type="spellEnd"/>
          </w:p>
        </w:tc>
        <w:tc>
          <w:tcPr>
            <w:tcW w:w="1236" w:type="pct"/>
          </w:tcPr>
          <w:p w14:paraId="32E0F227" w14:textId="77777777" w:rsidR="009621C7" w:rsidRDefault="009621C7" w:rsidP="00422E8C">
            <w:r>
              <w:t xml:space="preserve">three times a week </w:t>
            </w:r>
          </w:p>
        </w:tc>
        <w:tc>
          <w:tcPr>
            <w:tcW w:w="2902" w:type="pct"/>
          </w:tcPr>
          <w:p w14:paraId="7AB69BC7" w14:textId="77777777" w:rsidR="009621C7" w:rsidRDefault="009621C7" w:rsidP="00422E8C">
            <w:r>
              <w:t>Latin term that is not always understood by all people</w:t>
            </w:r>
          </w:p>
          <w:p w14:paraId="4A832AC9" w14:textId="77777777" w:rsidR="009621C7" w:rsidRDefault="009621C7" w:rsidP="00422E8C">
            <w:r>
              <w:t>Can be confused with other unsafe abbreviations, for instance, mistaken for ‘</w:t>
            </w:r>
            <w:proofErr w:type="spellStart"/>
            <w:r>
              <w:t>tid</w:t>
            </w:r>
            <w:proofErr w:type="spellEnd"/>
            <w:r>
              <w:t>’ (three times daily) or ‘twice a week’, especially in handwritten documentation</w:t>
            </w:r>
          </w:p>
        </w:tc>
      </w:tr>
      <w:tr w:rsidR="009621C7" w14:paraId="7F46D3B4" w14:textId="77777777" w:rsidTr="00307F4B">
        <w:trPr>
          <w:trHeight w:val="146"/>
        </w:trPr>
        <w:tc>
          <w:tcPr>
            <w:tcW w:w="862" w:type="pct"/>
          </w:tcPr>
          <w:p w14:paraId="0963C6E8" w14:textId="77777777" w:rsidR="009621C7" w:rsidRDefault="009621C7" w:rsidP="00422E8C">
            <w:r>
              <w:t>TOP, top</w:t>
            </w:r>
          </w:p>
        </w:tc>
        <w:tc>
          <w:tcPr>
            <w:tcW w:w="1236" w:type="pct"/>
          </w:tcPr>
          <w:p w14:paraId="53D25E1D" w14:textId="77777777" w:rsidR="009621C7" w:rsidRDefault="009621C7" w:rsidP="00422E8C">
            <w:r>
              <w:t>‘topical’</w:t>
            </w:r>
          </w:p>
        </w:tc>
        <w:tc>
          <w:tcPr>
            <w:tcW w:w="2902" w:type="pct"/>
          </w:tcPr>
          <w:p w14:paraId="48716257" w14:textId="77777777" w:rsidR="009621C7" w:rsidRDefault="009621C7" w:rsidP="00422E8C">
            <w:r>
              <w:t>Can be mistaken for other routes of administration or ‘TAB’ (tablet), especially in handwritten documentation</w:t>
            </w:r>
          </w:p>
          <w:p w14:paraId="40D67B59" w14:textId="7E1DE1B0" w:rsidR="009621C7" w:rsidRDefault="009621C7" w:rsidP="00422E8C">
            <w:r>
              <w:rPr>
                <w:rStyle w:val="Emphasis"/>
              </w:rPr>
              <w:t>See</w:t>
            </w:r>
            <w:r>
              <w:t xml:space="preserve"> </w:t>
            </w:r>
            <w:r w:rsidR="00E7512B" w:rsidRPr="00E7512B">
              <w:rPr>
                <w:rStyle w:val="Cross-reference"/>
              </w:rPr>
              <w:fldChar w:fldCharType="begin"/>
            </w:r>
            <w:r w:rsidR="00E7512B" w:rsidRPr="00E7512B">
              <w:rPr>
                <w:rStyle w:val="Cross-reference"/>
              </w:rPr>
              <w:instrText xml:space="preserve"> REF TE \h </w:instrText>
            </w:r>
            <w:r w:rsidR="00E7512B">
              <w:rPr>
                <w:rStyle w:val="Cross-reference"/>
              </w:rPr>
              <w:instrText xml:space="preserve"> \* MERGEFORMAT </w:instrText>
            </w:r>
            <w:r w:rsidR="00E7512B" w:rsidRPr="00E7512B">
              <w:rPr>
                <w:rStyle w:val="Cross-reference"/>
              </w:rPr>
            </w:r>
            <w:r w:rsidR="00E7512B" w:rsidRPr="00E7512B">
              <w:rPr>
                <w:rStyle w:val="Cross-reference"/>
              </w:rPr>
              <w:fldChar w:fldCharType="separate"/>
            </w:r>
            <w:r w:rsidR="00E7512B" w:rsidRPr="00E7512B">
              <w:rPr>
                <w:rStyle w:val="Cross-reference"/>
              </w:rPr>
              <w:t>Table E</w:t>
            </w:r>
            <w:r w:rsidR="00E7512B" w:rsidRPr="00E7512B">
              <w:rPr>
                <w:rStyle w:val="Cross-reference"/>
              </w:rPr>
              <w:fldChar w:fldCharType="end"/>
            </w:r>
            <w:r>
              <w:t xml:space="preserve"> for acceptable abbreviations for routes of administration</w:t>
            </w:r>
          </w:p>
        </w:tc>
      </w:tr>
      <w:tr w:rsidR="009621C7" w14:paraId="57F33441" w14:textId="77777777" w:rsidTr="00307F4B">
        <w:trPr>
          <w:cnfStyle w:val="000000100000" w:firstRow="0" w:lastRow="0" w:firstColumn="0" w:lastColumn="0" w:oddVBand="0" w:evenVBand="0" w:oddHBand="1" w:evenHBand="0" w:firstRowFirstColumn="0" w:firstRowLastColumn="0" w:lastRowFirstColumn="0" w:lastRowLastColumn="0"/>
          <w:trHeight w:val="146"/>
        </w:trPr>
        <w:tc>
          <w:tcPr>
            <w:tcW w:w="862" w:type="pct"/>
          </w:tcPr>
          <w:p w14:paraId="5B34A071" w14:textId="77777777" w:rsidR="009621C7" w:rsidRDefault="009621C7" w:rsidP="00422E8C">
            <w:r>
              <w:t>TPT</w:t>
            </w:r>
          </w:p>
        </w:tc>
        <w:tc>
          <w:tcPr>
            <w:tcW w:w="1236" w:type="pct"/>
          </w:tcPr>
          <w:p w14:paraId="0CFBF93A" w14:textId="77777777" w:rsidR="009621C7" w:rsidRDefault="009621C7" w:rsidP="00422E8C">
            <w:r>
              <w:t>‘</w:t>
            </w:r>
            <w:proofErr w:type="gramStart"/>
            <w:r>
              <w:t>transpyloric</w:t>
            </w:r>
            <w:proofErr w:type="gramEnd"/>
            <w:r>
              <w:t xml:space="preserve"> tube’</w:t>
            </w:r>
          </w:p>
        </w:tc>
        <w:tc>
          <w:tcPr>
            <w:tcW w:w="2902" w:type="pct"/>
          </w:tcPr>
          <w:p w14:paraId="3994E84F" w14:textId="77777777" w:rsidR="009621C7" w:rsidRDefault="009621C7" w:rsidP="00422E8C">
            <w:r>
              <w:t>Can be mistaken for other routes of administration and/or confused with ‘TPLT’ which is often abbreviated for ‘transplant’ and is not an acceptable abbreviation</w:t>
            </w:r>
          </w:p>
          <w:p w14:paraId="20A0E80E" w14:textId="1B6D9C2B" w:rsidR="009621C7" w:rsidRDefault="009621C7" w:rsidP="00422E8C">
            <w:r>
              <w:rPr>
                <w:rStyle w:val="Emphasis"/>
              </w:rPr>
              <w:t>See</w:t>
            </w:r>
            <w:r>
              <w:t xml:space="preserve"> </w:t>
            </w:r>
            <w:r w:rsidR="00E7512B" w:rsidRPr="00E7512B">
              <w:rPr>
                <w:rStyle w:val="Cross-reference"/>
              </w:rPr>
              <w:fldChar w:fldCharType="begin"/>
            </w:r>
            <w:r w:rsidR="00E7512B" w:rsidRPr="00E7512B">
              <w:rPr>
                <w:rStyle w:val="Cross-reference"/>
              </w:rPr>
              <w:instrText xml:space="preserve"> REF P16 \h </w:instrText>
            </w:r>
            <w:r w:rsidR="00E7512B">
              <w:rPr>
                <w:rStyle w:val="Cross-reference"/>
              </w:rPr>
              <w:instrText xml:space="preserve"> \* MERGEFORMAT </w:instrText>
            </w:r>
            <w:r w:rsidR="00E7512B" w:rsidRPr="00E7512B">
              <w:rPr>
                <w:rStyle w:val="Cross-reference"/>
              </w:rPr>
            </w:r>
            <w:r w:rsidR="00E7512B" w:rsidRPr="00E7512B">
              <w:rPr>
                <w:rStyle w:val="Cross-reference"/>
              </w:rPr>
              <w:fldChar w:fldCharType="separate"/>
            </w:r>
            <w:r w:rsidR="00E7512B" w:rsidRPr="00E7512B">
              <w:rPr>
                <w:rStyle w:val="Cross-reference"/>
              </w:rPr>
              <w:t xml:space="preserve">Best Practice </w:t>
            </w:r>
            <w:proofErr w:type="gramStart"/>
            <w:r w:rsidR="00E7512B" w:rsidRPr="00E7512B">
              <w:rPr>
                <w:rStyle w:val="Cross-reference"/>
              </w:rPr>
              <w:t>Principle</w:t>
            </w:r>
            <w:proofErr w:type="gramEnd"/>
            <w:r w:rsidR="00E7512B" w:rsidRPr="00E7512B">
              <w:rPr>
                <w:rStyle w:val="Cross-reference"/>
              </w:rPr>
              <w:t> 16</w:t>
            </w:r>
            <w:r w:rsidR="00E7512B" w:rsidRPr="00E7512B">
              <w:rPr>
                <w:rStyle w:val="Cross-reference"/>
              </w:rPr>
              <w:fldChar w:fldCharType="end"/>
            </w:r>
            <w:r w:rsidR="00E7512B">
              <w:t xml:space="preserve"> </w:t>
            </w:r>
            <w:r>
              <w:t xml:space="preserve">and </w:t>
            </w:r>
            <w:r w:rsidR="00E7512B" w:rsidRPr="00E7512B">
              <w:rPr>
                <w:rStyle w:val="Cross-reference"/>
              </w:rPr>
              <w:fldChar w:fldCharType="begin"/>
            </w:r>
            <w:r w:rsidR="00E7512B" w:rsidRPr="00E7512B">
              <w:rPr>
                <w:rStyle w:val="Cross-reference"/>
              </w:rPr>
              <w:instrText xml:space="preserve"> REF TE \h </w:instrText>
            </w:r>
            <w:r w:rsidR="00E7512B">
              <w:rPr>
                <w:rStyle w:val="Cross-reference"/>
              </w:rPr>
              <w:instrText xml:space="preserve"> \* MERGEFORMAT </w:instrText>
            </w:r>
            <w:r w:rsidR="00E7512B" w:rsidRPr="00E7512B">
              <w:rPr>
                <w:rStyle w:val="Cross-reference"/>
              </w:rPr>
            </w:r>
            <w:r w:rsidR="00E7512B" w:rsidRPr="00E7512B">
              <w:rPr>
                <w:rStyle w:val="Cross-reference"/>
              </w:rPr>
              <w:fldChar w:fldCharType="separate"/>
            </w:r>
            <w:r w:rsidR="00E7512B" w:rsidRPr="00E7512B">
              <w:rPr>
                <w:rStyle w:val="Cross-reference"/>
              </w:rPr>
              <w:t>Table E</w:t>
            </w:r>
            <w:r w:rsidR="00E7512B" w:rsidRPr="00E7512B">
              <w:rPr>
                <w:rStyle w:val="Cross-reference"/>
              </w:rPr>
              <w:fldChar w:fldCharType="end"/>
            </w:r>
            <w:r>
              <w:t xml:space="preserve"> for acceptable abbreviations for routes of administration</w:t>
            </w:r>
          </w:p>
        </w:tc>
      </w:tr>
      <w:tr w:rsidR="009621C7" w14:paraId="77584BBD" w14:textId="77777777" w:rsidTr="00307F4B">
        <w:trPr>
          <w:trHeight w:val="403"/>
        </w:trPr>
        <w:tc>
          <w:tcPr>
            <w:tcW w:w="862" w:type="pct"/>
          </w:tcPr>
          <w:p w14:paraId="28289348" w14:textId="77777777" w:rsidR="009621C7" w:rsidRDefault="009621C7" w:rsidP="00422E8C">
            <w:r>
              <w:t xml:space="preserve">U or u </w:t>
            </w:r>
          </w:p>
        </w:tc>
        <w:tc>
          <w:tcPr>
            <w:tcW w:w="1236" w:type="pct"/>
          </w:tcPr>
          <w:p w14:paraId="37A6F9B0" w14:textId="77777777" w:rsidR="009621C7" w:rsidRDefault="009621C7" w:rsidP="00422E8C">
            <w:r>
              <w:t>unit(s)</w:t>
            </w:r>
          </w:p>
        </w:tc>
        <w:tc>
          <w:tcPr>
            <w:tcW w:w="2902" w:type="pct"/>
          </w:tcPr>
          <w:p w14:paraId="1BC5A82F" w14:textId="77777777" w:rsidR="009621C7" w:rsidRDefault="009621C7" w:rsidP="00422E8C">
            <w:r>
              <w:t>Can be mistaken as the number ‘0’ or ‘4’, causing a 10</w:t>
            </w:r>
            <w:r>
              <w:rPr>
                <w:rFonts w:ascii="Cambria Math" w:hAnsi="Cambria Math" w:cs="Cambria Math"/>
              </w:rPr>
              <w:t>‑</w:t>
            </w:r>
            <w:r>
              <w:t>fold overdose or greater, for example, ‘8U’ seen as ‘80’ or ‘4u’ seen as ‘44’</w:t>
            </w:r>
          </w:p>
          <w:p w14:paraId="08D1E559" w14:textId="77777777" w:rsidR="009621C7" w:rsidRDefault="009621C7" w:rsidP="00422E8C">
            <w:r>
              <w:t>Can be mistaken as ‘cc’ so dose given as a volume instead of units, for example, ‘4u’ seen as ‘4 cc’</w:t>
            </w:r>
          </w:p>
        </w:tc>
      </w:tr>
      <w:tr w:rsidR="009621C7" w14:paraId="09A26D27" w14:textId="77777777" w:rsidTr="00307F4B">
        <w:trPr>
          <w:cnfStyle w:val="000000100000" w:firstRow="0" w:lastRow="0" w:firstColumn="0" w:lastColumn="0" w:oddVBand="0" w:evenVBand="0" w:oddHBand="1" w:evenHBand="0" w:firstRowFirstColumn="0" w:firstRowLastColumn="0" w:lastRowFirstColumn="0" w:lastRowLastColumn="0"/>
          <w:trHeight w:val="403"/>
        </w:trPr>
        <w:tc>
          <w:tcPr>
            <w:tcW w:w="862" w:type="pct"/>
          </w:tcPr>
          <w:p w14:paraId="115E8BA6" w14:textId="77777777" w:rsidR="009621C7" w:rsidRDefault="009621C7" w:rsidP="00422E8C">
            <w:r>
              <w:t>IU</w:t>
            </w:r>
          </w:p>
        </w:tc>
        <w:tc>
          <w:tcPr>
            <w:tcW w:w="1236" w:type="pct"/>
          </w:tcPr>
          <w:p w14:paraId="732007B0" w14:textId="77777777" w:rsidR="009621C7" w:rsidRDefault="009621C7" w:rsidP="00422E8C">
            <w:r>
              <w:t xml:space="preserve">unit(s), [international unit(s)] </w:t>
            </w:r>
          </w:p>
        </w:tc>
        <w:tc>
          <w:tcPr>
            <w:tcW w:w="2902" w:type="pct"/>
          </w:tcPr>
          <w:p w14:paraId="2ED3E778" w14:textId="77777777" w:rsidR="009621C7" w:rsidRDefault="009621C7" w:rsidP="00422E8C">
            <w:r>
              <w:t>Use plural form where appropriate</w:t>
            </w:r>
          </w:p>
          <w:p w14:paraId="1263BC3D" w14:textId="77777777" w:rsidR="009621C7" w:rsidRDefault="009621C7" w:rsidP="00422E8C">
            <w:r>
              <w:t>Can be mistaken as ‘IV’ (intravenous) or the number ‘10’</w:t>
            </w:r>
          </w:p>
          <w:p w14:paraId="17393B3E" w14:textId="77777777" w:rsidR="009621C7" w:rsidRDefault="009621C7" w:rsidP="00422E8C">
            <w:r>
              <w:rPr>
                <w:rStyle w:val="StrongBoldBlue"/>
              </w:rPr>
              <w:t xml:space="preserve">Exception: </w:t>
            </w:r>
            <w:r>
              <w:t xml:space="preserve">As an example, the amount of bleomycin can be referred to in ‘international </w:t>
            </w:r>
            <w:proofErr w:type="gramStart"/>
            <w:r>
              <w:t>units’</w:t>
            </w:r>
            <w:proofErr w:type="gramEnd"/>
            <w:r>
              <w:t xml:space="preserve">. Other exceptions such as ELISA units and D antigen units, should be explicitly stated. </w:t>
            </w:r>
          </w:p>
        </w:tc>
      </w:tr>
    </w:tbl>
    <w:p w14:paraId="37422A6A" w14:textId="77777777" w:rsidR="009621C7" w:rsidRDefault="009621C7" w:rsidP="009621C7"/>
    <w:p w14:paraId="0061F5A9" w14:textId="01816382" w:rsidR="009621C7" w:rsidRDefault="009621C7" w:rsidP="00D926A0">
      <w:pPr>
        <w:pStyle w:val="Heading2"/>
      </w:pPr>
      <w:bookmarkStart w:id="21" w:name="P4"/>
      <w:bookmarkStart w:id="22" w:name="_Toc184061539"/>
      <w:r>
        <w:lastRenderedPageBreak/>
        <w:t>Best Practice Principle</w:t>
      </w:r>
      <w:r w:rsidR="00C13512">
        <w:t> </w:t>
      </w:r>
      <w:r>
        <w:t>4</w:t>
      </w:r>
      <w:bookmarkEnd w:id="21"/>
      <w:r>
        <w:t>: Instructions must be clear</w:t>
      </w:r>
      <w:bookmarkEnd w:id="22"/>
    </w:p>
    <w:p w14:paraId="4919FD01" w14:textId="24A4653C" w:rsidR="009621C7" w:rsidRDefault="009621C7" w:rsidP="009621C7">
      <w:r>
        <w:t>Avoid vague terminology such as ‘take as directed’ (MDU).</w:t>
      </w:r>
      <w:r>
        <w:rPr>
          <w:rStyle w:val="Superscript"/>
        </w:rPr>
        <w:t>21</w:t>
      </w:r>
      <w:r>
        <w:t xml:space="preserve"> Clear directions are necessary to check the medicine dose for dispensing and administration and to support effective counselling. In addition, the maximum dosage in 24 hours must accompany a ‘when required’ (PRN) medicine</w:t>
      </w:r>
      <w:r w:rsidR="0065650B">
        <w:t> </w:t>
      </w:r>
      <w:r>
        <w:t>order.</w:t>
      </w:r>
      <w:r>
        <w:rPr>
          <w:rStyle w:val="Superscript"/>
        </w:rPr>
        <w:t>5</w:t>
      </w:r>
    </w:p>
    <w:p w14:paraId="050BFA71" w14:textId="4EE435DB" w:rsidR="009621C7" w:rsidRDefault="009621C7" w:rsidP="00D926A0">
      <w:pPr>
        <w:pStyle w:val="Heading2"/>
      </w:pPr>
      <w:bookmarkStart w:id="23" w:name="P5"/>
      <w:bookmarkStart w:id="24" w:name="_Toc184061540"/>
      <w:r>
        <w:t>Best Practice Principle</w:t>
      </w:r>
      <w:r w:rsidR="00C13512">
        <w:t> </w:t>
      </w:r>
      <w:r>
        <w:t>5</w:t>
      </w:r>
      <w:bookmarkEnd w:id="23"/>
      <w:r>
        <w:t>: Use active ingredient medicine</w:t>
      </w:r>
      <w:r w:rsidR="000C0C4F">
        <w:t> </w:t>
      </w:r>
      <w:r>
        <w:t>names</w:t>
      </w:r>
      <w:bookmarkEnd w:id="24"/>
    </w:p>
    <w:p w14:paraId="37937234" w14:textId="77777777" w:rsidR="009621C7" w:rsidRDefault="009621C7" w:rsidP="009621C7">
      <w:pPr>
        <w:rPr>
          <w:rStyle w:val="StrongBoldBlue"/>
        </w:rPr>
      </w:pPr>
      <w:r>
        <w:rPr>
          <w:rStyle w:val="StrongBoldBlue"/>
        </w:rPr>
        <w:t xml:space="preserve">The full medicine name(s) should be displayed in the prescription, medication order/order set, medicines list or selection list, with no abbreviation. </w:t>
      </w:r>
    </w:p>
    <w:p w14:paraId="2E9114BA" w14:textId="77777777" w:rsidR="009621C7" w:rsidRDefault="009621C7" w:rsidP="009621C7">
      <w:pPr>
        <w:rPr>
          <w:rStyle w:val="StrongBoldBlue"/>
        </w:rPr>
      </w:pPr>
      <w:r>
        <w:t xml:space="preserve">All active ingredient names must be displayed together with the relevant strength for combination products, </w:t>
      </w:r>
      <w:r>
        <w:rPr>
          <w:rStyle w:val="StrongBoldBlue"/>
        </w:rPr>
        <w:t xml:space="preserve">except those with four or more active ingredients and those listed on the </w:t>
      </w:r>
      <w:hyperlink r:id="rId24" w:history="1">
        <w:r>
          <w:rPr>
            <w:rStyle w:val="HyperlinkBold"/>
          </w:rPr>
          <w:t>List of Excluded Medicinal Items</w:t>
        </w:r>
      </w:hyperlink>
      <w:r>
        <w:rPr>
          <w:rStyle w:val="Superscript"/>
        </w:rPr>
        <w:t>22</w:t>
      </w:r>
      <w:r>
        <w:rPr>
          <w:rStyle w:val="StrongBoldBlue"/>
        </w:rPr>
        <w:t>, which may be described by brand name</w:t>
      </w:r>
      <w:r>
        <w:t>.</w:t>
      </w:r>
    </w:p>
    <w:p w14:paraId="0ED4E343" w14:textId="77777777" w:rsidR="009621C7" w:rsidRDefault="009621C7" w:rsidP="009621C7">
      <w:r>
        <w:t>For example:</w:t>
      </w:r>
    </w:p>
    <w:p w14:paraId="181F43F4" w14:textId="77777777" w:rsidR="009621C7" w:rsidRDefault="009621C7" w:rsidP="004F5CCA">
      <w:pPr>
        <w:pStyle w:val="ListParagraph"/>
        <w:numPr>
          <w:ilvl w:val="0"/>
          <w:numId w:val="31"/>
        </w:numPr>
        <w:rPr>
          <w:rStyle w:val="StrongBoldBlue"/>
        </w:rPr>
      </w:pPr>
      <w:r>
        <w:t xml:space="preserve">A medicine with three active ingredients, such as </w:t>
      </w:r>
      <w:proofErr w:type="spellStart"/>
      <w:r>
        <w:t>Trizivir</w:t>
      </w:r>
      <w:proofErr w:type="spellEnd"/>
      <w:r w:rsidRPr="00B645AA">
        <w:rPr>
          <w:rStyle w:val="Superscript"/>
        </w:rPr>
        <w:t>®</w:t>
      </w:r>
      <w:r>
        <w:t xml:space="preserve"> tablets, should be expressed as abacavir 300 mg + lamivudine 150 mg + zidovudine 300 mg.</w:t>
      </w:r>
    </w:p>
    <w:p w14:paraId="027EAD7A" w14:textId="77777777" w:rsidR="009621C7" w:rsidRDefault="009621C7" w:rsidP="009621C7">
      <w:pPr>
        <w:rPr>
          <w:rStyle w:val="StrongBoldBlue"/>
        </w:rPr>
      </w:pPr>
      <w:r>
        <w:rPr>
          <w:rStyle w:val="StrongBoldBlue"/>
        </w:rPr>
        <w:t>Prescribing a medicine by brand name in addition to the active ingredient name is preferrable in some circumstances, for clinical reasons and/or patient safety.</w:t>
      </w:r>
      <w:r>
        <w:rPr>
          <w:rStyle w:val="Superscript"/>
        </w:rPr>
        <w:t>7</w:t>
      </w:r>
      <w:r>
        <w:rPr>
          <w:rStyle w:val="StrongBoldBlue"/>
        </w:rPr>
        <w:t xml:space="preserve"> These medicines are listed in the </w:t>
      </w:r>
      <w:hyperlink r:id="rId25" w:history="1">
        <w:r>
          <w:rPr>
            <w:rStyle w:val="HyperlinkBold"/>
          </w:rPr>
          <w:t>List of Medicines for Brand Consideration</w:t>
        </w:r>
      </w:hyperlink>
      <w:r>
        <w:rPr>
          <w:rStyle w:val="StrongBoldBlue"/>
        </w:rPr>
        <w:t>.</w:t>
      </w:r>
      <w:r>
        <w:rPr>
          <w:rStyle w:val="Superscript"/>
        </w:rPr>
        <w:t>23</w:t>
      </w:r>
    </w:p>
    <w:p w14:paraId="50D1DFE2" w14:textId="77777777" w:rsidR="009621C7" w:rsidRDefault="009621C7" w:rsidP="009621C7">
      <w:pPr>
        <w:rPr>
          <w:rStyle w:val="StrongBoldBlue"/>
        </w:rPr>
      </w:pPr>
      <w:r>
        <w:rPr>
          <w:rStyle w:val="StrongBoldBlue"/>
        </w:rPr>
        <w:t xml:space="preserve">For some medicines, it may be preferable to include the brand name, to avoid miscommunication of the medicine between clinicians, to prevent selection error, and to ensure accuracy when interpreting and dispensing the prescription. </w:t>
      </w:r>
    </w:p>
    <w:p w14:paraId="35988BDE" w14:textId="77777777" w:rsidR="009621C7" w:rsidRDefault="009621C7" w:rsidP="009621C7">
      <w:r>
        <w:t xml:space="preserve">For example: </w:t>
      </w:r>
    </w:p>
    <w:p w14:paraId="383A99E4" w14:textId="77777777" w:rsidR="009621C7" w:rsidRDefault="009621C7" w:rsidP="004F5CCA">
      <w:pPr>
        <w:pStyle w:val="ListParagraph"/>
        <w:numPr>
          <w:ilvl w:val="0"/>
          <w:numId w:val="31"/>
        </w:numPr>
      </w:pPr>
      <w:r>
        <w:t>lithium carbonate (</w:t>
      </w:r>
      <w:proofErr w:type="spellStart"/>
      <w:r>
        <w:t>Lithicarb</w:t>
      </w:r>
      <w:proofErr w:type="spellEnd"/>
      <w:r w:rsidRPr="004F5CCA">
        <w:rPr>
          <w:rStyle w:val="Superscript"/>
        </w:rPr>
        <w:t>®</w:t>
      </w:r>
      <w:r>
        <w:t>), lithium carbonate modified release (</w:t>
      </w:r>
      <w:proofErr w:type="spellStart"/>
      <w:r>
        <w:t>Quilonum</w:t>
      </w:r>
      <w:proofErr w:type="spellEnd"/>
      <w:r w:rsidRPr="004F5CCA">
        <w:rPr>
          <w:rStyle w:val="Superscript"/>
        </w:rPr>
        <w:t>®</w:t>
      </w:r>
      <w:r>
        <w:t>)</w:t>
      </w:r>
    </w:p>
    <w:p w14:paraId="3B2E9C4A" w14:textId="77777777" w:rsidR="009621C7" w:rsidRDefault="009621C7" w:rsidP="004F5CCA">
      <w:pPr>
        <w:pStyle w:val="ListParagraph"/>
        <w:numPr>
          <w:ilvl w:val="0"/>
          <w:numId w:val="31"/>
        </w:numPr>
      </w:pPr>
      <w:r>
        <w:t xml:space="preserve">insulin </w:t>
      </w:r>
      <w:proofErr w:type="spellStart"/>
      <w:r>
        <w:t>aspart</w:t>
      </w:r>
      <w:proofErr w:type="spellEnd"/>
      <w:r>
        <w:t xml:space="preserve"> (</w:t>
      </w:r>
      <w:proofErr w:type="spellStart"/>
      <w:r>
        <w:t>Novorapid</w:t>
      </w:r>
      <w:proofErr w:type="spellEnd"/>
      <w:r w:rsidRPr="004F5CCA">
        <w:rPr>
          <w:rStyle w:val="Superscript"/>
        </w:rPr>
        <w:t>®</w:t>
      </w:r>
      <w:r>
        <w:t>) [</w:t>
      </w:r>
      <w:r>
        <w:rPr>
          <w:rStyle w:val="Emphasis"/>
        </w:rPr>
        <w:t>See</w:t>
      </w:r>
      <w:r>
        <w:t xml:space="preserve"> </w:t>
      </w:r>
      <w:hyperlink r:id="rId26" w:history="1">
        <w:r>
          <w:rPr>
            <w:rStyle w:val="Hyperlink"/>
          </w:rPr>
          <w:t>Fact Sheet: Safer insulin prescribing</w:t>
        </w:r>
      </w:hyperlink>
      <w:r>
        <w:t>]</w:t>
      </w:r>
      <w:r>
        <w:rPr>
          <w:rStyle w:val="Superscript"/>
        </w:rPr>
        <w:t>24</w:t>
      </w:r>
    </w:p>
    <w:p w14:paraId="062EA245" w14:textId="77777777" w:rsidR="009621C7" w:rsidRDefault="009621C7" w:rsidP="004F5CCA">
      <w:pPr>
        <w:pStyle w:val="ListParagraph"/>
        <w:numPr>
          <w:ilvl w:val="0"/>
          <w:numId w:val="31"/>
        </w:numPr>
      </w:pPr>
      <w:r>
        <w:t>morphine [as sustained release pellets in a capsule] (</w:t>
      </w:r>
      <w:proofErr w:type="spellStart"/>
      <w:r>
        <w:t>Kapanol</w:t>
      </w:r>
      <w:proofErr w:type="spellEnd"/>
      <w:r w:rsidRPr="004F5CCA">
        <w:rPr>
          <w:rStyle w:val="Superscript"/>
        </w:rPr>
        <w:t>®</w:t>
      </w:r>
      <w:r>
        <w:t>) and morphine [controlled release tablets] (MS Contin</w:t>
      </w:r>
      <w:r w:rsidRPr="004F5CCA">
        <w:rPr>
          <w:rStyle w:val="Superscript"/>
        </w:rPr>
        <w:t>®</w:t>
      </w:r>
      <w:r>
        <w:t>).</w:t>
      </w:r>
    </w:p>
    <w:p w14:paraId="4613ED4F" w14:textId="77777777" w:rsidR="009621C7" w:rsidRDefault="009621C7" w:rsidP="009621C7">
      <w:r>
        <w:rPr>
          <w:rStyle w:val="StrongBoldBlue"/>
        </w:rPr>
        <w:t xml:space="preserve">For some medicines, formulations are not interchangeable as different brands of the same active ingredient are not therapeutically equivalent. </w:t>
      </w:r>
    </w:p>
    <w:p w14:paraId="0583CB0A" w14:textId="77777777" w:rsidR="009621C7" w:rsidRDefault="009621C7" w:rsidP="009621C7">
      <w:r>
        <w:t>For example:</w:t>
      </w:r>
    </w:p>
    <w:p w14:paraId="2C110238" w14:textId="77777777" w:rsidR="009621C7" w:rsidRDefault="009621C7" w:rsidP="004F5CCA">
      <w:pPr>
        <w:pStyle w:val="ListParagraph"/>
        <w:numPr>
          <w:ilvl w:val="0"/>
          <w:numId w:val="32"/>
        </w:numPr>
      </w:pPr>
      <w:r>
        <w:t>warfarin, use Coumadin</w:t>
      </w:r>
      <w:r w:rsidRPr="004F5CCA">
        <w:rPr>
          <w:rStyle w:val="Superscript"/>
        </w:rPr>
        <w:t>®</w:t>
      </w:r>
      <w:r>
        <w:t xml:space="preserve"> or Marevan</w:t>
      </w:r>
      <w:r w:rsidRPr="004F5CCA">
        <w:rPr>
          <w:rStyle w:val="Superscript"/>
        </w:rPr>
        <w:t>®</w:t>
      </w:r>
    </w:p>
    <w:p w14:paraId="238EF20A" w14:textId="77777777" w:rsidR="009621C7" w:rsidRDefault="009621C7" w:rsidP="004F5CCA">
      <w:pPr>
        <w:pStyle w:val="ListParagraph"/>
        <w:numPr>
          <w:ilvl w:val="0"/>
          <w:numId w:val="32"/>
        </w:numPr>
      </w:pPr>
      <w:r>
        <w:t xml:space="preserve">insulin </w:t>
      </w:r>
      <w:proofErr w:type="spellStart"/>
      <w:r>
        <w:t>aspart</w:t>
      </w:r>
      <w:proofErr w:type="spellEnd"/>
      <w:r>
        <w:t xml:space="preserve">, use </w:t>
      </w:r>
      <w:proofErr w:type="spellStart"/>
      <w:r>
        <w:t>Fiasp</w:t>
      </w:r>
      <w:proofErr w:type="spellEnd"/>
      <w:r w:rsidRPr="004F5CCA">
        <w:rPr>
          <w:rStyle w:val="Superscript"/>
        </w:rPr>
        <w:t>®</w:t>
      </w:r>
      <w:r>
        <w:t xml:space="preserve"> or </w:t>
      </w:r>
      <w:proofErr w:type="spellStart"/>
      <w:r>
        <w:t>Novorapid</w:t>
      </w:r>
      <w:proofErr w:type="spellEnd"/>
      <w:r w:rsidRPr="004F5CCA">
        <w:rPr>
          <w:rStyle w:val="Superscript"/>
        </w:rPr>
        <w:t>®</w:t>
      </w:r>
      <w:r>
        <w:t>.</w:t>
      </w:r>
    </w:p>
    <w:p w14:paraId="3DE83F5A" w14:textId="77777777" w:rsidR="009621C7" w:rsidRDefault="009621C7" w:rsidP="009621C7">
      <w:r>
        <w:t xml:space="preserve">Refer to the </w:t>
      </w:r>
      <w:hyperlink r:id="rId27" w:history="1">
        <w:r>
          <w:rPr>
            <w:rStyle w:val="Hyperlink"/>
          </w:rPr>
          <w:t>List of Medicines for Brand Consideration</w:t>
        </w:r>
      </w:hyperlink>
      <w:r>
        <w:t xml:space="preserve"> for other examples </w:t>
      </w:r>
      <w:r>
        <w:rPr>
          <w:rStyle w:val="StrongBoldBlue"/>
        </w:rPr>
        <w:t>where preparations of certain medicines are not interchangeable</w:t>
      </w:r>
      <w:r>
        <w:t>.</w:t>
      </w:r>
      <w:r>
        <w:rPr>
          <w:rStyle w:val="Superscript"/>
        </w:rPr>
        <w:t>23</w:t>
      </w:r>
    </w:p>
    <w:p w14:paraId="11D331BF" w14:textId="3A246E10" w:rsidR="009621C7" w:rsidRDefault="009621C7" w:rsidP="00D926A0">
      <w:pPr>
        <w:pStyle w:val="Heading2"/>
      </w:pPr>
      <w:bookmarkStart w:id="25" w:name="_Toc184061541"/>
      <w:r>
        <w:t>Best Practice Principle</w:t>
      </w:r>
      <w:r w:rsidR="00C13512">
        <w:t> </w:t>
      </w:r>
      <w:r>
        <w:t>6: Write, display or speak medicine names and/or the chemical names of medicines in full – do</w:t>
      </w:r>
      <w:r w:rsidR="00E957BE">
        <w:t> </w:t>
      </w:r>
      <w:r>
        <w:t>not</w:t>
      </w:r>
      <w:r w:rsidR="00E957BE">
        <w:t> </w:t>
      </w:r>
      <w:r>
        <w:t>abbreviate</w:t>
      </w:r>
      <w:bookmarkEnd w:id="25"/>
    </w:p>
    <w:p w14:paraId="6E281BE4" w14:textId="74DDCEED" w:rsidR="009621C7" w:rsidRDefault="009621C7" w:rsidP="009621C7">
      <w:r>
        <w:t>To prevent error and confusion, and align with the requirements for active ingredient prescribing (AIP)</w:t>
      </w:r>
      <w:r>
        <w:rPr>
          <w:rStyle w:val="Superscript"/>
        </w:rPr>
        <w:t>8</w:t>
      </w:r>
      <w:r>
        <w:t>, avoid abbreviating medicine names entirely. Also refer to</w:t>
      </w:r>
      <w:r w:rsidR="003669A4">
        <w:t xml:space="preserve"> </w:t>
      </w:r>
      <w:r w:rsidR="003669A4" w:rsidRPr="003669A4">
        <w:rPr>
          <w:rStyle w:val="Cross-reference"/>
        </w:rPr>
        <w:fldChar w:fldCharType="begin"/>
      </w:r>
      <w:r w:rsidR="003669A4" w:rsidRPr="003669A4">
        <w:rPr>
          <w:rStyle w:val="Cross-reference"/>
        </w:rPr>
        <w:instrText xml:space="preserve"> REF TB \h </w:instrText>
      </w:r>
      <w:r w:rsidR="003669A4">
        <w:rPr>
          <w:rStyle w:val="Cross-reference"/>
        </w:rPr>
        <w:instrText xml:space="preserve"> \* MERGEFORMAT </w:instrText>
      </w:r>
      <w:r w:rsidR="003669A4" w:rsidRPr="003669A4">
        <w:rPr>
          <w:rStyle w:val="Cross-reference"/>
        </w:rPr>
      </w:r>
      <w:r w:rsidR="003669A4" w:rsidRPr="003669A4">
        <w:rPr>
          <w:rStyle w:val="Cross-reference"/>
        </w:rPr>
        <w:fldChar w:fldCharType="separate"/>
      </w:r>
      <w:r w:rsidR="003669A4" w:rsidRPr="003669A4">
        <w:rPr>
          <w:rStyle w:val="Cross-reference"/>
        </w:rPr>
        <w:t>Table B</w:t>
      </w:r>
      <w:r w:rsidR="003669A4" w:rsidRPr="003669A4">
        <w:rPr>
          <w:rStyle w:val="Cross-reference"/>
        </w:rPr>
        <w:fldChar w:fldCharType="end"/>
      </w:r>
      <w:r>
        <w:t xml:space="preserve"> for a list of common ‘error</w:t>
      </w:r>
      <w:r>
        <w:rPr>
          <w:rFonts w:ascii="Cambria Math" w:hAnsi="Cambria Math" w:cs="Cambria Math"/>
        </w:rPr>
        <w:t>‑</w:t>
      </w:r>
      <w:r>
        <w:t>prone’ or unacceptable abbreviations for medicine and chemical names.</w:t>
      </w:r>
    </w:p>
    <w:p w14:paraId="13C2D9D0" w14:textId="5D1150DC" w:rsidR="009621C7" w:rsidRDefault="009621C7" w:rsidP="009621C7">
      <w:r>
        <w:t>Abbreviating medicine names or the chemical names of medicines can lead to error. For example, ‘HCT’ for ‘hydrocortisone’ has been mistaken for ‘</w:t>
      </w:r>
      <w:proofErr w:type="spellStart"/>
      <w:r>
        <w:t>hydrOCHLOROTHIAZIDe</w:t>
      </w:r>
      <w:proofErr w:type="spellEnd"/>
      <w:r>
        <w:t xml:space="preserve">’. This also includes </w:t>
      </w:r>
      <w:r>
        <w:lastRenderedPageBreak/>
        <w:t xml:space="preserve">antiretrovirals which must ALWAYS be expressed in full by using the complete active ingredient name(s) </w:t>
      </w:r>
      <w:r>
        <w:rPr>
          <w:rStyle w:val="StrongBoldBlue"/>
        </w:rPr>
        <w:t xml:space="preserve">except those on the </w:t>
      </w:r>
      <w:hyperlink r:id="rId28" w:history="1">
        <w:r>
          <w:rPr>
            <w:rStyle w:val="HyperlinkBold"/>
          </w:rPr>
          <w:t>List of Excluded Medicinal Items</w:t>
        </w:r>
      </w:hyperlink>
      <w:r>
        <w:rPr>
          <w:rStyle w:val="Superscript"/>
        </w:rPr>
        <w:t>22</w:t>
      </w:r>
      <w:r>
        <w:t xml:space="preserve"> </w:t>
      </w:r>
      <w:r>
        <w:rPr>
          <w:rStyle w:val="StrongBoldBlue"/>
        </w:rPr>
        <w:t>with four or more active ingredients which may be described by brand name</w:t>
      </w:r>
      <w:r>
        <w:t xml:space="preserve"> in accordance with</w:t>
      </w:r>
      <w:r w:rsidR="00F7387D">
        <w:t xml:space="preserve"> </w:t>
      </w:r>
      <w:r w:rsidR="00F7387D" w:rsidRPr="00F7387D">
        <w:rPr>
          <w:rStyle w:val="Cross-reference"/>
        </w:rPr>
        <w:fldChar w:fldCharType="begin"/>
      </w:r>
      <w:r w:rsidR="00F7387D" w:rsidRPr="00F7387D">
        <w:rPr>
          <w:rStyle w:val="Cross-reference"/>
        </w:rPr>
        <w:instrText xml:space="preserve"> REF P5 \h </w:instrText>
      </w:r>
      <w:r w:rsidR="00F7387D">
        <w:rPr>
          <w:rStyle w:val="Cross-reference"/>
        </w:rPr>
        <w:instrText xml:space="preserve"> \* MERGEFORMAT </w:instrText>
      </w:r>
      <w:r w:rsidR="00F7387D" w:rsidRPr="00F7387D">
        <w:rPr>
          <w:rStyle w:val="Cross-reference"/>
        </w:rPr>
      </w:r>
      <w:r w:rsidR="00F7387D" w:rsidRPr="00F7387D">
        <w:rPr>
          <w:rStyle w:val="Cross-reference"/>
        </w:rPr>
        <w:fldChar w:fldCharType="separate"/>
      </w:r>
      <w:r w:rsidR="00F7387D" w:rsidRPr="00F7387D">
        <w:rPr>
          <w:rStyle w:val="Cross-reference"/>
        </w:rPr>
        <w:t>Best Practice Principle 5</w:t>
      </w:r>
      <w:r w:rsidR="00F7387D" w:rsidRPr="00F7387D">
        <w:rPr>
          <w:rStyle w:val="Cross-reference"/>
        </w:rPr>
        <w:fldChar w:fldCharType="end"/>
      </w:r>
      <w:r>
        <w:t>.</w:t>
      </w:r>
    </w:p>
    <w:p w14:paraId="352ACE44" w14:textId="77777777" w:rsidR="009621C7" w:rsidRDefault="009621C7" w:rsidP="009621C7">
      <w:r>
        <w:t>Whilst exceptions may exist, it is also preferable to write, display or speak the medicine class in full. For example, PPI = proton pump inhibitor.</w:t>
      </w:r>
    </w:p>
    <w:p w14:paraId="4637C80A" w14:textId="77777777" w:rsidR="009621C7" w:rsidRDefault="009621C7" w:rsidP="009621C7">
      <w:pPr>
        <w:rPr>
          <w:rStyle w:val="StrongBoldBlue"/>
        </w:rPr>
      </w:pPr>
      <w:r>
        <w:rPr>
          <w:rStyle w:val="StrongBoldBlue"/>
        </w:rPr>
        <w:t xml:space="preserve">For protocols with multiple individual medicines, prescribe each medicine separately and in full. </w:t>
      </w:r>
    </w:p>
    <w:p w14:paraId="65021075" w14:textId="77777777" w:rsidR="009621C7" w:rsidRDefault="009621C7" w:rsidP="009621C7">
      <w:r>
        <w:t>Avoid use of acronyms or abbreviations, for example, ‘CHOP’ for chemotherapy.</w:t>
      </w:r>
      <w:r>
        <w:rPr>
          <w:rStyle w:val="Superscript"/>
        </w:rPr>
        <w:t>25</w:t>
      </w:r>
      <w:r>
        <w:t xml:space="preserve"> Noting that each protocol must be distinguishable and prescribing needs to include the full details of all the medicines, including active ingredient names.</w:t>
      </w:r>
    </w:p>
    <w:p w14:paraId="1B3E36C4" w14:textId="77777777" w:rsidR="009621C7" w:rsidRDefault="009621C7" w:rsidP="009621C7">
      <w:pPr>
        <w:rPr>
          <w:rStyle w:val="StrongBoldBlue"/>
        </w:rPr>
      </w:pPr>
      <w:r>
        <w:rPr>
          <w:rStyle w:val="StrongBoldBlue"/>
        </w:rPr>
        <w:t>Exceptions may be made for modified</w:t>
      </w:r>
      <w:r>
        <w:rPr>
          <w:rStyle w:val="StrongBoldBlue"/>
          <w:rFonts w:ascii="Cambria Math" w:hAnsi="Cambria Math" w:cs="Cambria Math"/>
        </w:rPr>
        <w:t>‑</w:t>
      </w:r>
      <w:r>
        <w:rPr>
          <w:rStyle w:val="StrongBoldBlue"/>
        </w:rPr>
        <w:t xml:space="preserve">release (MR) products. </w:t>
      </w:r>
    </w:p>
    <w:p w14:paraId="3CC7C403" w14:textId="77777777" w:rsidR="009621C7" w:rsidRDefault="009621C7" w:rsidP="009621C7">
      <w:r>
        <w:t xml:space="preserve">For handwritten medicine orders in particular, the description used in the brand name to denote the release characteristics should also be included with the active ingredient name when prescribing a medicine. For example, ‘tramadol SR’, ‘carbamazepine CR’. </w:t>
      </w:r>
    </w:p>
    <w:p w14:paraId="56B77384" w14:textId="77777777" w:rsidR="009621C7" w:rsidRDefault="009621C7" w:rsidP="009621C7">
      <w:r>
        <w:t>This applies to slow</w:t>
      </w:r>
      <w:r>
        <w:rPr>
          <w:rFonts w:ascii="Cambria Math" w:hAnsi="Cambria Math" w:cs="Cambria Math"/>
        </w:rPr>
        <w:t>‑</w:t>
      </w:r>
      <w:r>
        <w:t>release (SR), controlled</w:t>
      </w:r>
      <w:r>
        <w:rPr>
          <w:rFonts w:ascii="Cambria Math" w:hAnsi="Cambria Math" w:cs="Cambria Math"/>
        </w:rPr>
        <w:t>‑</w:t>
      </w:r>
      <w:r>
        <w:t>delivery (CD), controlled</w:t>
      </w:r>
      <w:r>
        <w:rPr>
          <w:rFonts w:ascii="Cambria Math" w:hAnsi="Cambria Math" w:cs="Cambria Math"/>
        </w:rPr>
        <w:t>‑</w:t>
      </w:r>
      <w:r>
        <w:t>release (CR), extended</w:t>
      </w:r>
      <w:r>
        <w:rPr>
          <w:rFonts w:ascii="Cambria Math" w:hAnsi="Cambria Math" w:cs="Cambria Math"/>
        </w:rPr>
        <w:t>‑</w:t>
      </w:r>
      <w:r>
        <w:t>release (XR), long acting (LA), osmotic controlled</w:t>
      </w:r>
      <w:r>
        <w:rPr>
          <w:rFonts w:ascii="Cambria Math" w:hAnsi="Cambria Math" w:cs="Cambria Math"/>
        </w:rPr>
        <w:t>‑</w:t>
      </w:r>
      <w:r>
        <w:t>release, continuous</w:t>
      </w:r>
      <w:r>
        <w:rPr>
          <w:rFonts w:ascii="Cambria Math" w:hAnsi="Cambria Math" w:cs="Cambria Math"/>
        </w:rPr>
        <w:t>‑</w:t>
      </w:r>
      <w:r>
        <w:t>release or other modified or time</w:t>
      </w:r>
      <w:r>
        <w:rPr>
          <w:rFonts w:ascii="Cambria Math" w:hAnsi="Cambria Math" w:cs="Cambria Math"/>
        </w:rPr>
        <w:t>‑</w:t>
      </w:r>
      <w:r>
        <w:t xml:space="preserve">release formulations, for instance, hydrodynamically balanced system with controlled release (HBS). </w:t>
      </w:r>
    </w:p>
    <w:p w14:paraId="56D77348" w14:textId="699893F7" w:rsidR="009621C7" w:rsidRDefault="009621C7" w:rsidP="00E47B8F">
      <w:pPr>
        <w:pStyle w:val="FigureTableTitle"/>
      </w:pPr>
      <w:bookmarkStart w:id="26" w:name="TB"/>
      <w:bookmarkStart w:id="27" w:name="_Toc184061542"/>
      <w:r>
        <w:t>Table</w:t>
      </w:r>
      <w:r w:rsidR="00661066">
        <w:t> </w:t>
      </w:r>
      <w:r>
        <w:t>B</w:t>
      </w:r>
      <w:bookmarkEnd w:id="26"/>
      <w:r>
        <w:t>: Common ‘error</w:t>
      </w:r>
      <w:r>
        <w:rPr>
          <w:rFonts w:ascii="Cambria Math" w:hAnsi="Cambria Math" w:cs="Cambria Math"/>
        </w:rPr>
        <w:t>‑</w:t>
      </w:r>
      <w:r>
        <w:t>prone’ or unacceptable abbreviations for medicine names and chemical names that should be written in full</w:t>
      </w:r>
      <w:bookmarkEnd w:id="27"/>
    </w:p>
    <w:tbl>
      <w:tblPr>
        <w:tblStyle w:val="RECBanded"/>
        <w:tblW w:w="5000" w:type="pct"/>
        <w:tblLook w:val="0420" w:firstRow="1" w:lastRow="0" w:firstColumn="0" w:lastColumn="0" w:noHBand="0" w:noVBand="1"/>
        <w:tblDescription w:val="Table B: Common ‘error‑prone’ or unacceptable abbreviations for medicine names and chemical names that should be written in full"/>
      </w:tblPr>
      <w:tblGrid>
        <w:gridCol w:w="1840"/>
        <w:gridCol w:w="7792"/>
      </w:tblGrid>
      <w:tr w:rsidR="009621C7" w14:paraId="034DBBF5" w14:textId="77777777" w:rsidTr="008C51DE">
        <w:trPr>
          <w:cnfStyle w:val="100000000000" w:firstRow="1" w:lastRow="0" w:firstColumn="0" w:lastColumn="0" w:oddVBand="0" w:evenVBand="0" w:oddHBand="0" w:evenHBand="0" w:firstRowFirstColumn="0" w:firstRowLastColumn="0" w:lastRowFirstColumn="0" w:lastRowLastColumn="0"/>
          <w:trHeight w:val="60"/>
        </w:trPr>
        <w:tc>
          <w:tcPr>
            <w:tcW w:w="955" w:type="pct"/>
          </w:tcPr>
          <w:p w14:paraId="226E7350" w14:textId="77777777" w:rsidR="009621C7" w:rsidRDefault="009621C7" w:rsidP="00422E8C">
            <w:r>
              <w:t xml:space="preserve">Unacceptable abbreviations </w:t>
            </w:r>
          </w:p>
        </w:tc>
        <w:tc>
          <w:tcPr>
            <w:tcW w:w="4045" w:type="pct"/>
          </w:tcPr>
          <w:p w14:paraId="024A9BF5" w14:textId="77777777" w:rsidR="009621C7" w:rsidRDefault="009621C7" w:rsidP="00422E8C">
            <w:r>
              <w:t>Recommended alternative</w:t>
            </w:r>
          </w:p>
        </w:tc>
      </w:tr>
      <w:tr w:rsidR="009621C7" w14:paraId="344393FC"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58305117" w14:textId="77777777" w:rsidR="009621C7" w:rsidRDefault="009621C7" w:rsidP="00422E8C">
            <w:r>
              <w:t>5</w:t>
            </w:r>
            <w:r>
              <w:rPr>
                <w:rFonts w:ascii="Cambria Math" w:hAnsi="Cambria Math" w:cs="Cambria Math"/>
              </w:rPr>
              <w:t>‑</w:t>
            </w:r>
            <w:r>
              <w:t>FU</w:t>
            </w:r>
          </w:p>
        </w:tc>
        <w:tc>
          <w:tcPr>
            <w:tcW w:w="4045" w:type="pct"/>
          </w:tcPr>
          <w:p w14:paraId="50A3BAD6" w14:textId="77777777" w:rsidR="009621C7" w:rsidRDefault="009621C7" w:rsidP="00422E8C">
            <w:r>
              <w:t>fluorouracil</w:t>
            </w:r>
          </w:p>
        </w:tc>
      </w:tr>
      <w:tr w:rsidR="009621C7" w14:paraId="6D8BC423" w14:textId="77777777" w:rsidTr="008C51DE">
        <w:trPr>
          <w:trHeight w:val="60"/>
        </w:trPr>
        <w:tc>
          <w:tcPr>
            <w:tcW w:w="955" w:type="pct"/>
          </w:tcPr>
          <w:p w14:paraId="1F910822" w14:textId="77777777" w:rsidR="009621C7" w:rsidRDefault="009621C7" w:rsidP="00422E8C">
            <w:r>
              <w:t>6</w:t>
            </w:r>
            <w:r>
              <w:rPr>
                <w:rFonts w:ascii="Cambria Math" w:hAnsi="Cambria Math" w:cs="Cambria Math"/>
              </w:rPr>
              <w:t>‑</w:t>
            </w:r>
            <w:r>
              <w:t>MP</w:t>
            </w:r>
          </w:p>
        </w:tc>
        <w:tc>
          <w:tcPr>
            <w:tcW w:w="4045" w:type="pct"/>
          </w:tcPr>
          <w:p w14:paraId="19F1D52C" w14:textId="77777777" w:rsidR="009621C7" w:rsidRDefault="009621C7" w:rsidP="00422E8C">
            <w:r>
              <w:t>mercaptopurine</w:t>
            </w:r>
          </w:p>
        </w:tc>
      </w:tr>
      <w:tr w:rsidR="009621C7" w14:paraId="581E89B8" w14:textId="77777777" w:rsidTr="008C51DE">
        <w:trPr>
          <w:cnfStyle w:val="000000100000" w:firstRow="0" w:lastRow="0" w:firstColumn="0" w:lastColumn="0" w:oddVBand="0" w:evenVBand="0" w:oddHBand="1" w:evenHBand="0" w:firstRowFirstColumn="0" w:firstRowLastColumn="0" w:lastRowFirstColumn="0" w:lastRowLastColumn="0"/>
          <w:trHeight w:val="453"/>
        </w:trPr>
        <w:tc>
          <w:tcPr>
            <w:tcW w:w="955" w:type="pct"/>
          </w:tcPr>
          <w:p w14:paraId="25F053AD" w14:textId="77777777" w:rsidR="009621C7" w:rsidRDefault="009621C7" w:rsidP="00422E8C">
            <w:r>
              <w:t>ADF</w:t>
            </w:r>
          </w:p>
        </w:tc>
        <w:tc>
          <w:tcPr>
            <w:tcW w:w="4045" w:type="pct"/>
          </w:tcPr>
          <w:p w14:paraId="0FC6C920" w14:textId="77777777" w:rsidR="009621C7" w:rsidRDefault="009621C7" w:rsidP="00422E8C">
            <w:r>
              <w:t>Augmentin Duo Forte</w:t>
            </w:r>
            <w:r w:rsidRPr="00F55CE2">
              <w:rPr>
                <w:rStyle w:val="Superscript"/>
              </w:rPr>
              <w:t>®</w:t>
            </w:r>
          </w:p>
        </w:tc>
      </w:tr>
      <w:tr w:rsidR="009621C7" w14:paraId="76C39F50" w14:textId="77777777" w:rsidTr="008C51DE">
        <w:trPr>
          <w:trHeight w:val="453"/>
        </w:trPr>
        <w:tc>
          <w:tcPr>
            <w:tcW w:w="955" w:type="pct"/>
          </w:tcPr>
          <w:p w14:paraId="2696416B" w14:textId="77777777" w:rsidR="009621C7" w:rsidRDefault="009621C7" w:rsidP="00422E8C">
            <w:r>
              <w:t>APAP</w:t>
            </w:r>
          </w:p>
        </w:tc>
        <w:tc>
          <w:tcPr>
            <w:tcW w:w="4045" w:type="pct"/>
          </w:tcPr>
          <w:p w14:paraId="6D587D16" w14:textId="77777777" w:rsidR="009621C7" w:rsidRDefault="009621C7" w:rsidP="00422E8C">
            <w:r>
              <w:t>paracetamol</w:t>
            </w:r>
          </w:p>
        </w:tc>
      </w:tr>
      <w:tr w:rsidR="009621C7" w14:paraId="6902A421" w14:textId="77777777" w:rsidTr="008C51DE">
        <w:trPr>
          <w:cnfStyle w:val="000000100000" w:firstRow="0" w:lastRow="0" w:firstColumn="0" w:lastColumn="0" w:oddVBand="0" w:evenVBand="0" w:oddHBand="1" w:evenHBand="0" w:firstRowFirstColumn="0" w:firstRowLastColumn="0" w:lastRowFirstColumn="0" w:lastRowLastColumn="0"/>
          <w:trHeight w:val="453"/>
        </w:trPr>
        <w:tc>
          <w:tcPr>
            <w:tcW w:w="955" w:type="pct"/>
          </w:tcPr>
          <w:p w14:paraId="49C3B6AC" w14:textId="77777777" w:rsidR="009621C7" w:rsidRDefault="009621C7" w:rsidP="00422E8C">
            <w:r>
              <w:t>ASA</w:t>
            </w:r>
          </w:p>
        </w:tc>
        <w:tc>
          <w:tcPr>
            <w:tcW w:w="4045" w:type="pct"/>
          </w:tcPr>
          <w:p w14:paraId="7443D300" w14:textId="77777777" w:rsidR="009621C7" w:rsidRDefault="009621C7" w:rsidP="00422E8C">
            <w:r>
              <w:t>acetylsalicylic acid</w:t>
            </w:r>
          </w:p>
        </w:tc>
      </w:tr>
      <w:tr w:rsidR="009621C7" w14:paraId="0B0B1B16" w14:textId="77777777" w:rsidTr="008C51DE">
        <w:trPr>
          <w:trHeight w:val="60"/>
        </w:trPr>
        <w:tc>
          <w:tcPr>
            <w:tcW w:w="955" w:type="pct"/>
          </w:tcPr>
          <w:p w14:paraId="255F6D04" w14:textId="77777777" w:rsidR="009621C7" w:rsidRDefault="009621C7" w:rsidP="00422E8C">
            <w:r>
              <w:t>AZA</w:t>
            </w:r>
          </w:p>
        </w:tc>
        <w:tc>
          <w:tcPr>
            <w:tcW w:w="4045" w:type="pct"/>
          </w:tcPr>
          <w:p w14:paraId="58E602ED" w14:textId="77777777" w:rsidR="009621C7" w:rsidRDefault="009621C7" w:rsidP="00422E8C">
            <w:proofErr w:type="spellStart"/>
            <w:r>
              <w:t>azATHIOPRINE</w:t>
            </w:r>
            <w:proofErr w:type="spellEnd"/>
          </w:p>
        </w:tc>
      </w:tr>
      <w:tr w:rsidR="009621C7" w14:paraId="3D6D5BCE"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441ADE6D" w14:textId="77777777" w:rsidR="009621C7" w:rsidRDefault="009621C7" w:rsidP="00422E8C">
            <w:r>
              <w:t>AZT</w:t>
            </w:r>
          </w:p>
        </w:tc>
        <w:tc>
          <w:tcPr>
            <w:tcW w:w="4045" w:type="pct"/>
          </w:tcPr>
          <w:p w14:paraId="55D3E7B8" w14:textId="77777777" w:rsidR="009621C7" w:rsidRDefault="009621C7" w:rsidP="00422E8C">
            <w:r>
              <w:t>zidovudine</w:t>
            </w:r>
          </w:p>
        </w:tc>
      </w:tr>
      <w:tr w:rsidR="009621C7" w14:paraId="2472E52C" w14:textId="77777777" w:rsidTr="008C51DE">
        <w:trPr>
          <w:trHeight w:val="524"/>
        </w:trPr>
        <w:tc>
          <w:tcPr>
            <w:tcW w:w="955" w:type="pct"/>
          </w:tcPr>
          <w:p w14:paraId="2767BF23" w14:textId="77777777" w:rsidR="009621C7" w:rsidRDefault="009621C7" w:rsidP="00422E8C">
            <w:r>
              <w:t>CBD</w:t>
            </w:r>
          </w:p>
        </w:tc>
        <w:tc>
          <w:tcPr>
            <w:tcW w:w="4045" w:type="pct"/>
          </w:tcPr>
          <w:p w14:paraId="521C5843" w14:textId="77777777" w:rsidR="009621C7" w:rsidRDefault="009621C7" w:rsidP="00422E8C">
            <w:r>
              <w:t>cannabidiol</w:t>
            </w:r>
          </w:p>
        </w:tc>
      </w:tr>
      <w:tr w:rsidR="009621C7" w14:paraId="761F10D4" w14:textId="77777777" w:rsidTr="008C51DE">
        <w:trPr>
          <w:cnfStyle w:val="000000100000" w:firstRow="0" w:lastRow="0" w:firstColumn="0" w:lastColumn="0" w:oddVBand="0" w:evenVBand="0" w:oddHBand="1" w:evenHBand="0" w:firstRowFirstColumn="0" w:firstRowLastColumn="0" w:lastRowFirstColumn="0" w:lastRowLastColumn="0"/>
          <w:trHeight w:val="524"/>
        </w:trPr>
        <w:tc>
          <w:tcPr>
            <w:tcW w:w="955" w:type="pct"/>
          </w:tcPr>
          <w:p w14:paraId="66CE92DD" w14:textId="77777777" w:rsidR="009621C7" w:rsidRDefault="009621C7" w:rsidP="00422E8C">
            <w:r>
              <w:t>CBN</w:t>
            </w:r>
          </w:p>
        </w:tc>
        <w:tc>
          <w:tcPr>
            <w:tcW w:w="4045" w:type="pct"/>
          </w:tcPr>
          <w:p w14:paraId="1DE505DF" w14:textId="77777777" w:rsidR="009621C7" w:rsidRDefault="009621C7" w:rsidP="00422E8C">
            <w:r>
              <w:t>cannabinol</w:t>
            </w:r>
          </w:p>
        </w:tc>
      </w:tr>
      <w:tr w:rsidR="009621C7" w14:paraId="4B92DB25" w14:textId="77777777" w:rsidTr="008C51DE">
        <w:trPr>
          <w:trHeight w:val="60"/>
        </w:trPr>
        <w:tc>
          <w:tcPr>
            <w:tcW w:w="955" w:type="pct"/>
          </w:tcPr>
          <w:p w14:paraId="20D58689" w14:textId="77777777" w:rsidR="009621C7" w:rsidRDefault="009621C7" w:rsidP="00422E8C">
            <w:r>
              <w:t>DEX</w:t>
            </w:r>
          </w:p>
        </w:tc>
        <w:tc>
          <w:tcPr>
            <w:tcW w:w="4045" w:type="pct"/>
          </w:tcPr>
          <w:p w14:paraId="3A96F070" w14:textId="77777777" w:rsidR="009621C7" w:rsidRDefault="009621C7" w:rsidP="00422E8C">
            <w:proofErr w:type="spellStart"/>
            <w:r>
              <w:t>dexAMETHasone</w:t>
            </w:r>
            <w:proofErr w:type="spellEnd"/>
            <w:r>
              <w:t xml:space="preserve"> or </w:t>
            </w:r>
            <w:proofErr w:type="spellStart"/>
            <w:r>
              <w:t>dexmedeTOMIDine</w:t>
            </w:r>
            <w:proofErr w:type="spellEnd"/>
            <w:r>
              <w:t xml:space="preserve"> or </w:t>
            </w:r>
            <w:proofErr w:type="spellStart"/>
            <w:r>
              <w:t>dexamfetamine</w:t>
            </w:r>
            <w:proofErr w:type="spellEnd"/>
          </w:p>
        </w:tc>
      </w:tr>
      <w:tr w:rsidR="009621C7" w14:paraId="5911D78E"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5BEDE7D7" w14:textId="77777777" w:rsidR="009621C7" w:rsidRDefault="009621C7" w:rsidP="00422E8C">
            <w:r>
              <w:t>EPO</w:t>
            </w:r>
          </w:p>
        </w:tc>
        <w:tc>
          <w:tcPr>
            <w:tcW w:w="4045" w:type="pct"/>
          </w:tcPr>
          <w:p w14:paraId="50E4154C" w14:textId="77777777" w:rsidR="009621C7" w:rsidRDefault="009621C7" w:rsidP="00422E8C">
            <w:r>
              <w:t>epoetin</w:t>
            </w:r>
          </w:p>
        </w:tc>
      </w:tr>
      <w:tr w:rsidR="009621C7" w14:paraId="16AC9932" w14:textId="77777777" w:rsidTr="008C51DE">
        <w:trPr>
          <w:trHeight w:val="60"/>
        </w:trPr>
        <w:tc>
          <w:tcPr>
            <w:tcW w:w="955" w:type="pct"/>
          </w:tcPr>
          <w:p w14:paraId="1C873F5A" w14:textId="77777777" w:rsidR="009621C7" w:rsidRDefault="009621C7" w:rsidP="00422E8C">
            <w:r>
              <w:t>G</w:t>
            </w:r>
            <w:r>
              <w:rPr>
                <w:rFonts w:ascii="Cambria Math" w:hAnsi="Cambria Math" w:cs="Cambria Math"/>
              </w:rPr>
              <w:t>‑</w:t>
            </w:r>
            <w:r>
              <w:t>CSF</w:t>
            </w:r>
          </w:p>
        </w:tc>
        <w:tc>
          <w:tcPr>
            <w:tcW w:w="4045" w:type="pct"/>
          </w:tcPr>
          <w:p w14:paraId="0B960E3B" w14:textId="77777777" w:rsidR="009621C7" w:rsidRDefault="009621C7" w:rsidP="00422E8C">
            <w:r>
              <w:t xml:space="preserve">granulocyte colony stimulating factor, or active ingredient name of the medicine: filgrastim, </w:t>
            </w:r>
            <w:proofErr w:type="spellStart"/>
            <w:r>
              <w:t>lenograstim</w:t>
            </w:r>
            <w:proofErr w:type="spellEnd"/>
            <w:r>
              <w:t xml:space="preserve">, </w:t>
            </w:r>
            <w:proofErr w:type="spellStart"/>
            <w:r>
              <w:t>lipegfilgrastim</w:t>
            </w:r>
            <w:proofErr w:type="spellEnd"/>
            <w:r>
              <w:t xml:space="preserve"> or </w:t>
            </w:r>
            <w:proofErr w:type="spellStart"/>
            <w:r>
              <w:t>pegfilgrastim</w:t>
            </w:r>
            <w:proofErr w:type="spellEnd"/>
          </w:p>
        </w:tc>
      </w:tr>
      <w:tr w:rsidR="009621C7" w14:paraId="5D99236A"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767DC9A2" w14:textId="77777777" w:rsidR="009621C7" w:rsidRDefault="009621C7" w:rsidP="00422E8C">
            <w:r>
              <w:t>G5W, D5W</w:t>
            </w:r>
          </w:p>
        </w:tc>
        <w:tc>
          <w:tcPr>
            <w:tcW w:w="4045" w:type="pct"/>
          </w:tcPr>
          <w:p w14:paraId="52AD4E13" w14:textId="77777777" w:rsidR="009621C7" w:rsidRDefault="009621C7" w:rsidP="00422E8C">
            <w:r>
              <w:t>5% glucose in water</w:t>
            </w:r>
          </w:p>
        </w:tc>
      </w:tr>
      <w:tr w:rsidR="009621C7" w14:paraId="6BB85F7E" w14:textId="77777777" w:rsidTr="008C51DE">
        <w:trPr>
          <w:trHeight w:val="60"/>
        </w:trPr>
        <w:tc>
          <w:tcPr>
            <w:tcW w:w="955" w:type="pct"/>
          </w:tcPr>
          <w:p w14:paraId="56F084A7" w14:textId="77777777" w:rsidR="009621C7" w:rsidRDefault="009621C7" w:rsidP="00422E8C">
            <w:r>
              <w:lastRenderedPageBreak/>
              <w:t>GTN</w:t>
            </w:r>
          </w:p>
        </w:tc>
        <w:tc>
          <w:tcPr>
            <w:tcW w:w="4045" w:type="pct"/>
          </w:tcPr>
          <w:p w14:paraId="641DF121" w14:textId="77777777" w:rsidR="009621C7" w:rsidRDefault="009621C7" w:rsidP="00422E8C">
            <w:r>
              <w:t>glyceryl trinitrate</w:t>
            </w:r>
          </w:p>
        </w:tc>
      </w:tr>
      <w:tr w:rsidR="009621C7" w14:paraId="427359A8"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1B34632E" w14:textId="77777777" w:rsidR="009621C7" w:rsidRDefault="009621C7" w:rsidP="00422E8C">
            <w:r>
              <w:t>HCl</w:t>
            </w:r>
          </w:p>
        </w:tc>
        <w:tc>
          <w:tcPr>
            <w:tcW w:w="4045" w:type="pct"/>
          </w:tcPr>
          <w:p w14:paraId="43CD9FAC" w14:textId="77777777" w:rsidR="009621C7" w:rsidRDefault="009621C7" w:rsidP="00422E8C">
            <w:r>
              <w:t>hydrochloric acid</w:t>
            </w:r>
          </w:p>
        </w:tc>
      </w:tr>
      <w:tr w:rsidR="009621C7" w14:paraId="5FFB9A10" w14:textId="77777777" w:rsidTr="008C51DE">
        <w:trPr>
          <w:trHeight w:val="60"/>
        </w:trPr>
        <w:tc>
          <w:tcPr>
            <w:tcW w:w="955" w:type="pct"/>
          </w:tcPr>
          <w:p w14:paraId="5E436981" w14:textId="77777777" w:rsidR="009621C7" w:rsidRDefault="009621C7" w:rsidP="00422E8C">
            <w:r>
              <w:t>HCT</w:t>
            </w:r>
          </w:p>
        </w:tc>
        <w:tc>
          <w:tcPr>
            <w:tcW w:w="4045" w:type="pct"/>
          </w:tcPr>
          <w:p w14:paraId="5B337425" w14:textId="77777777" w:rsidR="009621C7" w:rsidRDefault="009621C7" w:rsidP="00422E8C">
            <w:r>
              <w:t xml:space="preserve">hydrocortisone or </w:t>
            </w:r>
            <w:proofErr w:type="spellStart"/>
            <w:r>
              <w:t>hydrOCHLOROTHIAZIDe</w:t>
            </w:r>
            <w:proofErr w:type="spellEnd"/>
          </w:p>
        </w:tc>
      </w:tr>
      <w:tr w:rsidR="009621C7" w14:paraId="2275576E"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525243DC" w14:textId="77777777" w:rsidR="009621C7" w:rsidRDefault="009621C7" w:rsidP="00422E8C">
            <w:r>
              <w:t>HCTZ</w:t>
            </w:r>
          </w:p>
        </w:tc>
        <w:tc>
          <w:tcPr>
            <w:tcW w:w="4045" w:type="pct"/>
          </w:tcPr>
          <w:p w14:paraId="390225EA" w14:textId="77777777" w:rsidR="009621C7" w:rsidRDefault="009621C7" w:rsidP="00422E8C">
            <w:proofErr w:type="spellStart"/>
            <w:r>
              <w:t>hydrOCHLOROTHIAZIDe</w:t>
            </w:r>
            <w:proofErr w:type="spellEnd"/>
          </w:p>
        </w:tc>
      </w:tr>
      <w:tr w:rsidR="009621C7" w14:paraId="4F7E12E0" w14:textId="77777777" w:rsidTr="008C51DE">
        <w:trPr>
          <w:trHeight w:val="60"/>
        </w:trPr>
        <w:tc>
          <w:tcPr>
            <w:tcW w:w="955" w:type="pct"/>
          </w:tcPr>
          <w:p w14:paraId="0AA7CD23" w14:textId="77777777" w:rsidR="009621C7" w:rsidRDefault="009621C7" w:rsidP="00422E8C">
            <w:r>
              <w:t>ISMN</w:t>
            </w:r>
          </w:p>
        </w:tc>
        <w:tc>
          <w:tcPr>
            <w:tcW w:w="4045" w:type="pct"/>
          </w:tcPr>
          <w:p w14:paraId="627577B4" w14:textId="77777777" w:rsidR="009621C7" w:rsidRDefault="009621C7" w:rsidP="00422E8C">
            <w:r>
              <w:t>isosorbide mononitrate</w:t>
            </w:r>
          </w:p>
        </w:tc>
      </w:tr>
      <w:tr w:rsidR="009621C7" w14:paraId="29DE0753"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32A6F717" w14:textId="77777777" w:rsidR="009621C7" w:rsidRDefault="009621C7" w:rsidP="00422E8C">
            <w:proofErr w:type="spellStart"/>
            <w:r>
              <w:t>KCl</w:t>
            </w:r>
            <w:proofErr w:type="spellEnd"/>
          </w:p>
        </w:tc>
        <w:tc>
          <w:tcPr>
            <w:tcW w:w="4045" w:type="pct"/>
          </w:tcPr>
          <w:p w14:paraId="4A61ED6B" w14:textId="77777777" w:rsidR="009621C7" w:rsidRDefault="009621C7" w:rsidP="00422E8C">
            <w:r>
              <w:t>potassium chloride</w:t>
            </w:r>
            <w:r w:rsidRPr="00F55CE2">
              <w:footnoteReference w:id="4"/>
            </w:r>
            <w:r>
              <w:t xml:space="preserve"> </w:t>
            </w:r>
          </w:p>
        </w:tc>
      </w:tr>
      <w:tr w:rsidR="009621C7" w14:paraId="125FE596" w14:textId="77777777" w:rsidTr="008C51DE">
        <w:trPr>
          <w:trHeight w:val="60"/>
        </w:trPr>
        <w:tc>
          <w:tcPr>
            <w:tcW w:w="955" w:type="pct"/>
          </w:tcPr>
          <w:p w14:paraId="45CBD2BE" w14:textId="77777777" w:rsidR="009621C7" w:rsidRDefault="009621C7" w:rsidP="00422E8C">
            <w:r>
              <w:t>LMWH</w:t>
            </w:r>
          </w:p>
        </w:tc>
        <w:tc>
          <w:tcPr>
            <w:tcW w:w="4045" w:type="pct"/>
          </w:tcPr>
          <w:p w14:paraId="3760A9D3" w14:textId="77777777" w:rsidR="009621C7" w:rsidRDefault="009621C7" w:rsidP="00422E8C">
            <w:r>
              <w:t>low molecular weight heparin</w:t>
            </w:r>
          </w:p>
        </w:tc>
      </w:tr>
      <w:tr w:rsidR="009621C7" w14:paraId="7222D4F5"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03F76E7B" w14:textId="77777777" w:rsidR="009621C7" w:rsidRDefault="009621C7" w:rsidP="00422E8C">
            <w:r>
              <w:t>MgSO</w:t>
            </w:r>
            <w:r>
              <w:rPr>
                <w:rStyle w:val="Subscript"/>
              </w:rPr>
              <w:t>4</w:t>
            </w:r>
          </w:p>
        </w:tc>
        <w:tc>
          <w:tcPr>
            <w:tcW w:w="4045" w:type="pct"/>
          </w:tcPr>
          <w:p w14:paraId="465626FF" w14:textId="77777777" w:rsidR="009621C7" w:rsidRDefault="009621C7" w:rsidP="00422E8C">
            <w:r>
              <w:t xml:space="preserve">magnesium </w:t>
            </w:r>
            <w:proofErr w:type="spellStart"/>
            <w:r>
              <w:t>sulfate</w:t>
            </w:r>
            <w:proofErr w:type="spellEnd"/>
            <w:r>
              <w:t xml:space="preserve"> </w:t>
            </w:r>
          </w:p>
        </w:tc>
      </w:tr>
      <w:tr w:rsidR="009621C7" w14:paraId="425FFA1A" w14:textId="77777777" w:rsidTr="008C51DE">
        <w:trPr>
          <w:trHeight w:val="60"/>
        </w:trPr>
        <w:tc>
          <w:tcPr>
            <w:tcW w:w="955" w:type="pct"/>
          </w:tcPr>
          <w:p w14:paraId="3D50B06B" w14:textId="77777777" w:rsidR="009621C7" w:rsidRDefault="009621C7" w:rsidP="00422E8C">
            <w:r>
              <w:t>MS or MSO</w:t>
            </w:r>
            <w:r>
              <w:rPr>
                <w:rStyle w:val="Subscript"/>
              </w:rPr>
              <w:t>4</w:t>
            </w:r>
          </w:p>
        </w:tc>
        <w:tc>
          <w:tcPr>
            <w:tcW w:w="4045" w:type="pct"/>
          </w:tcPr>
          <w:p w14:paraId="5B8CC49F" w14:textId="77777777" w:rsidR="009621C7" w:rsidRDefault="009621C7" w:rsidP="00422E8C">
            <w:r>
              <w:t xml:space="preserve">morphine, morphine </w:t>
            </w:r>
            <w:proofErr w:type="spellStart"/>
            <w:r>
              <w:t>sulfate</w:t>
            </w:r>
            <w:proofErr w:type="spellEnd"/>
          </w:p>
        </w:tc>
      </w:tr>
      <w:tr w:rsidR="009621C7" w14:paraId="6AB565E9"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770A9853" w14:textId="77777777" w:rsidR="009621C7" w:rsidRDefault="009621C7" w:rsidP="00422E8C">
            <w:r>
              <w:t>MTX</w:t>
            </w:r>
          </w:p>
        </w:tc>
        <w:tc>
          <w:tcPr>
            <w:tcW w:w="4045" w:type="pct"/>
          </w:tcPr>
          <w:p w14:paraId="6C82A308" w14:textId="77777777" w:rsidR="009621C7" w:rsidRDefault="009621C7" w:rsidP="00422E8C">
            <w:r>
              <w:t>methotrexate</w:t>
            </w:r>
          </w:p>
        </w:tc>
      </w:tr>
      <w:tr w:rsidR="009621C7" w14:paraId="21470CAF" w14:textId="77777777" w:rsidTr="008C51DE">
        <w:trPr>
          <w:trHeight w:val="60"/>
        </w:trPr>
        <w:tc>
          <w:tcPr>
            <w:tcW w:w="955" w:type="pct"/>
          </w:tcPr>
          <w:p w14:paraId="4C138D29" w14:textId="77777777" w:rsidR="009621C7" w:rsidRDefault="009621C7" w:rsidP="00422E8C">
            <w:r>
              <w:t>NaCl, saline, NS</w:t>
            </w:r>
          </w:p>
        </w:tc>
        <w:tc>
          <w:tcPr>
            <w:tcW w:w="4045" w:type="pct"/>
          </w:tcPr>
          <w:p w14:paraId="251B3EDB" w14:textId="77777777" w:rsidR="009621C7" w:rsidRDefault="009621C7" w:rsidP="00422E8C">
            <w:r>
              <w:t>sodium chloride, sodium chloride 0.9%</w:t>
            </w:r>
          </w:p>
        </w:tc>
      </w:tr>
      <w:tr w:rsidR="009621C7" w14:paraId="4A295F3D"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3DBE6719" w14:textId="77777777" w:rsidR="009621C7" w:rsidRDefault="009621C7" w:rsidP="00422E8C">
            <w:r>
              <w:t>½ NS</w:t>
            </w:r>
          </w:p>
        </w:tc>
        <w:tc>
          <w:tcPr>
            <w:tcW w:w="4045" w:type="pct"/>
          </w:tcPr>
          <w:p w14:paraId="4C85F589" w14:textId="77777777" w:rsidR="009621C7" w:rsidRDefault="009621C7" w:rsidP="00422E8C">
            <w:r>
              <w:t xml:space="preserve">sodium chloride 0.45% </w:t>
            </w:r>
          </w:p>
        </w:tc>
      </w:tr>
      <w:tr w:rsidR="009621C7" w14:paraId="202FEF86" w14:textId="77777777" w:rsidTr="008C51DE">
        <w:trPr>
          <w:trHeight w:val="60"/>
        </w:trPr>
        <w:tc>
          <w:tcPr>
            <w:tcW w:w="955" w:type="pct"/>
          </w:tcPr>
          <w:p w14:paraId="3037722A" w14:textId="77777777" w:rsidR="009621C7" w:rsidRDefault="009621C7" w:rsidP="00422E8C">
            <w:r>
              <w:t>NaHCO</w:t>
            </w:r>
            <w:r>
              <w:rPr>
                <w:rStyle w:val="Subscript"/>
              </w:rPr>
              <w:t>3</w:t>
            </w:r>
          </w:p>
        </w:tc>
        <w:tc>
          <w:tcPr>
            <w:tcW w:w="4045" w:type="pct"/>
          </w:tcPr>
          <w:p w14:paraId="5A238847" w14:textId="77777777" w:rsidR="009621C7" w:rsidRDefault="009621C7" w:rsidP="00422E8C">
            <w:r>
              <w:t>sodium bicarbonate</w:t>
            </w:r>
          </w:p>
        </w:tc>
      </w:tr>
      <w:tr w:rsidR="009621C7" w14:paraId="7262A287"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6A04B873" w14:textId="77777777" w:rsidR="009621C7" w:rsidRDefault="009621C7" w:rsidP="00422E8C">
            <w:r>
              <w:t>NOAC, DOAC</w:t>
            </w:r>
          </w:p>
        </w:tc>
        <w:tc>
          <w:tcPr>
            <w:tcW w:w="4045" w:type="pct"/>
          </w:tcPr>
          <w:p w14:paraId="52250CA3" w14:textId="77777777" w:rsidR="009621C7" w:rsidRDefault="009621C7" w:rsidP="00422E8C">
            <w:r>
              <w:t>Use active ingredient name of the medicine or anticoagulant</w:t>
            </w:r>
          </w:p>
        </w:tc>
      </w:tr>
      <w:tr w:rsidR="009621C7" w14:paraId="16F40954" w14:textId="77777777" w:rsidTr="008C51DE">
        <w:trPr>
          <w:trHeight w:val="419"/>
        </w:trPr>
        <w:tc>
          <w:tcPr>
            <w:tcW w:w="955" w:type="pct"/>
          </w:tcPr>
          <w:p w14:paraId="4D0202AA" w14:textId="77777777" w:rsidR="009621C7" w:rsidRDefault="009621C7" w:rsidP="00422E8C">
            <w:r>
              <w:t>OXY</w:t>
            </w:r>
          </w:p>
        </w:tc>
        <w:tc>
          <w:tcPr>
            <w:tcW w:w="4045" w:type="pct"/>
          </w:tcPr>
          <w:p w14:paraId="612D03B4" w14:textId="77777777" w:rsidR="009621C7" w:rsidRDefault="009621C7" w:rsidP="00422E8C">
            <w:r>
              <w:t>oxycodone (</w:t>
            </w:r>
            <w:proofErr w:type="spellStart"/>
            <w:r>
              <w:t>oxyCONTIN</w:t>
            </w:r>
            <w:proofErr w:type="spellEnd"/>
            <w:r>
              <w:t>) or oxytocin</w:t>
            </w:r>
          </w:p>
        </w:tc>
      </w:tr>
      <w:tr w:rsidR="009621C7" w14:paraId="0345EAE8"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2B169570" w14:textId="77777777" w:rsidR="009621C7" w:rsidRDefault="009621C7" w:rsidP="00422E8C">
            <w:r>
              <w:t>rt</w:t>
            </w:r>
            <w:r>
              <w:rPr>
                <w:rFonts w:ascii="Cambria Math" w:hAnsi="Cambria Math" w:cs="Cambria Math"/>
              </w:rPr>
              <w:t>‑</w:t>
            </w:r>
            <w:r>
              <w:t>PA</w:t>
            </w:r>
          </w:p>
        </w:tc>
        <w:tc>
          <w:tcPr>
            <w:tcW w:w="4045" w:type="pct"/>
          </w:tcPr>
          <w:p w14:paraId="1C6FACD3" w14:textId="77777777" w:rsidR="009621C7" w:rsidRDefault="009621C7" w:rsidP="00422E8C">
            <w:proofErr w:type="spellStart"/>
            <w:r>
              <w:t>reteplase</w:t>
            </w:r>
            <w:proofErr w:type="spellEnd"/>
          </w:p>
        </w:tc>
      </w:tr>
      <w:tr w:rsidR="009621C7" w14:paraId="533F6F1C" w14:textId="77777777" w:rsidTr="008C51DE">
        <w:trPr>
          <w:trHeight w:val="60"/>
        </w:trPr>
        <w:tc>
          <w:tcPr>
            <w:tcW w:w="955" w:type="pct"/>
          </w:tcPr>
          <w:p w14:paraId="2C516800" w14:textId="77777777" w:rsidR="009621C7" w:rsidRDefault="009621C7" w:rsidP="00422E8C">
            <w:r>
              <w:t>T3</w:t>
            </w:r>
          </w:p>
        </w:tc>
        <w:tc>
          <w:tcPr>
            <w:tcW w:w="4045" w:type="pct"/>
          </w:tcPr>
          <w:p w14:paraId="4A0F97CD" w14:textId="2451BA51" w:rsidR="009621C7" w:rsidRDefault="00525F61" w:rsidP="00422E8C">
            <w:r>
              <w:t xml:space="preserve">liothyronine, </w:t>
            </w:r>
            <w:r w:rsidR="009621C7">
              <w:t xml:space="preserve">triiodothyronine (can be mistaken as </w:t>
            </w:r>
            <w:r>
              <w:t>levothyroxine</w:t>
            </w:r>
            <w:r w:rsidR="009621C7">
              <w:t xml:space="preserve">, which is sometimes </w:t>
            </w:r>
            <w:r>
              <w:t>r</w:t>
            </w:r>
            <w:r w:rsidR="009621C7">
              <w:t>eferred to as T3 in error)</w:t>
            </w:r>
          </w:p>
        </w:tc>
      </w:tr>
      <w:tr w:rsidR="009621C7" w14:paraId="2BE86308"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439664A1" w14:textId="77777777" w:rsidR="009621C7" w:rsidRDefault="009621C7" w:rsidP="00422E8C">
            <w:r>
              <w:t>T4</w:t>
            </w:r>
          </w:p>
        </w:tc>
        <w:tc>
          <w:tcPr>
            <w:tcW w:w="4045" w:type="pct"/>
          </w:tcPr>
          <w:p w14:paraId="7B9F5E0F" w14:textId="381ECCEA" w:rsidR="009621C7" w:rsidRDefault="00216FEC" w:rsidP="00422E8C">
            <w:r>
              <w:t>t</w:t>
            </w:r>
            <w:r w:rsidR="009621C7">
              <w:t>hyroxine</w:t>
            </w:r>
            <w:r>
              <w:t>, levothyroxine</w:t>
            </w:r>
          </w:p>
        </w:tc>
      </w:tr>
      <w:tr w:rsidR="009621C7" w14:paraId="6A57B8C3" w14:textId="77777777" w:rsidTr="008C51DE">
        <w:trPr>
          <w:trHeight w:val="60"/>
        </w:trPr>
        <w:tc>
          <w:tcPr>
            <w:tcW w:w="955" w:type="pct"/>
          </w:tcPr>
          <w:p w14:paraId="0D2BEDDF" w14:textId="77777777" w:rsidR="009621C7" w:rsidRDefault="009621C7" w:rsidP="00422E8C">
            <w:r>
              <w:t>TAC</w:t>
            </w:r>
            <w:r>
              <w:rPr>
                <w:sz w:val="24"/>
                <w:szCs w:val="24"/>
                <w:lang w:val="en-GB"/>
              </w:rPr>
              <w:footnoteReference w:id="5"/>
            </w:r>
            <w:r>
              <w:t xml:space="preserve"> </w:t>
            </w:r>
          </w:p>
        </w:tc>
        <w:tc>
          <w:tcPr>
            <w:tcW w:w="4045" w:type="pct"/>
          </w:tcPr>
          <w:p w14:paraId="69512DD2" w14:textId="77777777" w:rsidR="009621C7" w:rsidRDefault="009621C7" w:rsidP="00422E8C">
            <w:proofErr w:type="spellStart"/>
            <w:r>
              <w:t>TACrolimus</w:t>
            </w:r>
            <w:proofErr w:type="spellEnd"/>
          </w:p>
        </w:tc>
      </w:tr>
      <w:tr w:rsidR="009621C7" w14:paraId="58096026"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42580B1F" w14:textId="77777777" w:rsidR="009621C7" w:rsidRDefault="009621C7" w:rsidP="00422E8C">
            <w:r>
              <w:t>THC</w:t>
            </w:r>
          </w:p>
        </w:tc>
        <w:tc>
          <w:tcPr>
            <w:tcW w:w="4045" w:type="pct"/>
          </w:tcPr>
          <w:p w14:paraId="46AF8EE2" w14:textId="77777777" w:rsidR="009621C7" w:rsidRDefault="009621C7" w:rsidP="00422E8C">
            <w:r>
              <w:t>tetrahydrocannabinol</w:t>
            </w:r>
          </w:p>
        </w:tc>
      </w:tr>
      <w:tr w:rsidR="009621C7" w14:paraId="7E532A93" w14:textId="77777777" w:rsidTr="008C51DE">
        <w:trPr>
          <w:trHeight w:val="60"/>
        </w:trPr>
        <w:tc>
          <w:tcPr>
            <w:tcW w:w="955" w:type="pct"/>
          </w:tcPr>
          <w:p w14:paraId="7ABA68CB" w14:textId="2E9C2882" w:rsidR="009621C7" w:rsidRDefault="009621C7" w:rsidP="00422E8C">
            <w:r>
              <w:t>TPA or r</w:t>
            </w:r>
            <w:r>
              <w:rPr>
                <w:rFonts w:ascii="Cambria Math" w:hAnsi="Cambria Math" w:cs="Cambria Math"/>
              </w:rPr>
              <w:t>‑</w:t>
            </w:r>
            <w:r>
              <w:t>TPA or</w:t>
            </w:r>
            <w:r w:rsidR="008C51DE">
              <w:t> </w:t>
            </w:r>
            <w:r>
              <w:t>t</w:t>
            </w:r>
            <w:r>
              <w:rPr>
                <w:rFonts w:ascii="Cambria Math" w:hAnsi="Cambria Math" w:cs="Cambria Math"/>
              </w:rPr>
              <w:t>‑</w:t>
            </w:r>
            <w:r>
              <w:t>PA</w:t>
            </w:r>
          </w:p>
        </w:tc>
        <w:tc>
          <w:tcPr>
            <w:tcW w:w="4045" w:type="pct"/>
          </w:tcPr>
          <w:p w14:paraId="5C532F87" w14:textId="77777777" w:rsidR="009621C7" w:rsidRDefault="009621C7" w:rsidP="00422E8C">
            <w:r>
              <w:t xml:space="preserve">tissue plasminogen activator, or active ingredient name of the medicine: alteplase, </w:t>
            </w:r>
            <w:proofErr w:type="spellStart"/>
            <w:r>
              <w:t>tenecteplase</w:t>
            </w:r>
            <w:proofErr w:type="spellEnd"/>
            <w:r>
              <w:t>, or other medicine within this class</w:t>
            </w:r>
          </w:p>
        </w:tc>
      </w:tr>
      <w:tr w:rsidR="009621C7" w14:paraId="32FC9A0E" w14:textId="77777777" w:rsidTr="008C51DE">
        <w:trPr>
          <w:cnfStyle w:val="000000100000" w:firstRow="0" w:lastRow="0" w:firstColumn="0" w:lastColumn="0" w:oddVBand="0" w:evenVBand="0" w:oddHBand="1" w:evenHBand="0" w:firstRowFirstColumn="0" w:firstRowLastColumn="0" w:lastRowFirstColumn="0" w:lastRowLastColumn="0"/>
          <w:trHeight w:val="60"/>
        </w:trPr>
        <w:tc>
          <w:tcPr>
            <w:tcW w:w="955" w:type="pct"/>
          </w:tcPr>
          <w:p w14:paraId="5795561E" w14:textId="77777777" w:rsidR="009621C7" w:rsidRDefault="009621C7" w:rsidP="00422E8C">
            <w:r>
              <w:t>TNK</w:t>
            </w:r>
          </w:p>
        </w:tc>
        <w:tc>
          <w:tcPr>
            <w:tcW w:w="4045" w:type="pct"/>
          </w:tcPr>
          <w:p w14:paraId="17159B89" w14:textId="77777777" w:rsidR="009621C7" w:rsidRDefault="009621C7" w:rsidP="00422E8C">
            <w:proofErr w:type="spellStart"/>
            <w:r>
              <w:t>tenecteplase</w:t>
            </w:r>
            <w:proofErr w:type="spellEnd"/>
          </w:p>
        </w:tc>
      </w:tr>
      <w:tr w:rsidR="009621C7" w14:paraId="3EF0419D" w14:textId="77777777" w:rsidTr="008C51DE">
        <w:trPr>
          <w:trHeight w:val="60"/>
        </w:trPr>
        <w:tc>
          <w:tcPr>
            <w:tcW w:w="955" w:type="pct"/>
          </w:tcPr>
          <w:p w14:paraId="1FAEE946" w14:textId="77777777" w:rsidR="009621C7" w:rsidRDefault="009621C7" w:rsidP="00422E8C">
            <w:r>
              <w:t>ZnSO</w:t>
            </w:r>
            <w:r>
              <w:rPr>
                <w:rStyle w:val="Subscript"/>
              </w:rPr>
              <w:t>4</w:t>
            </w:r>
          </w:p>
        </w:tc>
        <w:tc>
          <w:tcPr>
            <w:tcW w:w="4045" w:type="pct"/>
          </w:tcPr>
          <w:p w14:paraId="1437E246" w14:textId="77777777" w:rsidR="009621C7" w:rsidRDefault="009621C7" w:rsidP="00422E8C">
            <w:r>
              <w:t xml:space="preserve">zinc </w:t>
            </w:r>
            <w:proofErr w:type="spellStart"/>
            <w:r>
              <w:t>sulfate</w:t>
            </w:r>
            <w:proofErr w:type="spellEnd"/>
          </w:p>
        </w:tc>
      </w:tr>
    </w:tbl>
    <w:p w14:paraId="4FA518FD" w14:textId="4FA6872D" w:rsidR="009621C7" w:rsidRDefault="009621C7" w:rsidP="00D926A0">
      <w:pPr>
        <w:pStyle w:val="Heading2"/>
      </w:pPr>
      <w:bookmarkStart w:id="28" w:name="P7"/>
      <w:bookmarkStart w:id="29" w:name="_Toc184061543"/>
      <w:r>
        <w:lastRenderedPageBreak/>
        <w:t>Best Practice Principle</w:t>
      </w:r>
      <w:r w:rsidR="00C13512">
        <w:t> </w:t>
      </w:r>
      <w:r>
        <w:t>7</w:t>
      </w:r>
      <w:bookmarkEnd w:id="28"/>
      <w:r>
        <w:t>: Write or display days of the week names in full – or at a minimum the first three letters</w:t>
      </w:r>
      <w:bookmarkEnd w:id="29"/>
    </w:p>
    <w:p w14:paraId="0BBC7C5A" w14:textId="77777777" w:rsidR="009621C7" w:rsidRDefault="009621C7" w:rsidP="009621C7">
      <w:r>
        <w:t>For example, ‘Tuesday’ or ‘Tue’.</w:t>
      </w:r>
    </w:p>
    <w:p w14:paraId="58FB4563" w14:textId="10F33A2B" w:rsidR="009621C7" w:rsidRDefault="009621C7" w:rsidP="00D926A0">
      <w:pPr>
        <w:pStyle w:val="Heading2"/>
      </w:pPr>
      <w:bookmarkStart w:id="30" w:name="P8"/>
      <w:bookmarkStart w:id="31" w:name="_Toc184061544"/>
      <w:r>
        <w:t>Best Practice Principle</w:t>
      </w:r>
      <w:r w:rsidR="00C13512">
        <w:t> </w:t>
      </w:r>
      <w:r>
        <w:t>8</w:t>
      </w:r>
      <w:bookmarkEnd w:id="30"/>
      <w:r>
        <w:t>: Incorporate safety features within digital systems to address unavoidable use of abbreviations</w:t>
      </w:r>
      <w:bookmarkEnd w:id="31"/>
    </w:p>
    <w:p w14:paraId="3AA1C5C0" w14:textId="77777777" w:rsidR="009621C7" w:rsidRDefault="009621C7" w:rsidP="009621C7">
      <w:r>
        <w:t>For instance, when the use of an acceptable abbreviation is unavoidable, hovering the computer ‘cursor’ over the abbreviation displays the expansion:</w:t>
      </w:r>
    </w:p>
    <w:p w14:paraId="6B2C27F8" w14:textId="77777777" w:rsidR="009621C7" w:rsidRDefault="009621C7" w:rsidP="00682E97">
      <w:pPr>
        <w:pStyle w:val="ListParagraph"/>
        <w:numPr>
          <w:ilvl w:val="0"/>
          <w:numId w:val="33"/>
        </w:numPr>
      </w:pPr>
      <w:r>
        <w:t xml:space="preserve">NJ = </w:t>
      </w:r>
      <w:proofErr w:type="spellStart"/>
      <w:r>
        <w:t>nasojejunal</w:t>
      </w:r>
      <w:proofErr w:type="spellEnd"/>
    </w:p>
    <w:p w14:paraId="18065167" w14:textId="77777777" w:rsidR="009621C7" w:rsidRDefault="009621C7" w:rsidP="00682E97">
      <w:pPr>
        <w:pStyle w:val="ListParagraph"/>
        <w:numPr>
          <w:ilvl w:val="0"/>
          <w:numId w:val="33"/>
        </w:numPr>
      </w:pPr>
      <w:r>
        <w:t>PCA = patient</w:t>
      </w:r>
      <w:r>
        <w:rPr>
          <w:rFonts w:ascii="Cambria Math" w:hAnsi="Cambria Math" w:cs="Cambria Math"/>
        </w:rPr>
        <w:t>‑</w:t>
      </w:r>
      <w:r>
        <w:t>controlled analgesia</w:t>
      </w:r>
    </w:p>
    <w:p w14:paraId="456D9D15" w14:textId="77777777" w:rsidR="009621C7" w:rsidRDefault="009621C7" w:rsidP="00682E97">
      <w:pPr>
        <w:pStyle w:val="ListParagraph"/>
        <w:numPr>
          <w:ilvl w:val="0"/>
          <w:numId w:val="33"/>
        </w:numPr>
      </w:pPr>
      <w:r>
        <w:t>PEG = percutaneous enteral gastrostomy</w:t>
      </w:r>
    </w:p>
    <w:p w14:paraId="192FFF1B" w14:textId="77777777" w:rsidR="009621C7" w:rsidRDefault="009621C7" w:rsidP="00682E97">
      <w:pPr>
        <w:pStyle w:val="ListParagraph"/>
        <w:numPr>
          <w:ilvl w:val="0"/>
          <w:numId w:val="33"/>
        </w:numPr>
      </w:pPr>
      <w:r>
        <w:t xml:space="preserve">PEJ = percutaneous endoscopic jejunostomy </w:t>
      </w:r>
    </w:p>
    <w:p w14:paraId="615A656E" w14:textId="77777777" w:rsidR="009621C7" w:rsidRDefault="009621C7" w:rsidP="00682E97">
      <w:pPr>
        <w:pStyle w:val="ListParagraph"/>
        <w:numPr>
          <w:ilvl w:val="0"/>
          <w:numId w:val="33"/>
        </w:numPr>
      </w:pPr>
      <w:r>
        <w:t>PICC = peripherally inserted central catheter.</w:t>
      </w:r>
    </w:p>
    <w:p w14:paraId="63F216C2" w14:textId="71EB4D9E" w:rsidR="009621C7" w:rsidRDefault="009621C7" w:rsidP="00D926A0">
      <w:pPr>
        <w:pStyle w:val="Heading2"/>
      </w:pPr>
      <w:bookmarkStart w:id="32" w:name="_Toc184061545"/>
      <w:r>
        <w:t>Best Practice Principle</w:t>
      </w:r>
      <w:r w:rsidR="00C13512">
        <w:t> </w:t>
      </w:r>
      <w:r>
        <w:t>9: Do not include the salt of the chemical unless it is clinically significant</w:t>
      </w:r>
      <w:bookmarkEnd w:id="32"/>
    </w:p>
    <w:p w14:paraId="595FFC99" w14:textId="77777777" w:rsidR="009621C7" w:rsidRDefault="009621C7" w:rsidP="009621C7">
      <w:r>
        <w:t>For example, ‘mycophenolate mofetil’ or ‘mycophenolate sodium’ are examples of salts that are clinically significant. Where a salt is part of the name, it should follow the medicine name and not precede it.</w:t>
      </w:r>
    </w:p>
    <w:p w14:paraId="54AD40CB" w14:textId="0580D67D" w:rsidR="009621C7" w:rsidRDefault="009621C7" w:rsidP="00D926A0">
      <w:pPr>
        <w:pStyle w:val="Heading2"/>
      </w:pPr>
      <w:bookmarkStart w:id="33" w:name="_Toc184061546"/>
      <w:r>
        <w:t>Best Practice Principle</w:t>
      </w:r>
      <w:r w:rsidR="00C13512">
        <w:t> </w:t>
      </w:r>
      <w:r>
        <w:t>10: Use ‘mixed</w:t>
      </w:r>
      <w:r>
        <w:rPr>
          <w:rFonts w:ascii="Cambria Math" w:hAnsi="Cambria Math" w:cs="Cambria Math"/>
        </w:rPr>
        <w:t>‑</w:t>
      </w:r>
      <w:r>
        <w:t>case lettering’ for ‘look</w:t>
      </w:r>
      <w:r>
        <w:rPr>
          <w:rFonts w:ascii="Cambria Math" w:hAnsi="Cambria Math" w:cs="Cambria Math"/>
        </w:rPr>
        <w:t>‑</w:t>
      </w:r>
      <w:r>
        <w:t>alike, sound</w:t>
      </w:r>
      <w:r>
        <w:rPr>
          <w:rFonts w:ascii="Cambria Math" w:hAnsi="Cambria Math" w:cs="Cambria Math"/>
        </w:rPr>
        <w:t>‑</w:t>
      </w:r>
      <w:r>
        <w:t>alike’ (LASA) medicines</w:t>
      </w:r>
      <w:bookmarkEnd w:id="33"/>
    </w:p>
    <w:p w14:paraId="159B88A9" w14:textId="77777777" w:rsidR="009621C7" w:rsidRDefault="009621C7" w:rsidP="009621C7">
      <w:r>
        <w:t xml:space="preserve">This should be done for LASA medicine names known to cause confusion. Refer to the </w:t>
      </w:r>
      <w:hyperlink r:id="rId29" w:history="1">
        <w:r>
          <w:rPr>
            <w:rStyle w:val="Hyperlinkitalics"/>
          </w:rPr>
          <w:t>National Mixed-Case Lettering List</w:t>
        </w:r>
      </w:hyperlink>
      <w:r>
        <w:rPr>
          <w:rStyle w:val="Superscript"/>
        </w:rPr>
        <w:t>26</w:t>
      </w:r>
      <w:r>
        <w:t xml:space="preserve"> for additional guidance, including a standard list that has been developed to help reduce the risk of LASA medicine names selection errors.</w:t>
      </w:r>
      <w:r>
        <w:rPr>
          <w:rStyle w:val="Superscript"/>
        </w:rPr>
        <w:t>26</w:t>
      </w:r>
    </w:p>
    <w:p w14:paraId="0AD677DE" w14:textId="37D4EC01" w:rsidR="009621C7" w:rsidRDefault="009621C7" w:rsidP="00D926A0">
      <w:pPr>
        <w:pStyle w:val="Heading2"/>
      </w:pPr>
      <w:bookmarkStart w:id="34" w:name="P11"/>
      <w:bookmarkStart w:id="35" w:name="_Toc184061547"/>
      <w:r>
        <w:t>Best Practice Principle</w:t>
      </w:r>
      <w:r w:rsidR="00C13512">
        <w:t> </w:t>
      </w:r>
      <w:r>
        <w:t>11</w:t>
      </w:r>
      <w:bookmarkEnd w:id="34"/>
      <w:r>
        <w:t>: Express the dose, preferably as whole numbers, using words or Hindu-Arabic numbers. Apply metric units and do not use trailing zeros</w:t>
      </w:r>
      <w:bookmarkEnd w:id="35"/>
      <w:r>
        <w:t xml:space="preserve"> </w:t>
      </w:r>
    </w:p>
    <w:p w14:paraId="60C1232A" w14:textId="77777777" w:rsidR="009621C7" w:rsidRDefault="009621C7" w:rsidP="00057D6C">
      <w:pPr>
        <w:pStyle w:val="ListParagraph"/>
        <w:numPr>
          <w:ilvl w:val="0"/>
          <w:numId w:val="34"/>
        </w:numPr>
      </w:pPr>
      <w:r w:rsidRPr="00057D6C">
        <w:rPr>
          <w:rStyle w:val="Strong"/>
        </w:rPr>
        <w:t>Use words or Hindu</w:t>
      </w:r>
      <w:r w:rsidRPr="00057D6C">
        <w:rPr>
          <w:rStyle w:val="Strong"/>
          <w:rFonts w:ascii="Cambria Math" w:hAnsi="Cambria Math" w:cs="Cambria Math"/>
        </w:rPr>
        <w:t>‑</w:t>
      </w:r>
      <w:proofErr w:type="spellStart"/>
      <w:r w:rsidRPr="00057D6C">
        <w:rPr>
          <w:rStyle w:val="Strong"/>
        </w:rPr>
        <w:t>arabic</w:t>
      </w:r>
      <w:proofErr w:type="spellEnd"/>
      <w:r w:rsidRPr="00057D6C">
        <w:rPr>
          <w:rStyle w:val="Strong"/>
        </w:rPr>
        <w:t xml:space="preserve"> numbers</w:t>
      </w:r>
      <w:r>
        <w:t xml:space="preserve">. Use 1, 2, 3, etc., preferably followed by a space and then the unit of measure, i.e. ‘1 tab/tablet’, ‘2 puffs’, ‘3 </w:t>
      </w:r>
      <w:proofErr w:type="gramStart"/>
      <w:r>
        <w:t>caps/capsules’</w:t>
      </w:r>
      <w:proofErr w:type="gramEnd"/>
      <w:r>
        <w:t>.</w:t>
      </w:r>
    </w:p>
    <w:p w14:paraId="6C6EDFD7" w14:textId="77777777" w:rsidR="009621C7" w:rsidRDefault="009621C7" w:rsidP="009D71BD">
      <w:pPr>
        <w:pStyle w:val="ListParagraph"/>
        <w:numPr>
          <w:ilvl w:val="0"/>
          <w:numId w:val="34"/>
        </w:numPr>
        <w:ind w:left="714" w:hanging="357"/>
      </w:pPr>
      <w:r w:rsidRPr="00057D6C">
        <w:rPr>
          <w:rStyle w:val="Strong"/>
        </w:rPr>
        <w:t>Do not use Roman (or modified Roman) numerals</w:t>
      </w:r>
      <w:r>
        <w:t>. Do not use ‘</w:t>
      </w:r>
      <w:proofErr w:type="spellStart"/>
      <w:r>
        <w:t>i</w:t>
      </w:r>
      <w:proofErr w:type="spellEnd"/>
      <w:r>
        <w:t>’ to mean one, ‘ii’ to mean two, ‘iii’ for three, ‘v’ for five, etc.</w:t>
      </w:r>
    </w:p>
    <w:p w14:paraId="748E3649" w14:textId="77777777" w:rsidR="009621C7" w:rsidRDefault="009621C7" w:rsidP="00057D6C">
      <w:pPr>
        <w:pStyle w:val="ListParagraph"/>
        <w:numPr>
          <w:ilvl w:val="0"/>
          <w:numId w:val="34"/>
        </w:numPr>
      </w:pPr>
      <w:r w:rsidRPr="00057D6C">
        <w:rPr>
          <w:rStyle w:val="Strong"/>
        </w:rPr>
        <w:t>Use metric units</w:t>
      </w:r>
      <w:r>
        <w:t>.</w:t>
      </w:r>
      <w:r w:rsidRPr="00057D6C">
        <w:footnoteReference w:id="6"/>
      </w:r>
      <w:r>
        <w:t xml:space="preserve"> Use metric units such as ‘gram’ or ‘mL’ rather than Imperial or other measurements. Do not use household measurements such as ‘tsp’ or ‘teaspoon’.</w:t>
      </w:r>
    </w:p>
    <w:p w14:paraId="0EC5800A" w14:textId="77777777" w:rsidR="009621C7" w:rsidRDefault="009621C7" w:rsidP="00057D6C">
      <w:pPr>
        <w:pStyle w:val="ListParagraph"/>
        <w:numPr>
          <w:ilvl w:val="0"/>
          <w:numId w:val="34"/>
        </w:numPr>
      </w:pPr>
      <w:r w:rsidRPr="00057D6C">
        <w:rPr>
          <w:rStyle w:val="Strong"/>
        </w:rPr>
        <w:t>Use a leading zero in front of a decimal point for a dose less than 1</w:t>
      </w:r>
      <w:r>
        <w:t>. Do not use a ‘naked’ decimal point without a leading zero, for example, use ‘0.5’ not ‘.5’.</w:t>
      </w:r>
    </w:p>
    <w:p w14:paraId="49CDBA4D" w14:textId="77777777" w:rsidR="009621C7" w:rsidRDefault="009621C7" w:rsidP="00057D6C">
      <w:pPr>
        <w:pStyle w:val="ListParagraph"/>
        <w:numPr>
          <w:ilvl w:val="0"/>
          <w:numId w:val="34"/>
        </w:numPr>
      </w:pPr>
      <w:r w:rsidRPr="00057D6C">
        <w:rPr>
          <w:rStyle w:val="Strong"/>
        </w:rPr>
        <w:lastRenderedPageBreak/>
        <w:t>Do not use trailing zeros</w:t>
      </w:r>
      <w:r>
        <w:t>. For example, use ‘5’ not ‘5.0’ for doses of medicines expressed in whole numbers. Trailing zeros can be mistaken as a ‘zero’. For example, ‘5.0’ can be mistaken as ‘50’.</w:t>
      </w:r>
    </w:p>
    <w:p w14:paraId="7470FE6D" w14:textId="77777777" w:rsidR="009621C7" w:rsidRDefault="009621C7" w:rsidP="00D00FD1">
      <w:pPr>
        <w:spacing w:before="60" w:after="60"/>
        <w:ind w:left="720"/>
      </w:pPr>
      <w:r>
        <w:rPr>
          <w:rStyle w:val="StrongBoldBlue"/>
        </w:rPr>
        <w:t>Exception:</w:t>
      </w:r>
      <w:r>
        <w:t xml:space="preserve"> While the recording of pathology or laboratory results is out of the scope of this document, it is acknowledged that a ‘trailing zero’ may be used to express the level of precision of the reported value, for example, where blood levels are reported on the chart.</w:t>
      </w:r>
    </w:p>
    <w:p w14:paraId="651F6BA3" w14:textId="3A2D7BB4" w:rsidR="00651F2C" w:rsidRDefault="009621C7" w:rsidP="00651F2C">
      <w:pPr>
        <w:pStyle w:val="ListParagraph"/>
        <w:numPr>
          <w:ilvl w:val="0"/>
          <w:numId w:val="34"/>
        </w:numPr>
      </w:pPr>
      <w:r w:rsidRPr="00651F2C">
        <w:rPr>
          <w:rStyle w:val="Strong"/>
        </w:rPr>
        <w:t>Do not follow abbreviations such as ‘mg’ or ‘mL’ with a decimal point or terminal full stop (‘mg.’ or ‘</w:t>
      </w:r>
      <w:proofErr w:type="spellStart"/>
      <w:r w:rsidRPr="00651F2C">
        <w:rPr>
          <w:rStyle w:val="Strong"/>
        </w:rPr>
        <w:t>mL.</w:t>
      </w:r>
      <w:proofErr w:type="spellEnd"/>
      <w:r w:rsidRPr="00651F2C">
        <w:rPr>
          <w:rStyle w:val="Strong"/>
        </w:rPr>
        <w:t>’)</w:t>
      </w:r>
      <w:r>
        <w:t>. This can be mistaken as the number 1 if written poorly. For instance, use ‘mg’ or ‘mL’, without a terminal full stop.</w:t>
      </w:r>
      <w:r>
        <w:rPr>
          <w:rStyle w:val="Superscript"/>
        </w:rPr>
        <w:t>15</w:t>
      </w:r>
    </w:p>
    <w:p w14:paraId="27D1AEB0" w14:textId="66DA79BD" w:rsidR="009621C7" w:rsidRDefault="009621C7" w:rsidP="00651F2C">
      <w:pPr>
        <w:pStyle w:val="ListParagraph"/>
        <w:numPr>
          <w:ilvl w:val="0"/>
          <w:numId w:val="34"/>
        </w:numPr>
      </w:pPr>
      <w:r w:rsidRPr="00651F2C">
        <w:rPr>
          <w:rStyle w:val="Strong"/>
        </w:rPr>
        <w:t>Express dosage frequency unambiguously</w:t>
      </w:r>
      <w:r>
        <w:t xml:space="preserve">. For example, use ‘three times a week’ not ‘three times weekly’ (nor ‘thrice weekly’), as the latter could be confused as ‘every three </w:t>
      </w:r>
      <w:proofErr w:type="gramStart"/>
      <w:r>
        <w:t>weeks’</w:t>
      </w:r>
      <w:proofErr w:type="gramEnd"/>
      <w:r>
        <w:t>. In addition, when including the days of the week, express in accordance with</w:t>
      </w:r>
      <w:r w:rsidR="00E7512B">
        <w:t xml:space="preserve"> </w:t>
      </w:r>
      <w:r w:rsidR="00E7512B" w:rsidRPr="00E7512B">
        <w:rPr>
          <w:rStyle w:val="Cross-reference"/>
        </w:rPr>
        <w:fldChar w:fldCharType="begin"/>
      </w:r>
      <w:r w:rsidR="00E7512B" w:rsidRPr="00E7512B">
        <w:rPr>
          <w:rStyle w:val="Cross-reference"/>
        </w:rPr>
        <w:instrText xml:space="preserve"> REF P7 \h </w:instrText>
      </w:r>
      <w:r w:rsidR="00E7512B">
        <w:rPr>
          <w:rStyle w:val="Cross-reference"/>
        </w:rPr>
        <w:instrText xml:space="preserve"> \* MERGEFORMAT </w:instrText>
      </w:r>
      <w:r w:rsidR="00E7512B" w:rsidRPr="00E7512B">
        <w:rPr>
          <w:rStyle w:val="Cross-reference"/>
        </w:rPr>
      </w:r>
      <w:r w:rsidR="00E7512B" w:rsidRPr="00E7512B">
        <w:rPr>
          <w:rStyle w:val="Cross-reference"/>
        </w:rPr>
        <w:fldChar w:fldCharType="separate"/>
      </w:r>
      <w:r w:rsidR="00E7512B" w:rsidRPr="00E7512B">
        <w:rPr>
          <w:rStyle w:val="Cross-reference"/>
        </w:rPr>
        <w:t xml:space="preserve">Best Practice </w:t>
      </w:r>
      <w:proofErr w:type="gramStart"/>
      <w:r w:rsidR="00E7512B" w:rsidRPr="00E7512B">
        <w:rPr>
          <w:rStyle w:val="Cross-reference"/>
        </w:rPr>
        <w:t>Principle</w:t>
      </w:r>
      <w:proofErr w:type="gramEnd"/>
      <w:r w:rsidR="00E7512B" w:rsidRPr="00E7512B">
        <w:rPr>
          <w:rStyle w:val="Cross-reference"/>
        </w:rPr>
        <w:t> 7</w:t>
      </w:r>
      <w:r w:rsidR="00E7512B" w:rsidRPr="00E7512B">
        <w:rPr>
          <w:rStyle w:val="Cross-reference"/>
        </w:rPr>
        <w:fldChar w:fldCharType="end"/>
      </w:r>
      <w:r>
        <w:t>.</w:t>
      </w:r>
    </w:p>
    <w:p w14:paraId="32276FDA" w14:textId="762ECB7A" w:rsidR="009621C7" w:rsidRDefault="009621C7" w:rsidP="00D926A0">
      <w:pPr>
        <w:pStyle w:val="Heading2"/>
      </w:pPr>
      <w:bookmarkStart w:id="36" w:name="_Toc184061548"/>
      <w:r>
        <w:t>Best Practice Principle</w:t>
      </w:r>
      <w:r w:rsidR="00C13512">
        <w:t> </w:t>
      </w:r>
      <w:r>
        <w:t>12: Use 24</w:t>
      </w:r>
      <w:r>
        <w:rPr>
          <w:rFonts w:ascii="Cambria Math" w:hAnsi="Cambria Math" w:cs="Cambria Math"/>
        </w:rPr>
        <w:t>‑</w:t>
      </w:r>
      <w:r>
        <w:t>hour time/clock format for time</w:t>
      </w:r>
      <w:r>
        <w:rPr>
          <w:rFonts w:ascii="Cambria Math" w:hAnsi="Cambria Math" w:cs="Cambria Math"/>
        </w:rPr>
        <w:t>‑</w:t>
      </w:r>
      <w:r>
        <w:t>of</w:t>
      </w:r>
      <w:r>
        <w:rPr>
          <w:rFonts w:ascii="Cambria Math" w:hAnsi="Cambria Math" w:cs="Cambria Math"/>
        </w:rPr>
        <w:t>‑</w:t>
      </w:r>
      <w:r>
        <w:t>day administration</w:t>
      </w:r>
      <w:bookmarkEnd w:id="36"/>
    </w:p>
    <w:p w14:paraId="2DFAD6D6" w14:textId="77777777" w:rsidR="009621C7" w:rsidRDefault="009621C7" w:rsidP="009621C7">
      <w:r>
        <w:t>Times using a 24</w:t>
      </w:r>
      <w:r>
        <w:rPr>
          <w:rFonts w:ascii="Cambria Math" w:hAnsi="Cambria Math" w:cs="Cambria Math"/>
        </w:rPr>
        <w:t>‑</w:t>
      </w:r>
      <w:r>
        <w:t>hour clock format should use a colon to separate hours and minutes. To remove ambiguity, for times before and after midday, consider appending with ‘am’ and ‘pm’ respectively. For example, ‘11:30 am’ and ‘14:00 pm’. This may not be practical on a medication chart or necessary within digital systems.</w:t>
      </w:r>
    </w:p>
    <w:p w14:paraId="0B10A504" w14:textId="77777777" w:rsidR="009621C7" w:rsidRDefault="009621C7" w:rsidP="009621C7">
      <w:r>
        <w:t>Midnight medicines administration should be avoided where possible, as ‘00:00’ may be mistaken for midday. Instead consider dosing at a different time, for instance at 11:30 pm.</w:t>
      </w:r>
    </w:p>
    <w:p w14:paraId="7B807887" w14:textId="65BEF1F1" w:rsidR="009621C7" w:rsidRDefault="009621C7" w:rsidP="00D926A0">
      <w:pPr>
        <w:pStyle w:val="Heading2"/>
      </w:pPr>
      <w:bookmarkStart w:id="37" w:name="P13"/>
      <w:bookmarkStart w:id="38" w:name="_Toc184061549"/>
      <w:r>
        <w:t>Best Practice Principle</w:t>
      </w:r>
      <w:r w:rsidR="00C13512">
        <w:t> </w:t>
      </w:r>
      <w:r>
        <w:t>13</w:t>
      </w:r>
      <w:bookmarkEnd w:id="37"/>
      <w:r>
        <w:t>: Express fractions in words</w:t>
      </w:r>
      <w:bookmarkEnd w:id="38"/>
      <w:r>
        <w:t xml:space="preserve"> </w:t>
      </w:r>
    </w:p>
    <w:p w14:paraId="0A9CD725" w14:textId="77777777" w:rsidR="009621C7" w:rsidRDefault="009621C7" w:rsidP="009621C7">
      <w:r>
        <w:t>Write fractions in words to prevent misreading numbers.</w:t>
      </w:r>
    </w:p>
    <w:p w14:paraId="3DF662E9" w14:textId="77777777" w:rsidR="009621C7" w:rsidRDefault="009621C7" w:rsidP="0041575D">
      <w:r>
        <w:t xml:space="preserve">For example: </w:t>
      </w:r>
    </w:p>
    <w:p w14:paraId="303D4E86" w14:textId="77777777" w:rsidR="009621C7" w:rsidRDefault="009621C7" w:rsidP="00CD237C">
      <w:pPr>
        <w:pStyle w:val="ListParagraph"/>
        <w:numPr>
          <w:ilvl w:val="0"/>
          <w:numId w:val="35"/>
        </w:numPr>
      </w:pPr>
      <w:r>
        <w:t xml:space="preserve">‘1/7’ could be interpreted as ‘for one day’, ‘once daily’, ‘for one week’ or ‘once weekly’ </w:t>
      </w:r>
    </w:p>
    <w:p w14:paraId="3AFA4844" w14:textId="77777777" w:rsidR="009621C7" w:rsidRDefault="009621C7" w:rsidP="00CD237C">
      <w:pPr>
        <w:pStyle w:val="ListParagraph"/>
        <w:numPr>
          <w:ilvl w:val="0"/>
          <w:numId w:val="35"/>
        </w:numPr>
      </w:pPr>
      <w:r>
        <w:t>6/24 could be interpreted as ‘every 6 hours’</w:t>
      </w:r>
    </w:p>
    <w:p w14:paraId="2EB32D86" w14:textId="77777777" w:rsidR="009621C7" w:rsidRDefault="009621C7" w:rsidP="00CD237C">
      <w:pPr>
        <w:pStyle w:val="ListParagraph"/>
        <w:numPr>
          <w:ilvl w:val="0"/>
          <w:numId w:val="35"/>
        </w:numPr>
      </w:pPr>
      <w:r>
        <w:t>‘1/2’ (or ‘</w:t>
      </w:r>
      <w:proofErr w:type="gramStart"/>
      <w:r>
        <w:t>½‘</w:t>
      </w:r>
      <w:proofErr w:type="gramEnd"/>
      <w:r>
        <w:t>) could be interpreted as ‘half’ or as ‘one to two’. To avoid confusion, express clearly in full as ‘half’, not ‘0.5’ or ‘½’.</w:t>
      </w:r>
    </w:p>
    <w:p w14:paraId="2AE638D6" w14:textId="236AE123" w:rsidR="009621C7" w:rsidRDefault="009621C7" w:rsidP="00E47B8F">
      <w:pPr>
        <w:pStyle w:val="FigureTableTitle"/>
      </w:pPr>
      <w:bookmarkStart w:id="39" w:name="F2"/>
      <w:bookmarkStart w:id="40" w:name="_Toc184061550"/>
      <w:r>
        <w:t>Figure</w:t>
      </w:r>
      <w:r w:rsidR="00661066">
        <w:t> </w:t>
      </w:r>
      <w:r>
        <w:t>2</w:t>
      </w:r>
      <w:bookmarkEnd w:id="39"/>
      <w:r>
        <w:t>: Fractions in dosing instructions</w:t>
      </w:r>
      <w:bookmarkEnd w:id="40"/>
    </w:p>
    <w:p w14:paraId="5D1F2456" w14:textId="016D5F9A" w:rsidR="009621C7" w:rsidRDefault="00D926A0" w:rsidP="00D926A0">
      <w:r w:rsidRPr="00D926A0">
        <w:rPr>
          <w:noProof/>
        </w:rPr>
        <w:drawing>
          <wp:inline distT="0" distB="0" distL="0" distR="0" wp14:anchorId="5BF9592E" wp14:editId="62559777">
            <wp:extent cx="3984457" cy="2218166"/>
            <wp:effectExtent l="0" t="0" r="3810" b="4445"/>
            <wp:docPr id="392919703" name="Picture 1" descr="Figure 2: Fractions in dosing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19703" name="Picture 1" descr="Figure 2: Fractions in dosing instructions"/>
                    <pic:cNvPicPr/>
                  </pic:nvPicPr>
                  <pic:blipFill>
                    <a:blip r:embed="rId30"/>
                    <a:srcRect t="2062" b="2062"/>
                    <a:stretch>
                      <a:fillRect/>
                    </a:stretch>
                  </pic:blipFill>
                  <pic:spPr bwMode="auto">
                    <a:xfrm>
                      <a:off x="0" y="0"/>
                      <a:ext cx="3984457" cy="2218166"/>
                    </a:xfrm>
                    <a:prstGeom prst="rect">
                      <a:avLst/>
                    </a:prstGeom>
                    <a:ln>
                      <a:noFill/>
                    </a:ln>
                    <a:extLst>
                      <a:ext uri="{53640926-AAD7-44D8-BBD7-CCE9431645EC}">
                        <a14:shadowObscured xmlns:a14="http://schemas.microsoft.com/office/drawing/2010/main"/>
                      </a:ext>
                    </a:extLst>
                  </pic:spPr>
                </pic:pic>
              </a:graphicData>
            </a:graphic>
          </wp:inline>
        </w:drawing>
      </w:r>
    </w:p>
    <w:p w14:paraId="0EC1D2BC" w14:textId="77777777" w:rsidR="009621C7" w:rsidRDefault="009621C7" w:rsidP="003F5B62">
      <w:pPr>
        <w:pStyle w:val="FootnoteText"/>
        <w:rPr>
          <w:rStyle w:val="Superscript"/>
          <w:sz w:val="16"/>
          <w:szCs w:val="16"/>
        </w:rPr>
      </w:pPr>
      <w:r>
        <w:t>This label has been adapted from the National standard for labelling dispensed medicines.</w:t>
      </w:r>
      <w:r>
        <w:rPr>
          <w:rStyle w:val="Superscript"/>
          <w:sz w:val="16"/>
          <w:szCs w:val="16"/>
        </w:rPr>
        <w:t>5</w:t>
      </w:r>
    </w:p>
    <w:p w14:paraId="3CBE2175" w14:textId="6DDD1A2A" w:rsidR="009621C7" w:rsidRDefault="009621C7" w:rsidP="00D926A0">
      <w:pPr>
        <w:pStyle w:val="Heading2"/>
      </w:pPr>
      <w:bookmarkStart w:id="41" w:name="P14"/>
      <w:bookmarkStart w:id="42" w:name="_Toc184061551"/>
      <w:r>
        <w:lastRenderedPageBreak/>
        <w:t>Best Practice Principle</w:t>
      </w:r>
      <w:r w:rsidR="00C13512">
        <w:t> </w:t>
      </w:r>
      <w:r>
        <w:t>14</w:t>
      </w:r>
      <w:bookmarkEnd w:id="41"/>
      <w:r>
        <w:t>: Do not use symbols</w:t>
      </w:r>
      <w:bookmarkEnd w:id="42"/>
    </w:p>
    <w:p w14:paraId="651650F4" w14:textId="77777777" w:rsidR="009621C7" w:rsidRDefault="009621C7" w:rsidP="009621C7">
      <w:r>
        <w:t>Avoid, for example, ‘2º’ to mean ‘every two </w:t>
      </w:r>
      <w:proofErr w:type="gramStart"/>
      <w:r>
        <w:t>hours’</w:t>
      </w:r>
      <w:proofErr w:type="gramEnd"/>
      <w:r>
        <w:t>. This is mostly relevant for handwritten orders.</w:t>
      </w:r>
    </w:p>
    <w:p w14:paraId="242C9D79" w14:textId="77777777" w:rsidR="009621C7" w:rsidRDefault="009621C7" w:rsidP="009621C7">
      <w:r>
        <w:rPr>
          <w:rStyle w:val="StrongBoldBlue"/>
        </w:rPr>
        <w:t>Exception:</w:t>
      </w:r>
      <w:r>
        <w:t xml:space="preserve"> the symbol ‘+’ may be used as a separator in digital displays to combine two or more active ingredients.</w:t>
      </w:r>
      <w:r>
        <w:rPr>
          <w:rStyle w:val="Superscript"/>
        </w:rPr>
        <w:t>5</w:t>
      </w:r>
    </w:p>
    <w:p w14:paraId="5EA1F5F5" w14:textId="0814E4A7" w:rsidR="009621C7" w:rsidRDefault="00E7512B" w:rsidP="009621C7">
      <w:r w:rsidRPr="00E7512B">
        <w:rPr>
          <w:rStyle w:val="Cross-reference"/>
        </w:rPr>
        <w:fldChar w:fldCharType="begin"/>
      </w:r>
      <w:r w:rsidRPr="00E7512B">
        <w:rPr>
          <w:rStyle w:val="Cross-reference"/>
        </w:rPr>
        <w:instrText xml:space="preserve"> REF TC \h </w:instrText>
      </w:r>
      <w:r>
        <w:rPr>
          <w:rStyle w:val="Cross-reference"/>
        </w:rPr>
        <w:instrText xml:space="preserve"> \* MERGEFORMAT </w:instrText>
      </w:r>
      <w:r w:rsidRPr="00E7512B">
        <w:rPr>
          <w:rStyle w:val="Cross-reference"/>
        </w:rPr>
      </w:r>
      <w:r w:rsidRPr="00E7512B">
        <w:rPr>
          <w:rStyle w:val="Cross-reference"/>
        </w:rPr>
        <w:fldChar w:fldCharType="separate"/>
      </w:r>
      <w:r w:rsidRPr="00E7512B">
        <w:rPr>
          <w:rStyle w:val="Cross-reference"/>
        </w:rPr>
        <w:t>Table C</w:t>
      </w:r>
      <w:r w:rsidRPr="00E7512B">
        <w:rPr>
          <w:rStyle w:val="Cross-reference"/>
        </w:rPr>
        <w:fldChar w:fldCharType="end"/>
      </w:r>
      <w:r>
        <w:t xml:space="preserve"> </w:t>
      </w:r>
      <w:r w:rsidR="009621C7">
        <w:t xml:space="preserve">includes examples of symbols that are unacceptable or should be avoided, </w:t>
      </w:r>
      <w:proofErr w:type="gramStart"/>
      <w:r w:rsidR="009621C7">
        <w:t>in particular for</w:t>
      </w:r>
      <w:proofErr w:type="gramEnd"/>
      <w:r w:rsidR="009621C7">
        <w:t xml:space="preserve"> handwritten medicine orders.</w:t>
      </w:r>
    </w:p>
    <w:p w14:paraId="065306B3" w14:textId="327E7015" w:rsidR="009621C7" w:rsidRDefault="009621C7" w:rsidP="00D926A0">
      <w:pPr>
        <w:pStyle w:val="Heading2"/>
      </w:pPr>
      <w:bookmarkStart w:id="43" w:name="_Toc184061552"/>
      <w:r>
        <w:t>Best Practice Principle</w:t>
      </w:r>
      <w:r w:rsidR="00C13512">
        <w:t> </w:t>
      </w:r>
      <w:r>
        <w:t>15: Do not use acronyms or abbreviations for medical terms and procedure names on orders or prescriptions</w:t>
      </w:r>
      <w:bookmarkEnd w:id="43"/>
    </w:p>
    <w:p w14:paraId="3A34AB70" w14:textId="48651570" w:rsidR="009621C7" w:rsidRDefault="009621C7" w:rsidP="009621C7">
      <w:r>
        <w:t>Acronyms or abbreviations can have multiple uses and be mistaken. For example, ‘D/C’ may mean ‘discharge’ or ‘discontinue’; do not use ‘EBM’ to mean ‘expressed breast milk’ or ‘TPLT’ for</w:t>
      </w:r>
      <w:r w:rsidR="00A0089C">
        <w:t> </w:t>
      </w:r>
      <w:r>
        <w:t>‘transplant’.</w:t>
      </w:r>
    </w:p>
    <w:p w14:paraId="11A1BA30" w14:textId="5B1ADEA8" w:rsidR="009621C7" w:rsidRDefault="009621C7" w:rsidP="00D926A0">
      <w:pPr>
        <w:pStyle w:val="Heading2"/>
      </w:pPr>
      <w:bookmarkStart w:id="44" w:name="P16"/>
      <w:bookmarkStart w:id="45" w:name="_Toc184061553"/>
      <w:r>
        <w:t>Best Practice Principle</w:t>
      </w:r>
      <w:r w:rsidR="00C13512">
        <w:t> </w:t>
      </w:r>
      <w:r>
        <w:t>16</w:t>
      </w:r>
      <w:bookmarkEnd w:id="44"/>
      <w:r>
        <w:t>: Express numbers of 1,000 or more</w:t>
      </w:r>
      <w:r w:rsidR="008C3B2E">
        <w:t> </w:t>
      </w:r>
      <w:r>
        <w:t>clearly</w:t>
      </w:r>
      <w:bookmarkEnd w:id="45"/>
    </w:p>
    <w:p w14:paraId="04707665" w14:textId="77777777" w:rsidR="009621C7" w:rsidRDefault="009621C7" w:rsidP="009621C7">
      <w:r>
        <w:t>Use commas for dosing units at or above 1,000 to prevent misreading numbers. In addition, consider using or writing ‘one thousand’ instead of ‘1,000’, and ‘one million’ instead of ‘1,000,000’. Never abbreviate to ‘1 k’ or ‘1 K’, or ‘1 m’ or ‘1 M’, respectively.</w:t>
      </w:r>
    </w:p>
    <w:p w14:paraId="697AA195" w14:textId="467252C7" w:rsidR="009621C7" w:rsidRDefault="009621C7" w:rsidP="009621C7">
      <w:r>
        <w:t xml:space="preserve">Do not abbreviate by using K or M, noting that ‘M’ is the Roman numeral for ‘thousand’. </w:t>
      </w:r>
      <w:r>
        <w:rPr>
          <w:rStyle w:val="Emphasis"/>
        </w:rPr>
        <w:t>See</w:t>
      </w:r>
      <w:r>
        <w:t> </w:t>
      </w:r>
      <w:r w:rsidR="00E7512B" w:rsidRPr="00E7512B">
        <w:rPr>
          <w:rStyle w:val="Cross-reference"/>
        </w:rPr>
        <w:fldChar w:fldCharType="begin"/>
      </w:r>
      <w:r w:rsidR="00E7512B" w:rsidRPr="00E7512B">
        <w:rPr>
          <w:rStyle w:val="Cross-reference"/>
        </w:rPr>
        <w:instrText xml:space="preserve"> REF P11 \h </w:instrText>
      </w:r>
      <w:r w:rsidR="00E7512B">
        <w:rPr>
          <w:rStyle w:val="Cross-reference"/>
        </w:rPr>
        <w:instrText xml:space="preserve"> \* MERGEFORMAT </w:instrText>
      </w:r>
      <w:r w:rsidR="00E7512B" w:rsidRPr="00E7512B">
        <w:rPr>
          <w:rStyle w:val="Cross-reference"/>
        </w:rPr>
      </w:r>
      <w:r w:rsidR="00E7512B" w:rsidRPr="00E7512B">
        <w:rPr>
          <w:rStyle w:val="Cross-reference"/>
        </w:rPr>
        <w:fldChar w:fldCharType="separate"/>
      </w:r>
      <w:r w:rsidR="00E7512B" w:rsidRPr="00E7512B">
        <w:rPr>
          <w:rStyle w:val="Cross-reference"/>
        </w:rPr>
        <w:t xml:space="preserve">Best Practice </w:t>
      </w:r>
      <w:proofErr w:type="gramStart"/>
      <w:r w:rsidR="00E7512B" w:rsidRPr="00E7512B">
        <w:rPr>
          <w:rStyle w:val="Cross-reference"/>
        </w:rPr>
        <w:t>Principle</w:t>
      </w:r>
      <w:proofErr w:type="gramEnd"/>
      <w:r w:rsidR="00E7512B" w:rsidRPr="00E7512B">
        <w:rPr>
          <w:rStyle w:val="Cross-reference"/>
        </w:rPr>
        <w:t> 11</w:t>
      </w:r>
      <w:r w:rsidR="00E7512B" w:rsidRPr="00E7512B">
        <w:rPr>
          <w:rStyle w:val="Cross-reference"/>
        </w:rPr>
        <w:fldChar w:fldCharType="end"/>
      </w:r>
      <w:r>
        <w:t>.</w:t>
      </w:r>
    </w:p>
    <w:p w14:paraId="2095C75E" w14:textId="1E36C94C" w:rsidR="009621C7" w:rsidRDefault="009621C7" w:rsidP="00D926A0">
      <w:pPr>
        <w:pStyle w:val="Heading2"/>
      </w:pPr>
      <w:bookmarkStart w:id="46" w:name="_Toc184061554"/>
      <w:r>
        <w:t>Best Practice Principle</w:t>
      </w:r>
      <w:r w:rsidR="00C13512">
        <w:t> </w:t>
      </w:r>
      <w:r>
        <w:t>17: Use acceptable circled codes on paper-based medication charts</w:t>
      </w:r>
      <w:bookmarkEnd w:id="46"/>
      <w:r>
        <w:t xml:space="preserve"> </w:t>
      </w:r>
    </w:p>
    <w:p w14:paraId="2D0E2CC1" w14:textId="0F4C5646" w:rsidR="009621C7" w:rsidRDefault="009621C7" w:rsidP="009621C7">
      <w:r>
        <w:t xml:space="preserve">The </w:t>
      </w:r>
      <w:hyperlink r:id="rId31" w:history="1">
        <w:r>
          <w:rPr>
            <w:rStyle w:val="Hyperlinkitalics"/>
          </w:rPr>
          <w:t>National Inpatient Medication Chart (NIMC) User Guide</w:t>
        </w:r>
      </w:hyperlink>
      <w:r>
        <w:rPr>
          <w:rStyle w:val="Superscript"/>
        </w:rPr>
        <w:t>27</w:t>
      </w:r>
      <w:r>
        <w:t xml:space="preserve"> includes a list of acceptable circled codes that must be recorded on paper-based medication charts to indicate the reason for not administering a prescribed medicine. For instance, use when administration is not possible or a dose of a medicine needs to be withheld. </w:t>
      </w:r>
      <w:r>
        <w:rPr>
          <w:rStyle w:val="Emphasis"/>
        </w:rPr>
        <w:t xml:space="preserve">See </w:t>
      </w:r>
      <w:r w:rsidR="00621941" w:rsidRPr="00621941">
        <w:rPr>
          <w:rStyle w:val="Cross-reference"/>
        </w:rPr>
        <w:fldChar w:fldCharType="begin"/>
      </w:r>
      <w:r w:rsidR="00621941" w:rsidRPr="00621941">
        <w:rPr>
          <w:rStyle w:val="Cross-reference"/>
        </w:rPr>
        <w:instrText xml:space="preserve"> REF F3 \h </w:instrText>
      </w:r>
      <w:r w:rsidR="00621941">
        <w:rPr>
          <w:rStyle w:val="Cross-reference"/>
        </w:rPr>
        <w:instrText xml:space="preserve"> \* MERGEFORMAT </w:instrText>
      </w:r>
      <w:r w:rsidR="00621941" w:rsidRPr="00621941">
        <w:rPr>
          <w:rStyle w:val="Cross-reference"/>
        </w:rPr>
      </w:r>
      <w:r w:rsidR="00621941" w:rsidRPr="00621941">
        <w:rPr>
          <w:rStyle w:val="Cross-reference"/>
        </w:rPr>
        <w:fldChar w:fldCharType="separate"/>
      </w:r>
      <w:r w:rsidR="00621941" w:rsidRPr="00621941">
        <w:rPr>
          <w:rStyle w:val="Cross-reference"/>
        </w:rPr>
        <w:t>Figure 3</w:t>
      </w:r>
      <w:r w:rsidR="00621941" w:rsidRPr="00621941">
        <w:rPr>
          <w:rStyle w:val="Cross-reference"/>
        </w:rPr>
        <w:fldChar w:fldCharType="end"/>
      </w:r>
      <w:r w:rsidR="00621941">
        <w:t xml:space="preserve"> </w:t>
      </w:r>
      <w:r>
        <w:t xml:space="preserve">and refer to the </w:t>
      </w:r>
      <w:hyperlink r:id="rId32" w:history="1">
        <w:r>
          <w:rPr>
            <w:rStyle w:val="Hyperlink"/>
          </w:rPr>
          <w:t>NIMC User Guide</w:t>
        </w:r>
      </w:hyperlink>
      <w:r>
        <w:rPr>
          <w:rStyle w:val="Superscript"/>
        </w:rPr>
        <w:t>27</w:t>
      </w:r>
      <w:r>
        <w:t xml:space="preserve"> for more information on how to use these codes, including any additional codes that may be applicable. For instance, ‘P’ with a circle around it is used to record that the medicine was administered by the paediatric patient’s parent or carer. </w:t>
      </w:r>
    </w:p>
    <w:p w14:paraId="530E0F4B" w14:textId="77777777" w:rsidR="009621C7" w:rsidRDefault="009621C7" w:rsidP="009621C7">
      <w:r>
        <w:t xml:space="preserve">A circled R/V is included as an acceptable code to indicate that a prescribed medicine is ‘For Review’ as a reason for withholding or not administering a medicine. </w:t>
      </w:r>
    </w:p>
    <w:p w14:paraId="5D6D8404" w14:textId="77777777" w:rsidR="009621C7" w:rsidRDefault="009621C7" w:rsidP="009621C7">
      <w:r>
        <w:rPr>
          <w:rStyle w:val="StrongBoldBlue"/>
        </w:rPr>
        <w:t xml:space="preserve">By circling the code on the medication </w:t>
      </w:r>
      <w:proofErr w:type="gramStart"/>
      <w:r>
        <w:rPr>
          <w:rStyle w:val="StrongBoldBlue"/>
        </w:rPr>
        <w:t>chart</w:t>
      </w:r>
      <w:proofErr w:type="gramEnd"/>
      <w:r>
        <w:rPr>
          <w:rStyle w:val="StrongBoldBlue"/>
        </w:rPr>
        <w:t xml:space="preserve"> it will not accidentally be mistaken or misread as someone’s initials.</w:t>
      </w:r>
    </w:p>
    <w:p w14:paraId="4D6E6A24" w14:textId="3AEF97C3" w:rsidR="009621C7" w:rsidRDefault="009621C7" w:rsidP="002847EB">
      <w:pPr>
        <w:pStyle w:val="FigureTableTitle"/>
        <w:spacing w:after="120"/>
      </w:pPr>
      <w:bookmarkStart w:id="47" w:name="F3"/>
      <w:bookmarkStart w:id="48" w:name="_Toc184061555"/>
      <w:r>
        <w:lastRenderedPageBreak/>
        <w:t>Figure</w:t>
      </w:r>
      <w:r w:rsidR="00621941">
        <w:t> </w:t>
      </w:r>
      <w:r>
        <w:t>3</w:t>
      </w:r>
      <w:bookmarkEnd w:id="47"/>
      <w:r>
        <w:t>: Acceptable codes: Reasons for withholding or not administering</w:t>
      </w:r>
      <w:bookmarkEnd w:id="48"/>
    </w:p>
    <w:p w14:paraId="227F55EE" w14:textId="6133BDF5" w:rsidR="00784C39" w:rsidRPr="00784C39" w:rsidRDefault="00784C39" w:rsidP="00784C39">
      <w:pPr>
        <w:spacing w:after="240"/>
        <w:ind w:hanging="142"/>
      </w:pPr>
      <w:bookmarkStart w:id="49" w:name="TC"/>
      <w:bookmarkStart w:id="50" w:name="_Toc184061556"/>
      <w:r>
        <w:rPr>
          <w:noProof/>
        </w:rPr>
        <w:drawing>
          <wp:inline distT="0" distB="0" distL="0" distR="0" wp14:anchorId="190B5A84" wp14:editId="0C6E9DA5">
            <wp:extent cx="3266028" cy="4185959"/>
            <wp:effectExtent l="0" t="0" r="0" b="5080"/>
            <wp:docPr id="308342613" name="Picture 1" descr="Figure 3: Acceptable codes: Reasons for withholding or not adminis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42613" name="Picture 1" descr="Figure 3: Acceptable codes: Reasons for withholding or not administering"/>
                    <pic:cNvPicPr/>
                  </pic:nvPicPr>
                  <pic:blipFill>
                    <a:blip r:embed="rId33"/>
                    <a:stretch>
                      <a:fillRect/>
                    </a:stretch>
                  </pic:blipFill>
                  <pic:spPr>
                    <a:xfrm>
                      <a:off x="0" y="0"/>
                      <a:ext cx="3266028" cy="4185959"/>
                    </a:xfrm>
                    <a:prstGeom prst="rect">
                      <a:avLst/>
                    </a:prstGeom>
                  </pic:spPr>
                </pic:pic>
              </a:graphicData>
            </a:graphic>
          </wp:inline>
        </w:drawing>
      </w:r>
    </w:p>
    <w:p w14:paraId="44785B44" w14:textId="07BE16DA" w:rsidR="009621C7" w:rsidRDefault="009621C7" w:rsidP="00E47B8F">
      <w:pPr>
        <w:pStyle w:val="FigureTableTitle"/>
      </w:pPr>
      <w:r>
        <w:t>Table</w:t>
      </w:r>
      <w:r w:rsidR="00661066">
        <w:t> </w:t>
      </w:r>
      <w:r>
        <w:t>C</w:t>
      </w:r>
      <w:bookmarkEnd w:id="49"/>
      <w:r>
        <w:t>: Examples of symbols that are unacceptable or should be avoided</w:t>
      </w:r>
      <w:bookmarkEnd w:id="50"/>
    </w:p>
    <w:tbl>
      <w:tblPr>
        <w:tblStyle w:val="RECBanded"/>
        <w:tblW w:w="5000" w:type="pct"/>
        <w:tblLook w:val="0420" w:firstRow="1" w:lastRow="0" w:firstColumn="0" w:lastColumn="0" w:noHBand="0" w:noVBand="1"/>
        <w:tblDescription w:val="Table C: Examples of symbols that are unacceptable or should be avoided"/>
      </w:tblPr>
      <w:tblGrid>
        <w:gridCol w:w="1661"/>
        <w:gridCol w:w="2215"/>
        <w:gridCol w:w="5756"/>
      </w:tblGrid>
      <w:tr w:rsidR="009621C7" w14:paraId="1CEE2050" w14:textId="77777777" w:rsidTr="00F313EB">
        <w:trPr>
          <w:cnfStyle w:val="100000000000" w:firstRow="1" w:lastRow="0" w:firstColumn="0" w:lastColumn="0" w:oddVBand="0" w:evenVBand="0" w:oddHBand="0" w:evenHBand="0" w:firstRowFirstColumn="0" w:firstRowLastColumn="0" w:lastRowFirstColumn="0" w:lastRowLastColumn="0"/>
          <w:trHeight w:val="60"/>
        </w:trPr>
        <w:tc>
          <w:tcPr>
            <w:tcW w:w="862" w:type="pct"/>
          </w:tcPr>
          <w:p w14:paraId="58522441" w14:textId="77777777" w:rsidR="009621C7" w:rsidRDefault="009621C7" w:rsidP="00422E8C">
            <w:r>
              <w:t xml:space="preserve">Unacceptable symbols </w:t>
            </w:r>
          </w:p>
        </w:tc>
        <w:tc>
          <w:tcPr>
            <w:tcW w:w="1150" w:type="pct"/>
          </w:tcPr>
          <w:p w14:paraId="6245C8AC" w14:textId="77777777" w:rsidR="009621C7" w:rsidRDefault="009621C7" w:rsidP="00422E8C">
            <w:r>
              <w:t>Recommended alternative</w:t>
            </w:r>
          </w:p>
        </w:tc>
        <w:tc>
          <w:tcPr>
            <w:tcW w:w="2988" w:type="pct"/>
          </w:tcPr>
          <w:p w14:paraId="2A306061" w14:textId="77777777" w:rsidR="009621C7" w:rsidRDefault="009621C7" w:rsidP="00422E8C">
            <w:r>
              <w:t>Issue/comment</w:t>
            </w:r>
          </w:p>
        </w:tc>
      </w:tr>
      <w:tr w:rsidR="009621C7" w14:paraId="64D2A2AE" w14:textId="77777777" w:rsidTr="00F313E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765A63F1" w14:textId="77777777" w:rsidR="009621C7" w:rsidRDefault="009621C7" w:rsidP="00422E8C">
            <w:r>
              <w:t>&lt; or &gt;</w:t>
            </w:r>
          </w:p>
        </w:tc>
        <w:tc>
          <w:tcPr>
            <w:tcW w:w="1150" w:type="pct"/>
          </w:tcPr>
          <w:p w14:paraId="04B90E50" w14:textId="77777777" w:rsidR="009621C7" w:rsidRDefault="009621C7" w:rsidP="00422E8C">
            <w:r>
              <w:t>less than, greater than (alternative term ‘longer than’ in context of time)</w:t>
            </w:r>
          </w:p>
        </w:tc>
        <w:tc>
          <w:tcPr>
            <w:tcW w:w="2988" w:type="pct"/>
          </w:tcPr>
          <w:p w14:paraId="4A66CCFB" w14:textId="77777777" w:rsidR="009621C7" w:rsidRDefault="009621C7" w:rsidP="00422E8C">
            <w:r>
              <w:t>Can be mistaken, or mistakenly used, as opposite of what is intended; and when handwritten ‘&lt;’ can be mistaken for the number ‘4’, for example, ‘&lt;10’ could be misread as ‘40’</w:t>
            </w:r>
          </w:p>
        </w:tc>
      </w:tr>
      <w:tr w:rsidR="009621C7" w14:paraId="067B5476" w14:textId="77777777" w:rsidTr="00F313EB">
        <w:trPr>
          <w:trHeight w:val="60"/>
        </w:trPr>
        <w:tc>
          <w:tcPr>
            <w:tcW w:w="862" w:type="pct"/>
          </w:tcPr>
          <w:p w14:paraId="7FB7E3D2" w14:textId="77777777" w:rsidR="009621C7" w:rsidRDefault="009621C7" w:rsidP="00422E8C">
            <w:r>
              <w:t>@</w:t>
            </w:r>
          </w:p>
        </w:tc>
        <w:tc>
          <w:tcPr>
            <w:tcW w:w="1150" w:type="pct"/>
          </w:tcPr>
          <w:p w14:paraId="4CABDDBC" w14:textId="77777777" w:rsidR="009621C7" w:rsidRDefault="009621C7" w:rsidP="00422E8C">
            <w:r>
              <w:t>at</w:t>
            </w:r>
          </w:p>
        </w:tc>
        <w:tc>
          <w:tcPr>
            <w:tcW w:w="2988" w:type="pct"/>
          </w:tcPr>
          <w:p w14:paraId="7866453E" w14:textId="77777777" w:rsidR="009621C7" w:rsidRDefault="009621C7" w:rsidP="00422E8C">
            <w:r>
              <w:t>Can be mistaken as the number ‘2’. Mostly relevant when handwritten</w:t>
            </w:r>
          </w:p>
        </w:tc>
      </w:tr>
      <w:tr w:rsidR="009621C7" w14:paraId="54D90D29" w14:textId="77777777" w:rsidTr="00F313E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4463ECF0" w14:textId="77777777" w:rsidR="009621C7" w:rsidRDefault="009621C7" w:rsidP="00422E8C">
            <w:r>
              <w:t>&amp;</w:t>
            </w:r>
          </w:p>
        </w:tc>
        <w:tc>
          <w:tcPr>
            <w:tcW w:w="1150" w:type="pct"/>
          </w:tcPr>
          <w:p w14:paraId="48858442" w14:textId="77777777" w:rsidR="009621C7" w:rsidRDefault="009621C7" w:rsidP="00422E8C">
            <w:r>
              <w:t>and</w:t>
            </w:r>
          </w:p>
        </w:tc>
        <w:tc>
          <w:tcPr>
            <w:tcW w:w="2988" w:type="pct"/>
          </w:tcPr>
          <w:p w14:paraId="452FC659" w14:textId="77777777" w:rsidR="009621C7" w:rsidRDefault="009621C7" w:rsidP="00422E8C">
            <w:r>
              <w:t>Can be mistaken as the number ‘8’. Mostly relevant when handwritten</w:t>
            </w:r>
          </w:p>
        </w:tc>
      </w:tr>
      <w:tr w:rsidR="009621C7" w14:paraId="57BFDFFA" w14:textId="77777777" w:rsidTr="00F313EB">
        <w:trPr>
          <w:trHeight w:val="60"/>
        </w:trPr>
        <w:tc>
          <w:tcPr>
            <w:tcW w:w="862" w:type="pct"/>
          </w:tcPr>
          <w:p w14:paraId="25DACD04" w14:textId="77777777" w:rsidR="009621C7" w:rsidRDefault="009621C7" w:rsidP="00422E8C">
            <w:r>
              <w:t>Ø</w:t>
            </w:r>
          </w:p>
        </w:tc>
        <w:tc>
          <w:tcPr>
            <w:tcW w:w="1150" w:type="pct"/>
          </w:tcPr>
          <w:p w14:paraId="55F7D43D" w14:textId="77777777" w:rsidR="009621C7" w:rsidRDefault="009621C7" w:rsidP="00422E8C">
            <w:r>
              <w:t>‘0’ or ‘zero’ or describe intent in full</w:t>
            </w:r>
          </w:p>
        </w:tc>
        <w:tc>
          <w:tcPr>
            <w:tcW w:w="2988" w:type="pct"/>
          </w:tcPr>
          <w:p w14:paraId="1F96146F" w14:textId="77777777" w:rsidR="009621C7" w:rsidRDefault="009621C7" w:rsidP="00422E8C">
            <w:r>
              <w:t>Can be mistaken as the numbers ‘4’, ‘6’, ‘8’, and ‘9’</w:t>
            </w:r>
          </w:p>
          <w:p w14:paraId="5B9AABDB" w14:textId="77777777" w:rsidR="009621C7" w:rsidRDefault="009621C7" w:rsidP="00422E8C">
            <w:r>
              <w:t>Mostly relevant when handwritten</w:t>
            </w:r>
          </w:p>
        </w:tc>
      </w:tr>
      <w:tr w:rsidR="009621C7" w14:paraId="4B32EC61" w14:textId="77777777" w:rsidTr="00F313E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7700577A" w14:textId="1D482B76" w:rsidR="009621C7" w:rsidRPr="002847EB" w:rsidRDefault="002847EB" w:rsidP="002847EB">
            <w:r w:rsidRPr="002847EB">
              <w:rPr>
                <w:noProof/>
              </w:rPr>
              <w:drawing>
                <wp:inline distT="0" distB="0" distL="0" distR="0" wp14:anchorId="10FA3868" wp14:editId="1552C25C">
                  <wp:extent cx="74428" cy="106680"/>
                  <wp:effectExtent l="0" t="0" r="1905" b="0"/>
                  <wp:docPr id="662657649" name="Picture 1" descr="Circle with line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657649" name="Picture 1" descr="Circle with line underneath"/>
                          <pic:cNvPicPr/>
                        </pic:nvPicPr>
                        <pic:blipFill>
                          <a:blip r:embed="rId34"/>
                          <a:stretch>
                            <a:fillRect/>
                          </a:stretch>
                        </pic:blipFill>
                        <pic:spPr>
                          <a:xfrm>
                            <a:off x="0" y="0"/>
                            <a:ext cx="93456" cy="133953"/>
                          </a:xfrm>
                          <a:prstGeom prst="rect">
                            <a:avLst/>
                          </a:prstGeom>
                        </pic:spPr>
                      </pic:pic>
                    </a:graphicData>
                  </a:graphic>
                </wp:inline>
              </w:drawing>
            </w:r>
          </w:p>
        </w:tc>
        <w:tc>
          <w:tcPr>
            <w:tcW w:w="1150" w:type="pct"/>
          </w:tcPr>
          <w:p w14:paraId="6328E578" w14:textId="77777777" w:rsidR="009621C7" w:rsidRDefault="009621C7" w:rsidP="00422E8C">
            <w:r>
              <w:t>hour</w:t>
            </w:r>
          </w:p>
        </w:tc>
        <w:tc>
          <w:tcPr>
            <w:tcW w:w="2988" w:type="pct"/>
          </w:tcPr>
          <w:p w14:paraId="32F81A11" w14:textId="77777777" w:rsidR="009621C7" w:rsidRDefault="009621C7" w:rsidP="00422E8C">
            <w:r>
              <w:t>Can be mistaken as a zero, or for example ‘q2º’ mistaken for the number ‘q20’. Frequency instructions must be clear</w:t>
            </w:r>
          </w:p>
          <w:p w14:paraId="730CC01C" w14:textId="3C2F792D" w:rsidR="009621C7" w:rsidRDefault="009621C7" w:rsidP="00422E8C">
            <w:r>
              <w:rPr>
                <w:rStyle w:val="Emphasis"/>
              </w:rPr>
              <w:t>See</w:t>
            </w:r>
            <w:r>
              <w:t xml:space="preserve"> </w:t>
            </w:r>
            <w:r w:rsidR="0014318F" w:rsidRPr="0014318F">
              <w:rPr>
                <w:rStyle w:val="Cross-reference"/>
              </w:rPr>
              <w:fldChar w:fldCharType="begin"/>
            </w:r>
            <w:r w:rsidR="0014318F" w:rsidRPr="0014318F">
              <w:rPr>
                <w:rStyle w:val="Cross-reference"/>
              </w:rPr>
              <w:instrText xml:space="preserve"> REF P3 \h </w:instrText>
            </w:r>
            <w:r w:rsidR="0014318F">
              <w:rPr>
                <w:rStyle w:val="Cross-reference"/>
              </w:rPr>
              <w:instrText xml:space="preserve"> \* MERGEFORMAT </w:instrText>
            </w:r>
            <w:r w:rsidR="0014318F" w:rsidRPr="0014318F">
              <w:rPr>
                <w:rStyle w:val="Cross-reference"/>
              </w:rPr>
            </w:r>
            <w:r w:rsidR="0014318F" w:rsidRPr="0014318F">
              <w:rPr>
                <w:rStyle w:val="Cross-reference"/>
              </w:rPr>
              <w:fldChar w:fldCharType="separate"/>
            </w:r>
            <w:r w:rsidR="0014318F" w:rsidRPr="0014318F">
              <w:rPr>
                <w:rStyle w:val="Cross-reference"/>
              </w:rPr>
              <w:t xml:space="preserve">Best Practice </w:t>
            </w:r>
            <w:proofErr w:type="gramStart"/>
            <w:r w:rsidR="0014318F" w:rsidRPr="0014318F">
              <w:rPr>
                <w:rStyle w:val="Cross-reference"/>
              </w:rPr>
              <w:t>Principle</w:t>
            </w:r>
            <w:proofErr w:type="gramEnd"/>
            <w:r w:rsidR="0014318F" w:rsidRPr="0014318F">
              <w:rPr>
                <w:rStyle w:val="Cross-reference"/>
              </w:rPr>
              <w:t> 3</w:t>
            </w:r>
            <w:r w:rsidR="0014318F" w:rsidRPr="0014318F">
              <w:rPr>
                <w:rStyle w:val="Cross-reference"/>
              </w:rPr>
              <w:fldChar w:fldCharType="end"/>
            </w:r>
            <w:r>
              <w:t xml:space="preserve"> and</w:t>
            </w:r>
            <w:r w:rsidR="0014318F">
              <w:t xml:space="preserve"> </w:t>
            </w:r>
            <w:r w:rsidR="0014318F" w:rsidRPr="00E7512B">
              <w:rPr>
                <w:rStyle w:val="Cross-reference"/>
              </w:rPr>
              <w:fldChar w:fldCharType="begin"/>
            </w:r>
            <w:r w:rsidR="0014318F" w:rsidRPr="00E7512B">
              <w:rPr>
                <w:rStyle w:val="Cross-reference"/>
              </w:rPr>
              <w:instrText xml:space="preserve"> REF P11 \h </w:instrText>
            </w:r>
            <w:r w:rsidR="0014318F">
              <w:rPr>
                <w:rStyle w:val="Cross-reference"/>
              </w:rPr>
              <w:instrText xml:space="preserve"> \* MERGEFORMAT </w:instrText>
            </w:r>
            <w:r w:rsidR="0014318F" w:rsidRPr="00E7512B">
              <w:rPr>
                <w:rStyle w:val="Cross-reference"/>
              </w:rPr>
            </w:r>
            <w:r w:rsidR="0014318F" w:rsidRPr="00E7512B">
              <w:rPr>
                <w:rStyle w:val="Cross-reference"/>
              </w:rPr>
              <w:fldChar w:fldCharType="separate"/>
            </w:r>
            <w:r w:rsidR="0014318F" w:rsidRPr="00E7512B">
              <w:rPr>
                <w:rStyle w:val="Cross-reference"/>
              </w:rPr>
              <w:t xml:space="preserve">Best Practice </w:t>
            </w:r>
            <w:proofErr w:type="gramStart"/>
            <w:r w:rsidR="0014318F" w:rsidRPr="00E7512B">
              <w:rPr>
                <w:rStyle w:val="Cross-reference"/>
              </w:rPr>
              <w:t>Principle</w:t>
            </w:r>
            <w:proofErr w:type="gramEnd"/>
            <w:r w:rsidR="0014318F" w:rsidRPr="00E7512B">
              <w:rPr>
                <w:rStyle w:val="Cross-reference"/>
              </w:rPr>
              <w:t> 11</w:t>
            </w:r>
            <w:r w:rsidR="0014318F" w:rsidRPr="00E7512B">
              <w:rPr>
                <w:rStyle w:val="Cross-reference"/>
              </w:rPr>
              <w:fldChar w:fldCharType="end"/>
            </w:r>
          </w:p>
        </w:tc>
      </w:tr>
      <w:tr w:rsidR="009621C7" w14:paraId="717F917F" w14:textId="77777777" w:rsidTr="00F313EB">
        <w:trPr>
          <w:trHeight w:val="60"/>
        </w:trPr>
        <w:tc>
          <w:tcPr>
            <w:tcW w:w="862" w:type="pct"/>
          </w:tcPr>
          <w:p w14:paraId="7BA328F7" w14:textId="77777777" w:rsidR="009621C7" w:rsidRDefault="009621C7" w:rsidP="00422E8C">
            <w:r>
              <w:t>#</w:t>
            </w:r>
          </w:p>
        </w:tc>
        <w:tc>
          <w:tcPr>
            <w:tcW w:w="1150" w:type="pct"/>
          </w:tcPr>
          <w:p w14:paraId="3D6782DE" w14:textId="77777777" w:rsidR="009621C7" w:rsidRDefault="009621C7" w:rsidP="00422E8C">
            <w:r>
              <w:t>DO NOT USE</w:t>
            </w:r>
          </w:p>
        </w:tc>
        <w:tc>
          <w:tcPr>
            <w:tcW w:w="2988" w:type="pct"/>
          </w:tcPr>
          <w:p w14:paraId="4714514B" w14:textId="77777777" w:rsidR="009621C7" w:rsidRDefault="009621C7" w:rsidP="00422E8C">
            <w:r>
              <w:t>Can be mistaken as a number ‘4’ or ‘8’.</w:t>
            </w:r>
          </w:p>
        </w:tc>
      </w:tr>
      <w:tr w:rsidR="009621C7" w14:paraId="5884F95A" w14:textId="77777777" w:rsidTr="00F313E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45FD9A84" w14:textId="77777777" w:rsidR="009621C7" w:rsidRDefault="009621C7" w:rsidP="00422E8C">
            <w:r>
              <w:lastRenderedPageBreak/>
              <w:t>/ (slash mark)</w:t>
            </w:r>
          </w:p>
        </w:tc>
        <w:tc>
          <w:tcPr>
            <w:tcW w:w="1150" w:type="pct"/>
          </w:tcPr>
          <w:p w14:paraId="2D1D8AA7" w14:textId="77777777" w:rsidR="009621C7" w:rsidRDefault="009621C7" w:rsidP="00422E8C">
            <w:r>
              <w:t>‘per’, ‘in’, or other descriptors</w:t>
            </w:r>
          </w:p>
        </w:tc>
        <w:tc>
          <w:tcPr>
            <w:tcW w:w="2988" w:type="pct"/>
          </w:tcPr>
          <w:p w14:paraId="615CF432" w14:textId="77777777" w:rsidR="009621C7" w:rsidRDefault="009621C7" w:rsidP="00422E8C">
            <w:r>
              <w:t>Can be mistaken as the number ‘1’. Mostly relevant when handwritten</w:t>
            </w:r>
          </w:p>
          <w:p w14:paraId="4610FF99" w14:textId="25004D53" w:rsidR="009621C7" w:rsidRDefault="009621C7" w:rsidP="00422E8C">
            <w:r>
              <w:rPr>
                <w:rStyle w:val="Emphasis"/>
              </w:rPr>
              <w:t>See</w:t>
            </w:r>
            <w:r>
              <w:t xml:space="preserve"> </w:t>
            </w:r>
            <w:r w:rsidR="00F7387D" w:rsidRPr="00F7387D">
              <w:rPr>
                <w:rStyle w:val="Cross-reference"/>
              </w:rPr>
              <w:fldChar w:fldCharType="begin"/>
            </w:r>
            <w:r w:rsidR="00F7387D" w:rsidRPr="00F7387D">
              <w:rPr>
                <w:rStyle w:val="Cross-reference"/>
              </w:rPr>
              <w:instrText xml:space="preserve"> REF P5 \h </w:instrText>
            </w:r>
            <w:r w:rsidR="00F7387D">
              <w:rPr>
                <w:rStyle w:val="Cross-reference"/>
              </w:rPr>
              <w:instrText xml:space="preserve"> \* MERGEFORMAT </w:instrText>
            </w:r>
            <w:r w:rsidR="00F7387D" w:rsidRPr="00F7387D">
              <w:rPr>
                <w:rStyle w:val="Cross-reference"/>
              </w:rPr>
            </w:r>
            <w:r w:rsidR="00F7387D" w:rsidRPr="00F7387D">
              <w:rPr>
                <w:rStyle w:val="Cross-reference"/>
              </w:rPr>
              <w:fldChar w:fldCharType="separate"/>
            </w:r>
            <w:r w:rsidR="00F7387D" w:rsidRPr="00F7387D">
              <w:rPr>
                <w:rStyle w:val="Cross-reference"/>
              </w:rPr>
              <w:t xml:space="preserve">Best Practice </w:t>
            </w:r>
            <w:proofErr w:type="gramStart"/>
            <w:r w:rsidR="00F7387D" w:rsidRPr="00F7387D">
              <w:rPr>
                <w:rStyle w:val="Cross-reference"/>
              </w:rPr>
              <w:t>Principle</w:t>
            </w:r>
            <w:proofErr w:type="gramEnd"/>
            <w:r w:rsidR="00F7387D" w:rsidRPr="00F7387D">
              <w:rPr>
                <w:rStyle w:val="Cross-reference"/>
              </w:rPr>
              <w:t> 5</w:t>
            </w:r>
            <w:r w:rsidR="00F7387D" w:rsidRPr="00F7387D">
              <w:rPr>
                <w:rStyle w:val="Cross-reference"/>
              </w:rPr>
              <w:fldChar w:fldCharType="end"/>
            </w:r>
            <w:r>
              <w:t xml:space="preserve">, and </w:t>
            </w:r>
            <w:r w:rsidR="0014318F" w:rsidRPr="0014318F">
              <w:rPr>
                <w:rStyle w:val="Cross-reference"/>
              </w:rPr>
              <w:fldChar w:fldCharType="begin"/>
            </w:r>
            <w:r w:rsidR="0014318F" w:rsidRPr="0014318F">
              <w:rPr>
                <w:rStyle w:val="Cross-reference"/>
              </w:rPr>
              <w:instrText xml:space="preserve"> REF P14 \h </w:instrText>
            </w:r>
            <w:r w:rsidR="0014318F">
              <w:rPr>
                <w:rStyle w:val="Cross-reference"/>
              </w:rPr>
              <w:instrText xml:space="preserve"> \* MERGEFORMAT </w:instrText>
            </w:r>
            <w:r w:rsidR="0014318F" w:rsidRPr="0014318F">
              <w:rPr>
                <w:rStyle w:val="Cross-reference"/>
              </w:rPr>
            </w:r>
            <w:r w:rsidR="0014318F" w:rsidRPr="0014318F">
              <w:rPr>
                <w:rStyle w:val="Cross-reference"/>
              </w:rPr>
              <w:fldChar w:fldCharType="separate"/>
            </w:r>
            <w:r w:rsidR="0014318F" w:rsidRPr="0014318F">
              <w:rPr>
                <w:rStyle w:val="Cross-reference"/>
              </w:rPr>
              <w:t xml:space="preserve">Best Practice </w:t>
            </w:r>
            <w:proofErr w:type="gramStart"/>
            <w:r w:rsidR="0014318F" w:rsidRPr="0014318F">
              <w:rPr>
                <w:rStyle w:val="Cross-reference"/>
              </w:rPr>
              <w:t>Principle</w:t>
            </w:r>
            <w:proofErr w:type="gramEnd"/>
            <w:r w:rsidR="0014318F" w:rsidRPr="0014318F">
              <w:rPr>
                <w:rStyle w:val="Cross-reference"/>
              </w:rPr>
              <w:t> 14</w:t>
            </w:r>
            <w:r w:rsidR="0014318F" w:rsidRPr="0014318F">
              <w:rPr>
                <w:rStyle w:val="Cross-reference"/>
              </w:rPr>
              <w:fldChar w:fldCharType="end"/>
            </w:r>
            <w:r>
              <w:t xml:space="preserve"> and noted ‘exception’ </w:t>
            </w:r>
          </w:p>
          <w:p w14:paraId="152A7DD5" w14:textId="77777777" w:rsidR="009621C7" w:rsidRDefault="009621C7" w:rsidP="00422E8C">
            <w:r>
              <w:rPr>
                <w:rStyle w:val="StrongBoldBlue"/>
              </w:rPr>
              <w:t>Exception:</w:t>
            </w:r>
            <w:r>
              <w:t xml:space="preserve"> retain a slash (‘/’) when this is consistent with presentations of medicine content information (e.g. as a separator), for instance, considered acceptable when expressing concentration and rates of administration </w:t>
            </w:r>
          </w:p>
          <w:p w14:paraId="1A2A016A" w14:textId="4152535D" w:rsidR="009621C7" w:rsidRDefault="009621C7" w:rsidP="00422E8C">
            <w:r>
              <w:rPr>
                <w:rStyle w:val="Emphasis"/>
              </w:rPr>
              <w:t>See</w:t>
            </w:r>
            <w:r>
              <w:t xml:space="preserve"> </w:t>
            </w:r>
            <w:r w:rsidR="0014318F" w:rsidRPr="0014318F">
              <w:rPr>
                <w:rStyle w:val="Cross-reference"/>
              </w:rPr>
              <w:fldChar w:fldCharType="begin"/>
            </w:r>
            <w:r w:rsidR="0014318F" w:rsidRPr="0014318F">
              <w:rPr>
                <w:rStyle w:val="Cross-reference"/>
              </w:rPr>
              <w:instrText xml:space="preserve"> REF TF \h </w:instrText>
            </w:r>
            <w:r w:rsidR="0014318F">
              <w:rPr>
                <w:rStyle w:val="Cross-reference"/>
              </w:rPr>
              <w:instrText xml:space="preserve"> \* MERGEFORMAT </w:instrText>
            </w:r>
            <w:r w:rsidR="0014318F" w:rsidRPr="0014318F">
              <w:rPr>
                <w:rStyle w:val="Cross-reference"/>
              </w:rPr>
            </w:r>
            <w:r w:rsidR="0014318F" w:rsidRPr="0014318F">
              <w:rPr>
                <w:rStyle w:val="Cross-reference"/>
              </w:rPr>
              <w:fldChar w:fldCharType="separate"/>
            </w:r>
            <w:r w:rsidR="0014318F" w:rsidRPr="0014318F">
              <w:rPr>
                <w:rStyle w:val="Cross-reference"/>
              </w:rPr>
              <w:t>Table F</w:t>
            </w:r>
            <w:r w:rsidR="0014318F" w:rsidRPr="0014318F">
              <w:rPr>
                <w:rStyle w:val="Cross-reference"/>
              </w:rPr>
              <w:fldChar w:fldCharType="end"/>
            </w:r>
            <w:r w:rsidR="0014318F">
              <w:t xml:space="preserve"> </w:t>
            </w:r>
            <w:r>
              <w:t>for acceptable expression of dose designations</w:t>
            </w:r>
          </w:p>
        </w:tc>
      </w:tr>
      <w:tr w:rsidR="009621C7" w14:paraId="22461685" w14:textId="77777777" w:rsidTr="00F313EB">
        <w:trPr>
          <w:trHeight w:val="60"/>
        </w:trPr>
        <w:tc>
          <w:tcPr>
            <w:tcW w:w="862" w:type="pct"/>
          </w:tcPr>
          <w:p w14:paraId="005ED43B" w14:textId="77777777" w:rsidR="009621C7" w:rsidRDefault="009621C7" w:rsidP="00422E8C">
            <w:r>
              <w:t>x1</w:t>
            </w:r>
          </w:p>
        </w:tc>
        <w:tc>
          <w:tcPr>
            <w:tcW w:w="1150" w:type="pct"/>
          </w:tcPr>
          <w:p w14:paraId="51008970" w14:textId="77777777" w:rsidR="009621C7" w:rsidRDefault="009621C7" w:rsidP="00422E8C">
            <w:r>
              <w:t>‘once’ or ‘for one dose’</w:t>
            </w:r>
          </w:p>
        </w:tc>
        <w:tc>
          <w:tcPr>
            <w:tcW w:w="2988" w:type="pct"/>
          </w:tcPr>
          <w:p w14:paraId="1CA57BC3" w14:textId="77777777" w:rsidR="009621C7" w:rsidRDefault="009621C7" w:rsidP="00422E8C">
            <w:r>
              <w:t xml:space="preserve">Can be mistaken for an alternative instruction, for instance ‘one day’. Use plain language </w:t>
            </w:r>
          </w:p>
          <w:p w14:paraId="1389A330" w14:textId="33A533B4" w:rsidR="009621C7" w:rsidRDefault="009621C7" w:rsidP="00422E8C">
            <w:r>
              <w:rPr>
                <w:rStyle w:val="Emphasis"/>
              </w:rPr>
              <w:t>See</w:t>
            </w:r>
            <w:r>
              <w:t xml:space="preserve"> </w:t>
            </w:r>
            <w:r w:rsidR="0014318F" w:rsidRPr="0014318F">
              <w:rPr>
                <w:rStyle w:val="Cross-reference"/>
              </w:rPr>
              <w:fldChar w:fldCharType="begin"/>
            </w:r>
            <w:r w:rsidR="0014318F" w:rsidRPr="0014318F">
              <w:rPr>
                <w:rStyle w:val="Cross-reference"/>
              </w:rPr>
              <w:instrText xml:space="preserve"> REF P1 \h </w:instrText>
            </w:r>
            <w:r w:rsidR="0014318F">
              <w:rPr>
                <w:rStyle w:val="Cross-reference"/>
              </w:rPr>
              <w:instrText xml:space="preserve"> \* MERGEFORMAT </w:instrText>
            </w:r>
            <w:r w:rsidR="0014318F" w:rsidRPr="0014318F">
              <w:rPr>
                <w:rStyle w:val="Cross-reference"/>
              </w:rPr>
            </w:r>
            <w:r w:rsidR="0014318F" w:rsidRPr="0014318F">
              <w:rPr>
                <w:rStyle w:val="Cross-reference"/>
              </w:rPr>
              <w:fldChar w:fldCharType="separate"/>
            </w:r>
            <w:r w:rsidR="0014318F" w:rsidRPr="0014318F">
              <w:rPr>
                <w:rStyle w:val="Cross-reference"/>
              </w:rPr>
              <w:t xml:space="preserve">Best Practice </w:t>
            </w:r>
            <w:proofErr w:type="gramStart"/>
            <w:r w:rsidR="0014318F" w:rsidRPr="0014318F">
              <w:rPr>
                <w:rStyle w:val="Cross-reference"/>
              </w:rPr>
              <w:t>Principle</w:t>
            </w:r>
            <w:proofErr w:type="gramEnd"/>
            <w:r w:rsidR="0014318F" w:rsidRPr="0014318F">
              <w:rPr>
                <w:rStyle w:val="Cross-reference"/>
              </w:rPr>
              <w:t> 1</w:t>
            </w:r>
            <w:r w:rsidR="0014318F" w:rsidRPr="0014318F">
              <w:rPr>
                <w:rStyle w:val="Cross-reference"/>
              </w:rPr>
              <w:fldChar w:fldCharType="end"/>
            </w:r>
            <w:r>
              <w:t xml:space="preserve"> and </w:t>
            </w:r>
            <w:r w:rsidR="0014318F" w:rsidRPr="0014318F">
              <w:rPr>
                <w:rStyle w:val="Cross-reference"/>
              </w:rPr>
              <w:fldChar w:fldCharType="begin"/>
            </w:r>
            <w:r w:rsidR="0014318F" w:rsidRPr="0014318F">
              <w:rPr>
                <w:rStyle w:val="Cross-reference"/>
              </w:rPr>
              <w:instrText xml:space="preserve"> REF P3 \h </w:instrText>
            </w:r>
            <w:r w:rsidR="0014318F">
              <w:rPr>
                <w:rStyle w:val="Cross-reference"/>
              </w:rPr>
              <w:instrText xml:space="preserve"> \* MERGEFORMAT </w:instrText>
            </w:r>
            <w:r w:rsidR="0014318F" w:rsidRPr="0014318F">
              <w:rPr>
                <w:rStyle w:val="Cross-reference"/>
              </w:rPr>
            </w:r>
            <w:r w:rsidR="0014318F" w:rsidRPr="0014318F">
              <w:rPr>
                <w:rStyle w:val="Cross-reference"/>
              </w:rPr>
              <w:fldChar w:fldCharType="separate"/>
            </w:r>
            <w:r w:rsidR="0014318F" w:rsidRPr="0014318F">
              <w:rPr>
                <w:rStyle w:val="Cross-reference"/>
              </w:rPr>
              <w:t xml:space="preserve">Best Practice </w:t>
            </w:r>
            <w:proofErr w:type="gramStart"/>
            <w:r w:rsidR="0014318F" w:rsidRPr="0014318F">
              <w:rPr>
                <w:rStyle w:val="Cross-reference"/>
              </w:rPr>
              <w:t>Principle</w:t>
            </w:r>
            <w:proofErr w:type="gramEnd"/>
            <w:r w:rsidR="0014318F" w:rsidRPr="0014318F">
              <w:rPr>
                <w:rStyle w:val="Cross-reference"/>
              </w:rPr>
              <w:t> 3</w:t>
            </w:r>
            <w:r w:rsidR="0014318F" w:rsidRPr="0014318F">
              <w:rPr>
                <w:rStyle w:val="Cross-reference"/>
              </w:rPr>
              <w:fldChar w:fldCharType="end"/>
            </w:r>
          </w:p>
        </w:tc>
      </w:tr>
      <w:tr w:rsidR="009621C7" w14:paraId="09533D45" w14:textId="77777777" w:rsidTr="00F313E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75DABAFD" w14:textId="77777777" w:rsidR="009621C7" w:rsidRDefault="009621C7" w:rsidP="00422E8C">
            <w:r>
              <w:t xml:space="preserve">½, 1/2 </w:t>
            </w:r>
          </w:p>
        </w:tc>
        <w:tc>
          <w:tcPr>
            <w:tcW w:w="1150" w:type="pct"/>
          </w:tcPr>
          <w:p w14:paraId="63447179" w14:textId="77777777" w:rsidR="009621C7" w:rsidRDefault="009621C7" w:rsidP="00422E8C">
            <w:r>
              <w:t>half</w:t>
            </w:r>
          </w:p>
        </w:tc>
        <w:tc>
          <w:tcPr>
            <w:tcW w:w="2988" w:type="pct"/>
          </w:tcPr>
          <w:p w14:paraId="53C208A5" w14:textId="77777777" w:rsidR="009621C7" w:rsidRDefault="009621C7" w:rsidP="00422E8C">
            <w:r>
              <w:t>Avoid fractions, irrespective of font size. Express clearly in full</w:t>
            </w:r>
          </w:p>
          <w:p w14:paraId="55D28C0A" w14:textId="48A9A538" w:rsidR="009621C7" w:rsidRDefault="009621C7" w:rsidP="00422E8C">
            <w:r>
              <w:rPr>
                <w:rStyle w:val="Emphasis"/>
              </w:rPr>
              <w:t>See</w:t>
            </w:r>
            <w:r>
              <w:t xml:space="preserve"> </w:t>
            </w:r>
            <w:r w:rsidR="0014318F" w:rsidRPr="0014318F">
              <w:rPr>
                <w:rStyle w:val="Cross-reference"/>
              </w:rPr>
              <w:fldChar w:fldCharType="begin"/>
            </w:r>
            <w:r w:rsidR="0014318F" w:rsidRPr="0014318F">
              <w:rPr>
                <w:rStyle w:val="Cross-reference"/>
              </w:rPr>
              <w:instrText xml:space="preserve"> REF P13 \h </w:instrText>
            </w:r>
            <w:r w:rsidR="0014318F">
              <w:rPr>
                <w:rStyle w:val="Cross-reference"/>
              </w:rPr>
              <w:instrText xml:space="preserve"> \* MERGEFORMAT </w:instrText>
            </w:r>
            <w:r w:rsidR="0014318F" w:rsidRPr="0014318F">
              <w:rPr>
                <w:rStyle w:val="Cross-reference"/>
              </w:rPr>
            </w:r>
            <w:r w:rsidR="0014318F" w:rsidRPr="0014318F">
              <w:rPr>
                <w:rStyle w:val="Cross-reference"/>
              </w:rPr>
              <w:fldChar w:fldCharType="separate"/>
            </w:r>
            <w:r w:rsidR="0014318F" w:rsidRPr="0014318F">
              <w:rPr>
                <w:rStyle w:val="Cross-reference"/>
              </w:rPr>
              <w:t xml:space="preserve">Best Practice </w:t>
            </w:r>
            <w:proofErr w:type="gramStart"/>
            <w:r w:rsidR="0014318F" w:rsidRPr="0014318F">
              <w:rPr>
                <w:rStyle w:val="Cross-reference"/>
              </w:rPr>
              <w:t>Principle</w:t>
            </w:r>
            <w:proofErr w:type="gramEnd"/>
            <w:r w:rsidR="0014318F" w:rsidRPr="0014318F">
              <w:rPr>
                <w:rStyle w:val="Cross-reference"/>
              </w:rPr>
              <w:t> 13</w:t>
            </w:r>
            <w:r w:rsidR="0014318F" w:rsidRPr="0014318F">
              <w:rPr>
                <w:rStyle w:val="Cross-reference"/>
              </w:rPr>
              <w:fldChar w:fldCharType="end"/>
            </w:r>
          </w:p>
        </w:tc>
      </w:tr>
      <w:tr w:rsidR="009621C7" w14:paraId="1572804C" w14:textId="77777777" w:rsidTr="00F313EB">
        <w:trPr>
          <w:trHeight w:val="710"/>
        </w:trPr>
        <w:tc>
          <w:tcPr>
            <w:tcW w:w="862" w:type="pct"/>
          </w:tcPr>
          <w:p w14:paraId="5962272E" w14:textId="77777777" w:rsidR="009621C7" w:rsidRDefault="009621C7" w:rsidP="00422E8C">
            <w:r>
              <w:t>+</w:t>
            </w:r>
          </w:p>
        </w:tc>
        <w:tc>
          <w:tcPr>
            <w:tcW w:w="1150" w:type="pct"/>
          </w:tcPr>
          <w:p w14:paraId="2585E282" w14:textId="77777777" w:rsidR="009621C7" w:rsidRDefault="009621C7" w:rsidP="00422E8C">
            <w:r>
              <w:t>and</w:t>
            </w:r>
          </w:p>
        </w:tc>
        <w:tc>
          <w:tcPr>
            <w:tcW w:w="2988" w:type="pct"/>
          </w:tcPr>
          <w:p w14:paraId="1C4F640E" w14:textId="77777777" w:rsidR="009621C7" w:rsidRDefault="009621C7" w:rsidP="00422E8C">
            <w:r>
              <w:t>Can be mistaken as the number ‘4’ or a ‘</w:t>
            </w:r>
            <w:r>
              <w:rPr>
                <w:rFonts w:ascii="Cambria Math" w:hAnsi="Cambria Math" w:cs="Cambria Math"/>
              </w:rPr>
              <w:t>‑</w:t>
            </w:r>
            <w:r>
              <w:t>’ (dash)</w:t>
            </w:r>
          </w:p>
          <w:p w14:paraId="2CBE23DC" w14:textId="304A86AC" w:rsidR="009621C7" w:rsidRDefault="009621C7" w:rsidP="00422E8C">
            <w:r>
              <w:rPr>
                <w:rStyle w:val="Emphasis"/>
              </w:rPr>
              <w:t>See</w:t>
            </w:r>
            <w:r>
              <w:t xml:space="preserve"> </w:t>
            </w:r>
            <w:r w:rsidR="00F7387D" w:rsidRPr="00F7387D">
              <w:rPr>
                <w:rStyle w:val="Cross-reference"/>
              </w:rPr>
              <w:fldChar w:fldCharType="begin"/>
            </w:r>
            <w:r w:rsidR="00F7387D" w:rsidRPr="00F7387D">
              <w:rPr>
                <w:rStyle w:val="Cross-reference"/>
              </w:rPr>
              <w:instrText xml:space="preserve"> REF P5 \h </w:instrText>
            </w:r>
            <w:r w:rsidR="00F7387D">
              <w:rPr>
                <w:rStyle w:val="Cross-reference"/>
              </w:rPr>
              <w:instrText xml:space="preserve"> \* MERGEFORMAT </w:instrText>
            </w:r>
            <w:r w:rsidR="00F7387D" w:rsidRPr="00F7387D">
              <w:rPr>
                <w:rStyle w:val="Cross-reference"/>
              </w:rPr>
            </w:r>
            <w:r w:rsidR="00F7387D" w:rsidRPr="00F7387D">
              <w:rPr>
                <w:rStyle w:val="Cross-reference"/>
              </w:rPr>
              <w:fldChar w:fldCharType="separate"/>
            </w:r>
            <w:r w:rsidR="00F7387D" w:rsidRPr="00F7387D">
              <w:rPr>
                <w:rStyle w:val="Cross-reference"/>
              </w:rPr>
              <w:t xml:space="preserve">Best Practice </w:t>
            </w:r>
            <w:proofErr w:type="gramStart"/>
            <w:r w:rsidR="00F7387D" w:rsidRPr="00F7387D">
              <w:rPr>
                <w:rStyle w:val="Cross-reference"/>
              </w:rPr>
              <w:t>Principle</w:t>
            </w:r>
            <w:proofErr w:type="gramEnd"/>
            <w:r w:rsidR="00F7387D" w:rsidRPr="00F7387D">
              <w:rPr>
                <w:rStyle w:val="Cross-reference"/>
              </w:rPr>
              <w:t> 5</w:t>
            </w:r>
            <w:r w:rsidR="00F7387D" w:rsidRPr="00F7387D">
              <w:rPr>
                <w:rStyle w:val="Cross-reference"/>
              </w:rPr>
              <w:fldChar w:fldCharType="end"/>
            </w:r>
            <w:r>
              <w:t xml:space="preserve">, and </w:t>
            </w:r>
            <w:r w:rsidR="0014318F" w:rsidRPr="0014318F">
              <w:rPr>
                <w:rStyle w:val="Cross-reference"/>
              </w:rPr>
              <w:fldChar w:fldCharType="begin"/>
            </w:r>
            <w:r w:rsidR="0014318F" w:rsidRPr="0014318F">
              <w:rPr>
                <w:rStyle w:val="Cross-reference"/>
              </w:rPr>
              <w:instrText xml:space="preserve"> REF P14 \h </w:instrText>
            </w:r>
            <w:r w:rsidR="0014318F">
              <w:rPr>
                <w:rStyle w:val="Cross-reference"/>
              </w:rPr>
              <w:instrText xml:space="preserve"> \* MERGEFORMAT </w:instrText>
            </w:r>
            <w:r w:rsidR="0014318F" w:rsidRPr="0014318F">
              <w:rPr>
                <w:rStyle w:val="Cross-reference"/>
              </w:rPr>
            </w:r>
            <w:r w:rsidR="0014318F" w:rsidRPr="0014318F">
              <w:rPr>
                <w:rStyle w:val="Cross-reference"/>
              </w:rPr>
              <w:fldChar w:fldCharType="separate"/>
            </w:r>
            <w:r w:rsidR="0014318F" w:rsidRPr="0014318F">
              <w:rPr>
                <w:rStyle w:val="Cross-reference"/>
              </w:rPr>
              <w:t xml:space="preserve">Best Practice </w:t>
            </w:r>
            <w:proofErr w:type="gramStart"/>
            <w:r w:rsidR="0014318F" w:rsidRPr="0014318F">
              <w:rPr>
                <w:rStyle w:val="Cross-reference"/>
              </w:rPr>
              <w:t>Principle</w:t>
            </w:r>
            <w:proofErr w:type="gramEnd"/>
            <w:r w:rsidR="0014318F" w:rsidRPr="0014318F">
              <w:rPr>
                <w:rStyle w:val="Cross-reference"/>
              </w:rPr>
              <w:t> 14</w:t>
            </w:r>
            <w:r w:rsidR="0014318F" w:rsidRPr="0014318F">
              <w:rPr>
                <w:rStyle w:val="Cross-reference"/>
              </w:rPr>
              <w:fldChar w:fldCharType="end"/>
            </w:r>
            <w:r>
              <w:t xml:space="preserve"> and noted ‘exception’ </w:t>
            </w:r>
          </w:p>
        </w:tc>
      </w:tr>
      <w:tr w:rsidR="009621C7" w14:paraId="0CBD5A34" w14:textId="77777777" w:rsidTr="00F313EB">
        <w:trPr>
          <w:cnfStyle w:val="000000100000" w:firstRow="0" w:lastRow="0" w:firstColumn="0" w:lastColumn="0" w:oddVBand="0" w:evenVBand="0" w:oddHBand="1" w:evenHBand="0" w:firstRowFirstColumn="0" w:firstRowLastColumn="0" w:lastRowFirstColumn="0" w:lastRowLastColumn="0"/>
          <w:trHeight w:val="60"/>
        </w:trPr>
        <w:tc>
          <w:tcPr>
            <w:tcW w:w="862" w:type="pct"/>
          </w:tcPr>
          <w:p w14:paraId="64B0A120" w14:textId="77777777" w:rsidR="009621C7" w:rsidRDefault="009621C7" w:rsidP="00422E8C">
            <w:r>
              <w:t>X3d</w:t>
            </w:r>
          </w:p>
        </w:tc>
        <w:tc>
          <w:tcPr>
            <w:tcW w:w="1150" w:type="pct"/>
          </w:tcPr>
          <w:p w14:paraId="67222755" w14:textId="77777777" w:rsidR="009621C7" w:rsidRDefault="009621C7" w:rsidP="00422E8C">
            <w:r>
              <w:t>for three days</w:t>
            </w:r>
          </w:p>
        </w:tc>
        <w:tc>
          <w:tcPr>
            <w:tcW w:w="2988" w:type="pct"/>
          </w:tcPr>
          <w:p w14:paraId="244BD880" w14:textId="77777777" w:rsidR="009621C7" w:rsidRDefault="009621C7" w:rsidP="00422E8C">
            <w:r>
              <w:t>Can be mistaken as ‘3 doses’</w:t>
            </w:r>
          </w:p>
        </w:tc>
      </w:tr>
      <w:tr w:rsidR="009621C7" w14:paraId="7640DFFA" w14:textId="77777777" w:rsidTr="00F313EB">
        <w:trPr>
          <w:trHeight w:val="60"/>
        </w:trPr>
        <w:tc>
          <w:tcPr>
            <w:tcW w:w="862" w:type="pct"/>
          </w:tcPr>
          <w:p w14:paraId="573A3D1A" w14:textId="77777777" w:rsidR="009621C7" w:rsidRDefault="009621C7" w:rsidP="00422E8C">
            <w:proofErr w:type="gramStart"/>
            <w:r>
              <w:t>[ ]</w:t>
            </w:r>
            <w:proofErr w:type="gramEnd"/>
            <w:r>
              <w:t xml:space="preserve">, </w:t>
            </w:r>
            <w:proofErr w:type="gramStart"/>
            <w:r>
              <w:t>( )</w:t>
            </w:r>
            <w:proofErr w:type="gramEnd"/>
            <w:r>
              <w:t xml:space="preserve"> (brackets)</w:t>
            </w:r>
          </w:p>
        </w:tc>
        <w:tc>
          <w:tcPr>
            <w:tcW w:w="1150" w:type="pct"/>
          </w:tcPr>
          <w:p w14:paraId="704701D5" w14:textId="77777777" w:rsidR="009621C7" w:rsidRDefault="009621C7" w:rsidP="00422E8C">
            <w:r>
              <w:t>DO NOT USE</w:t>
            </w:r>
          </w:p>
        </w:tc>
        <w:tc>
          <w:tcPr>
            <w:tcW w:w="2988" w:type="pct"/>
          </w:tcPr>
          <w:p w14:paraId="6F1E3E17" w14:textId="77777777" w:rsidR="009621C7" w:rsidRDefault="009621C7" w:rsidP="00422E8C">
            <w:r>
              <w:t>Can be mistaken as the number ‘1’. Mostly relevant when handwritten</w:t>
            </w:r>
          </w:p>
        </w:tc>
      </w:tr>
    </w:tbl>
    <w:p w14:paraId="31DD821E" w14:textId="77777777" w:rsidR="009621C7" w:rsidRDefault="009621C7" w:rsidP="009621C7"/>
    <w:p w14:paraId="19D57BF6" w14:textId="77777777" w:rsidR="009621C7" w:rsidRDefault="009621C7" w:rsidP="009621C7"/>
    <w:p w14:paraId="2E0155A6" w14:textId="2CC22BE7" w:rsidR="009621C7" w:rsidRDefault="009621C7" w:rsidP="00D926A0">
      <w:pPr>
        <w:pStyle w:val="Heading1"/>
      </w:pPr>
      <w:bookmarkStart w:id="51" w:name="_Toc184061557"/>
      <w:r>
        <w:lastRenderedPageBreak/>
        <w:t>List of acceptable terms, abbreviations and dose</w:t>
      </w:r>
      <w:r w:rsidR="00B960CA">
        <w:t> </w:t>
      </w:r>
      <w:r>
        <w:t>designations</w:t>
      </w:r>
      <w:bookmarkEnd w:id="51"/>
    </w:p>
    <w:p w14:paraId="043F8D83" w14:textId="77777777" w:rsidR="009621C7" w:rsidRDefault="009621C7" w:rsidP="009621C7">
      <w:r>
        <w:t xml:space="preserve">The following tables list the terms and abbreviations that are commonly used and understood and therefore considered acceptable for use, primarily in written presentations. </w:t>
      </w:r>
    </w:p>
    <w:p w14:paraId="152483A7" w14:textId="77777777" w:rsidR="009621C7" w:rsidRDefault="009621C7" w:rsidP="009621C7">
      <w:r>
        <w:t>They should be written exactly as shown.</w:t>
      </w:r>
    </w:p>
    <w:p w14:paraId="34DB65D3" w14:textId="1C4A1E24" w:rsidR="009621C7" w:rsidRDefault="009621C7" w:rsidP="00E47B8F">
      <w:pPr>
        <w:pStyle w:val="FigureTableTitle"/>
      </w:pPr>
      <w:bookmarkStart w:id="52" w:name="TD"/>
      <w:bookmarkStart w:id="53" w:name="_Toc184061558"/>
      <w:r>
        <w:t>Table</w:t>
      </w:r>
      <w:r w:rsidR="00661066">
        <w:t> </w:t>
      </w:r>
      <w:r>
        <w:t>D</w:t>
      </w:r>
      <w:bookmarkEnd w:id="52"/>
      <w:r>
        <w:t>: Dose frequency or timing</w:t>
      </w:r>
      <w:bookmarkEnd w:id="53"/>
    </w:p>
    <w:tbl>
      <w:tblPr>
        <w:tblStyle w:val="RECBanded"/>
        <w:tblW w:w="5000" w:type="pct"/>
        <w:tblLook w:val="0420" w:firstRow="1" w:lastRow="0" w:firstColumn="0" w:lastColumn="0" w:noHBand="0" w:noVBand="1"/>
        <w:tblDescription w:val="Table D: Dose frequency or timing"/>
      </w:tblPr>
      <w:tblGrid>
        <w:gridCol w:w="3826"/>
        <w:gridCol w:w="5806"/>
      </w:tblGrid>
      <w:tr w:rsidR="009621C7" w14:paraId="598FA2BF" w14:textId="77777777" w:rsidTr="00E345CB">
        <w:trPr>
          <w:cnfStyle w:val="100000000000" w:firstRow="1" w:lastRow="0" w:firstColumn="0" w:lastColumn="0" w:oddVBand="0" w:evenVBand="0" w:oddHBand="0" w:evenHBand="0" w:firstRowFirstColumn="0" w:firstRowLastColumn="0" w:lastRowFirstColumn="0" w:lastRowLastColumn="0"/>
          <w:trHeight w:val="60"/>
        </w:trPr>
        <w:tc>
          <w:tcPr>
            <w:tcW w:w="1986" w:type="pct"/>
          </w:tcPr>
          <w:p w14:paraId="6874BDBF" w14:textId="77777777" w:rsidR="009621C7" w:rsidRDefault="009621C7" w:rsidP="00422E8C">
            <w:r>
              <w:t>Intended meaning</w:t>
            </w:r>
          </w:p>
        </w:tc>
        <w:tc>
          <w:tcPr>
            <w:tcW w:w="3014" w:type="pct"/>
          </w:tcPr>
          <w:p w14:paraId="61A03149" w14:textId="77777777" w:rsidR="009621C7" w:rsidRDefault="009621C7" w:rsidP="00422E8C">
            <w:r>
              <w:t xml:space="preserve">Acceptable terms or abbreviations </w:t>
            </w:r>
          </w:p>
        </w:tc>
      </w:tr>
      <w:tr w:rsidR="009621C7" w14:paraId="4A5EAF4B"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986" w:type="pct"/>
          </w:tcPr>
          <w:p w14:paraId="7663626F" w14:textId="77777777" w:rsidR="009621C7" w:rsidRDefault="009621C7" w:rsidP="00422E8C">
            <w:r>
              <w:t xml:space="preserve">(in the) morning </w:t>
            </w:r>
          </w:p>
        </w:tc>
        <w:tc>
          <w:tcPr>
            <w:tcW w:w="3014" w:type="pct"/>
          </w:tcPr>
          <w:p w14:paraId="5DC42F7D" w14:textId="77777777" w:rsidR="009621C7" w:rsidRDefault="009621C7" w:rsidP="00422E8C">
            <w:r>
              <w:t>morning, mane</w:t>
            </w:r>
            <w:r w:rsidRPr="001F429D">
              <w:footnoteReference w:id="7"/>
            </w:r>
            <w:r>
              <w:t xml:space="preserve"> </w:t>
            </w:r>
          </w:p>
        </w:tc>
      </w:tr>
      <w:tr w:rsidR="009621C7" w14:paraId="203DF7EA" w14:textId="77777777" w:rsidTr="00E345CB">
        <w:trPr>
          <w:trHeight w:val="60"/>
        </w:trPr>
        <w:tc>
          <w:tcPr>
            <w:tcW w:w="1986" w:type="pct"/>
          </w:tcPr>
          <w:p w14:paraId="2D77A4C4" w14:textId="77777777" w:rsidR="009621C7" w:rsidRDefault="009621C7" w:rsidP="00422E8C">
            <w:r>
              <w:t xml:space="preserve">(at) midday </w:t>
            </w:r>
          </w:p>
        </w:tc>
        <w:tc>
          <w:tcPr>
            <w:tcW w:w="3014" w:type="pct"/>
          </w:tcPr>
          <w:p w14:paraId="61F8C8D8" w14:textId="77777777" w:rsidR="009621C7" w:rsidRDefault="009621C7" w:rsidP="00422E8C">
            <w:r>
              <w:t xml:space="preserve">midday </w:t>
            </w:r>
          </w:p>
        </w:tc>
      </w:tr>
      <w:tr w:rsidR="009621C7" w14:paraId="72A40503" w14:textId="77777777" w:rsidTr="00E345CB">
        <w:trPr>
          <w:cnfStyle w:val="000000100000" w:firstRow="0" w:lastRow="0" w:firstColumn="0" w:lastColumn="0" w:oddVBand="0" w:evenVBand="0" w:oddHBand="1" w:evenHBand="0" w:firstRowFirstColumn="0" w:firstRowLastColumn="0" w:lastRowFirstColumn="0" w:lastRowLastColumn="0"/>
          <w:trHeight w:val="302"/>
        </w:trPr>
        <w:tc>
          <w:tcPr>
            <w:tcW w:w="1986" w:type="pct"/>
          </w:tcPr>
          <w:p w14:paraId="045C7FA3" w14:textId="77777777" w:rsidR="009621C7" w:rsidRDefault="009621C7" w:rsidP="00422E8C">
            <w:r>
              <w:t xml:space="preserve">(at) night </w:t>
            </w:r>
          </w:p>
        </w:tc>
        <w:tc>
          <w:tcPr>
            <w:tcW w:w="3014" w:type="pct"/>
          </w:tcPr>
          <w:p w14:paraId="6B994975" w14:textId="77777777" w:rsidR="009621C7" w:rsidRDefault="009621C7" w:rsidP="00422E8C">
            <w:r>
              <w:t xml:space="preserve">night, nocte* </w:t>
            </w:r>
          </w:p>
        </w:tc>
      </w:tr>
      <w:tr w:rsidR="009621C7" w14:paraId="75FADA5F" w14:textId="77777777" w:rsidTr="00E345CB">
        <w:trPr>
          <w:trHeight w:val="60"/>
        </w:trPr>
        <w:tc>
          <w:tcPr>
            <w:tcW w:w="1986" w:type="pct"/>
          </w:tcPr>
          <w:p w14:paraId="19613981" w14:textId="77777777" w:rsidR="009621C7" w:rsidRDefault="009621C7" w:rsidP="00422E8C">
            <w:r>
              <w:t>(at) bedtime</w:t>
            </w:r>
          </w:p>
        </w:tc>
        <w:tc>
          <w:tcPr>
            <w:tcW w:w="3014" w:type="pct"/>
          </w:tcPr>
          <w:p w14:paraId="41E7D59E" w14:textId="77777777" w:rsidR="009621C7" w:rsidRDefault="009621C7" w:rsidP="00422E8C">
            <w:r>
              <w:t>bedtime</w:t>
            </w:r>
          </w:p>
        </w:tc>
      </w:tr>
      <w:tr w:rsidR="009621C7" w14:paraId="0DA75727" w14:textId="77777777" w:rsidTr="00E345CB">
        <w:trPr>
          <w:cnfStyle w:val="000000100000" w:firstRow="0" w:lastRow="0" w:firstColumn="0" w:lastColumn="0" w:oddVBand="0" w:evenVBand="0" w:oddHBand="1" w:evenHBand="0" w:firstRowFirstColumn="0" w:firstRowLastColumn="0" w:lastRowFirstColumn="0" w:lastRowLastColumn="0"/>
          <w:trHeight w:val="302"/>
        </w:trPr>
        <w:tc>
          <w:tcPr>
            <w:tcW w:w="1986" w:type="pct"/>
          </w:tcPr>
          <w:p w14:paraId="339875C2" w14:textId="77777777" w:rsidR="009621C7" w:rsidRDefault="009621C7" w:rsidP="00422E8C">
            <w:r>
              <w:t>once daily, once a day, daily, every day</w:t>
            </w:r>
          </w:p>
        </w:tc>
        <w:tc>
          <w:tcPr>
            <w:tcW w:w="3014" w:type="pct"/>
          </w:tcPr>
          <w:p w14:paraId="7AEA6811" w14:textId="77777777" w:rsidR="009621C7" w:rsidRDefault="009621C7" w:rsidP="00422E8C">
            <w:r>
              <w:t>‘</w:t>
            </w:r>
            <w:proofErr w:type="gramStart"/>
            <w:r>
              <w:t>once</w:t>
            </w:r>
            <w:proofErr w:type="gramEnd"/>
            <w:r>
              <w:t xml:space="preserve"> a day’ (preferably specifying the time of day)</w:t>
            </w:r>
            <w:r w:rsidRPr="001F429D">
              <w:rPr>
                <w:rStyle w:val="Superscript"/>
              </w:rPr>
              <w:footnoteReference w:id="8"/>
            </w:r>
            <w:r>
              <w:t xml:space="preserve">, ‘daily’ </w:t>
            </w:r>
          </w:p>
        </w:tc>
      </w:tr>
      <w:tr w:rsidR="009621C7" w14:paraId="665840FF" w14:textId="77777777" w:rsidTr="00E345CB">
        <w:trPr>
          <w:trHeight w:val="60"/>
        </w:trPr>
        <w:tc>
          <w:tcPr>
            <w:tcW w:w="1986" w:type="pct"/>
          </w:tcPr>
          <w:p w14:paraId="67C73A1F" w14:textId="77777777" w:rsidR="009621C7" w:rsidRDefault="009621C7" w:rsidP="00422E8C">
            <w:r>
              <w:t xml:space="preserve">twice a day </w:t>
            </w:r>
          </w:p>
        </w:tc>
        <w:tc>
          <w:tcPr>
            <w:tcW w:w="3014" w:type="pct"/>
          </w:tcPr>
          <w:p w14:paraId="610DB7FD" w14:textId="77777777" w:rsidR="009621C7" w:rsidRDefault="009621C7" w:rsidP="00422E8C">
            <w:r>
              <w:t>bd*, BD*</w:t>
            </w:r>
          </w:p>
        </w:tc>
      </w:tr>
      <w:tr w:rsidR="009621C7" w14:paraId="621DDB6E"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986" w:type="pct"/>
          </w:tcPr>
          <w:p w14:paraId="62C2598A" w14:textId="77777777" w:rsidR="009621C7" w:rsidRDefault="009621C7" w:rsidP="00422E8C">
            <w:r>
              <w:t>three times a day</w:t>
            </w:r>
          </w:p>
        </w:tc>
        <w:tc>
          <w:tcPr>
            <w:tcW w:w="3014" w:type="pct"/>
          </w:tcPr>
          <w:p w14:paraId="54F1FA58" w14:textId="77777777" w:rsidR="009621C7" w:rsidRDefault="009621C7" w:rsidP="00422E8C">
            <w:proofErr w:type="spellStart"/>
            <w:r>
              <w:t>tds</w:t>
            </w:r>
            <w:proofErr w:type="spellEnd"/>
            <w:r>
              <w:t>*, TDS*</w:t>
            </w:r>
          </w:p>
        </w:tc>
      </w:tr>
      <w:tr w:rsidR="009621C7" w14:paraId="639BADA1" w14:textId="77777777" w:rsidTr="00E345CB">
        <w:trPr>
          <w:trHeight w:val="60"/>
        </w:trPr>
        <w:tc>
          <w:tcPr>
            <w:tcW w:w="1986" w:type="pct"/>
          </w:tcPr>
          <w:p w14:paraId="2E780685" w14:textId="77777777" w:rsidR="009621C7" w:rsidRDefault="009621C7" w:rsidP="00422E8C">
            <w:r>
              <w:t>four times a day</w:t>
            </w:r>
          </w:p>
        </w:tc>
        <w:tc>
          <w:tcPr>
            <w:tcW w:w="3014" w:type="pct"/>
          </w:tcPr>
          <w:p w14:paraId="4D9EE3F3" w14:textId="77777777" w:rsidR="009621C7" w:rsidRDefault="009621C7" w:rsidP="00422E8C">
            <w:proofErr w:type="spellStart"/>
            <w:r>
              <w:t>qid</w:t>
            </w:r>
            <w:proofErr w:type="spellEnd"/>
            <w:r>
              <w:t>*, QID*</w:t>
            </w:r>
          </w:p>
        </w:tc>
      </w:tr>
      <w:tr w:rsidR="009621C7" w14:paraId="4278EEB0"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986" w:type="pct"/>
          </w:tcPr>
          <w:p w14:paraId="6660D6D9" w14:textId="77777777" w:rsidR="009621C7" w:rsidRDefault="009621C7" w:rsidP="00422E8C">
            <w:r>
              <w:t>hourly, every hour</w:t>
            </w:r>
          </w:p>
        </w:tc>
        <w:tc>
          <w:tcPr>
            <w:tcW w:w="3014" w:type="pct"/>
          </w:tcPr>
          <w:p w14:paraId="2C1F291C" w14:textId="77777777" w:rsidR="009621C7" w:rsidRDefault="009621C7" w:rsidP="00422E8C">
            <w:r>
              <w:t>hourly, every hour</w:t>
            </w:r>
          </w:p>
        </w:tc>
      </w:tr>
      <w:tr w:rsidR="009621C7" w14:paraId="2A6F32B6" w14:textId="77777777" w:rsidTr="00E345CB">
        <w:trPr>
          <w:trHeight w:val="60"/>
        </w:trPr>
        <w:tc>
          <w:tcPr>
            <w:tcW w:w="1986" w:type="pct"/>
          </w:tcPr>
          <w:p w14:paraId="3469B5C6" w14:textId="77777777" w:rsidR="009621C7" w:rsidRDefault="009621C7" w:rsidP="00422E8C">
            <w:r>
              <w:t xml:space="preserve">every two hours </w:t>
            </w:r>
          </w:p>
        </w:tc>
        <w:tc>
          <w:tcPr>
            <w:tcW w:w="3014" w:type="pct"/>
          </w:tcPr>
          <w:p w14:paraId="566F2C9E" w14:textId="77777777" w:rsidR="009621C7" w:rsidRDefault="009621C7" w:rsidP="00422E8C">
            <w:r>
              <w:t>every 2 hrs, every 2 hours</w:t>
            </w:r>
          </w:p>
          <w:p w14:paraId="020F9261" w14:textId="6D59EFEF" w:rsidR="009621C7" w:rsidRDefault="009621C7" w:rsidP="00422E8C">
            <w:r w:rsidRPr="00F7387D">
              <w:rPr>
                <w:i/>
                <w:iCs/>
              </w:rPr>
              <w:t>See</w:t>
            </w:r>
            <w:r>
              <w:t xml:space="preserve"> </w:t>
            </w:r>
            <w:r w:rsidR="003D30A9" w:rsidRPr="003D30A9">
              <w:rPr>
                <w:rStyle w:val="Cross-reference"/>
              </w:rPr>
              <w:fldChar w:fldCharType="begin"/>
            </w:r>
            <w:r w:rsidR="003D30A9" w:rsidRPr="003D30A9">
              <w:rPr>
                <w:rStyle w:val="Cross-reference"/>
              </w:rPr>
              <w:instrText xml:space="preserve"> REF TA \h </w:instrText>
            </w:r>
            <w:r w:rsidR="003D30A9">
              <w:rPr>
                <w:rStyle w:val="Cross-reference"/>
              </w:rPr>
              <w:instrText xml:space="preserve"> \* MERGEFORMAT </w:instrText>
            </w:r>
            <w:r w:rsidR="003D30A9" w:rsidRPr="003D30A9">
              <w:rPr>
                <w:rStyle w:val="Cross-reference"/>
              </w:rPr>
            </w:r>
            <w:r w:rsidR="003D30A9" w:rsidRPr="003D30A9">
              <w:rPr>
                <w:rStyle w:val="Cross-reference"/>
              </w:rPr>
              <w:fldChar w:fldCharType="separate"/>
            </w:r>
            <w:r w:rsidR="003D30A9" w:rsidRPr="003D30A9">
              <w:rPr>
                <w:rStyle w:val="Cross-reference"/>
              </w:rPr>
              <w:t>Table A</w:t>
            </w:r>
            <w:r w:rsidR="003D30A9" w:rsidRPr="003D30A9">
              <w:rPr>
                <w:rStyle w:val="Cross-reference"/>
              </w:rPr>
              <w:fldChar w:fldCharType="end"/>
            </w:r>
            <w:r>
              <w:t xml:space="preserve"> for an explanation of the exception where ‘2 </w:t>
            </w:r>
            <w:proofErr w:type="spellStart"/>
            <w:r>
              <w:t>hrly</w:t>
            </w:r>
            <w:proofErr w:type="spellEnd"/>
            <w:r>
              <w:t>’ is not an acceptable term or abbreviation</w:t>
            </w:r>
          </w:p>
        </w:tc>
      </w:tr>
      <w:tr w:rsidR="009621C7" w14:paraId="09486756"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986" w:type="pct"/>
          </w:tcPr>
          <w:p w14:paraId="06F92EB0" w14:textId="77777777" w:rsidR="009621C7" w:rsidRDefault="009621C7" w:rsidP="00422E8C">
            <w:r>
              <w:t xml:space="preserve">every 4 hours </w:t>
            </w:r>
          </w:p>
        </w:tc>
        <w:tc>
          <w:tcPr>
            <w:tcW w:w="3014" w:type="pct"/>
          </w:tcPr>
          <w:p w14:paraId="2080D3C1" w14:textId="77777777" w:rsidR="009621C7" w:rsidRDefault="009621C7" w:rsidP="00422E8C">
            <w:r>
              <w:t xml:space="preserve">every 4 hrs, 4 hourly, 4 </w:t>
            </w:r>
            <w:proofErr w:type="spellStart"/>
            <w:r>
              <w:t>hrly</w:t>
            </w:r>
            <w:proofErr w:type="spellEnd"/>
            <w:r>
              <w:t xml:space="preserve"> </w:t>
            </w:r>
          </w:p>
        </w:tc>
      </w:tr>
      <w:tr w:rsidR="009621C7" w14:paraId="5F767D28" w14:textId="77777777" w:rsidTr="00E345CB">
        <w:trPr>
          <w:trHeight w:val="388"/>
        </w:trPr>
        <w:tc>
          <w:tcPr>
            <w:tcW w:w="1986" w:type="pct"/>
          </w:tcPr>
          <w:p w14:paraId="39B10803" w14:textId="77777777" w:rsidR="009621C7" w:rsidRDefault="009621C7" w:rsidP="00422E8C">
            <w:r>
              <w:t xml:space="preserve">every 6 hours </w:t>
            </w:r>
          </w:p>
        </w:tc>
        <w:tc>
          <w:tcPr>
            <w:tcW w:w="3014" w:type="pct"/>
          </w:tcPr>
          <w:p w14:paraId="578D36A7" w14:textId="77777777" w:rsidR="009621C7" w:rsidRDefault="009621C7" w:rsidP="00422E8C">
            <w:r>
              <w:t xml:space="preserve">every 6 hrs, 6 hourly, 6 </w:t>
            </w:r>
            <w:proofErr w:type="spellStart"/>
            <w:r>
              <w:t>hrly</w:t>
            </w:r>
            <w:proofErr w:type="spellEnd"/>
            <w:r>
              <w:t xml:space="preserve"> </w:t>
            </w:r>
          </w:p>
        </w:tc>
      </w:tr>
      <w:tr w:rsidR="009621C7" w14:paraId="681BA07D"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986" w:type="pct"/>
          </w:tcPr>
          <w:p w14:paraId="5FAC553A" w14:textId="77777777" w:rsidR="009621C7" w:rsidRDefault="009621C7" w:rsidP="00422E8C">
            <w:r>
              <w:t xml:space="preserve">every 8 hours </w:t>
            </w:r>
          </w:p>
        </w:tc>
        <w:tc>
          <w:tcPr>
            <w:tcW w:w="3014" w:type="pct"/>
          </w:tcPr>
          <w:p w14:paraId="714E68E9" w14:textId="77777777" w:rsidR="009621C7" w:rsidRDefault="009621C7" w:rsidP="00422E8C">
            <w:r>
              <w:t xml:space="preserve">every 8 hrs, 8 hourly, 8 </w:t>
            </w:r>
            <w:proofErr w:type="spellStart"/>
            <w:r>
              <w:t>hrly</w:t>
            </w:r>
            <w:proofErr w:type="spellEnd"/>
            <w:r>
              <w:t xml:space="preserve"> </w:t>
            </w:r>
          </w:p>
        </w:tc>
      </w:tr>
      <w:tr w:rsidR="009621C7" w14:paraId="4BD053F1" w14:textId="77777777" w:rsidTr="00E345CB">
        <w:trPr>
          <w:trHeight w:val="60"/>
        </w:trPr>
        <w:tc>
          <w:tcPr>
            <w:tcW w:w="1986" w:type="pct"/>
          </w:tcPr>
          <w:p w14:paraId="06E8C058" w14:textId="77777777" w:rsidR="009621C7" w:rsidRDefault="009621C7" w:rsidP="00422E8C">
            <w:r>
              <w:t>every 12 hours</w:t>
            </w:r>
          </w:p>
        </w:tc>
        <w:tc>
          <w:tcPr>
            <w:tcW w:w="3014" w:type="pct"/>
          </w:tcPr>
          <w:p w14:paraId="2A2796C9" w14:textId="77777777" w:rsidR="009621C7" w:rsidRDefault="009621C7" w:rsidP="00422E8C">
            <w:r>
              <w:t>every 12 hrs, every 12 hours</w:t>
            </w:r>
          </w:p>
        </w:tc>
      </w:tr>
      <w:tr w:rsidR="009621C7" w14:paraId="74856F68"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986" w:type="pct"/>
          </w:tcPr>
          <w:p w14:paraId="123123DD" w14:textId="77777777" w:rsidR="009621C7" w:rsidRDefault="009621C7" w:rsidP="00422E8C">
            <w:r>
              <w:t xml:space="preserve">once a week </w:t>
            </w:r>
          </w:p>
        </w:tc>
        <w:tc>
          <w:tcPr>
            <w:tcW w:w="3014" w:type="pct"/>
          </w:tcPr>
          <w:p w14:paraId="02398A90" w14:textId="77777777" w:rsidR="009621C7" w:rsidRDefault="009621C7" w:rsidP="00422E8C">
            <w:r>
              <w:t>‘</w:t>
            </w:r>
            <w:proofErr w:type="gramStart"/>
            <w:r>
              <w:t>once</w:t>
            </w:r>
            <w:proofErr w:type="gramEnd"/>
            <w:r>
              <w:t xml:space="preserve"> a week’ and specify the day, for example, ‘once a week on Tue’ (or Tuesdays)</w:t>
            </w:r>
          </w:p>
        </w:tc>
      </w:tr>
      <w:tr w:rsidR="009621C7" w14:paraId="7BBA140C" w14:textId="77777777" w:rsidTr="00E345CB">
        <w:trPr>
          <w:trHeight w:val="60"/>
        </w:trPr>
        <w:tc>
          <w:tcPr>
            <w:tcW w:w="1986" w:type="pct"/>
          </w:tcPr>
          <w:p w14:paraId="3E0FD25C" w14:textId="77777777" w:rsidR="009621C7" w:rsidRDefault="009621C7" w:rsidP="00422E8C">
            <w:r>
              <w:t>twice a week</w:t>
            </w:r>
          </w:p>
        </w:tc>
        <w:tc>
          <w:tcPr>
            <w:tcW w:w="3014" w:type="pct"/>
          </w:tcPr>
          <w:p w14:paraId="0005DB48" w14:textId="77777777" w:rsidR="009621C7" w:rsidRDefault="009621C7" w:rsidP="00422E8C">
            <w:r>
              <w:t>‘</w:t>
            </w:r>
            <w:proofErr w:type="gramStart"/>
            <w:r>
              <w:t>twice</w:t>
            </w:r>
            <w:proofErr w:type="gramEnd"/>
            <w:r>
              <w:t xml:space="preserve"> a week’ and specify the exact days, for example, ‘twice a week on Mon and Thu’</w:t>
            </w:r>
          </w:p>
        </w:tc>
      </w:tr>
      <w:tr w:rsidR="009621C7" w14:paraId="64CAD6E9"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986" w:type="pct"/>
          </w:tcPr>
          <w:p w14:paraId="2CA007B9" w14:textId="77777777" w:rsidR="009621C7" w:rsidRDefault="009621C7" w:rsidP="00422E8C">
            <w:r>
              <w:lastRenderedPageBreak/>
              <w:t xml:space="preserve">three times a week </w:t>
            </w:r>
          </w:p>
        </w:tc>
        <w:tc>
          <w:tcPr>
            <w:tcW w:w="3014" w:type="pct"/>
          </w:tcPr>
          <w:p w14:paraId="1255131C" w14:textId="77777777" w:rsidR="009621C7" w:rsidRDefault="009621C7" w:rsidP="00422E8C">
            <w:r>
              <w:t>‘</w:t>
            </w:r>
            <w:proofErr w:type="gramStart"/>
            <w:r>
              <w:t>three</w:t>
            </w:r>
            <w:proofErr w:type="gramEnd"/>
            <w:r>
              <w:t xml:space="preserve"> times a week’ and specify the exact days, for example, ‘three times a week on Mon, Wed and Sat’</w:t>
            </w:r>
          </w:p>
        </w:tc>
      </w:tr>
      <w:tr w:rsidR="009621C7" w14:paraId="76ADD69E" w14:textId="77777777" w:rsidTr="00E345CB">
        <w:trPr>
          <w:trHeight w:val="60"/>
        </w:trPr>
        <w:tc>
          <w:tcPr>
            <w:tcW w:w="1986" w:type="pct"/>
          </w:tcPr>
          <w:p w14:paraId="54A39C42" w14:textId="77777777" w:rsidR="009621C7" w:rsidRDefault="009621C7" w:rsidP="00422E8C">
            <w:r>
              <w:t>every second day, on alternate days</w:t>
            </w:r>
          </w:p>
        </w:tc>
        <w:tc>
          <w:tcPr>
            <w:tcW w:w="3014" w:type="pct"/>
          </w:tcPr>
          <w:p w14:paraId="23AE743C" w14:textId="77777777" w:rsidR="009621C7" w:rsidRDefault="009621C7" w:rsidP="00422E8C">
            <w:r>
              <w:t>every 2 days</w:t>
            </w:r>
          </w:p>
        </w:tc>
      </w:tr>
      <w:tr w:rsidR="009621C7" w14:paraId="4240B99E"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986" w:type="pct"/>
          </w:tcPr>
          <w:p w14:paraId="060F6DC7" w14:textId="77777777" w:rsidR="009621C7" w:rsidRDefault="009621C7" w:rsidP="00422E8C">
            <w:r>
              <w:t>every two weeks, per fortnight</w:t>
            </w:r>
          </w:p>
        </w:tc>
        <w:tc>
          <w:tcPr>
            <w:tcW w:w="3014" w:type="pct"/>
          </w:tcPr>
          <w:p w14:paraId="18F320DF" w14:textId="77777777" w:rsidR="009621C7" w:rsidRDefault="009621C7" w:rsidP="00422E8C">
            <w:r>
              <w:t>every two weeks, every 2 weeks</w:t>
            </w:r>
          </w:p>
        </w:tc>
      </w:tr>
      <w:tr w:rsidR="009621C7" w14:paraId="3CE93EDD" w14:textId="77777777" w:rsidTr="00E345CB">
        <w:trPr>
          <w:trHeight w:val="60"/>
        </w:trPr>
        <w:tc>
          <w:tcPr>
            <w:tcW w:w="1986" w:type="pct"/>
          </w:tcPr>
          <w:p w14:paraId="481DBB7D" w14:textId="77777777" w:rsidR="009621C7" w:rsidRDefault="009621C7" w:rsidP="00422E8C">
            <w:r>
              <w:t>days of the week</w:t>
            </w:r>
          </w:p>
        </w:tc>
        <w:tc>
          <w:tcPr>
            <w:tcW w:w="3014" w:type="pct"/>
          </w:tcPr>
          <w:p w14:paraId="37AE8320" w14:textId="77777777" w:rsidR="009621C7" w:rsidRDefault="009621C7" w:rsidP="00422E8C">
            <w:r>
              <w:t xml:space="preserve">Mon, Tue, Wed, </w:t>
            </w:r>
            <w:proofErr w:type="spellStart"/>
            <w:r>
              <w:t>Thur</w:t>
            </w:r>
            <w:proofErr w:type="spellEnd"/>
            <w:r>
              <w:t xml:space="preserve">, Fri, Sat, Sun </w:t>
            </w:r>
          </w:p>
        </w:tc>
      </w:tr>
      <w:tr w:rsidR="009621C7" w14:paraId="1197686B"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986" w:type="pct"/>
          </w:tcPr>
          <w:p w14:paraId="5B1D6EC3" w14:textId="77777777" w:rsidR="009621C7" w:rsidRDefault="009621C7" w:rsidP="00422E8C">
            <w:r>
              <w:t xml:space="preserve">before food </w:t>
            </w:r>
          </w:p>
        </w:tc>
        <w:tc>
          <w:tcPr>
            <w:tcW w:w="3014" w:type="pct"/>
          </w:tcPr>
          <w:p w14:paraId="132F1DD0" w14:textId="77777777" w:rsidR="009621C7" w:rsidRDefault="009621C7" w:rsidP="00422E8C">
            <w:r>
              <w:t xml:space="preserve">before food </w:t>
            </w:r>
          </w:p>
        </w:tc>
      </w:tr>
      <w:tr w:rsidR="009621C7" w14:paraId="4025A4F6" w14:textId="77777777" w:rsidTr="00E345CB">
        <w:trPr>
          <w:trHeight w:val="60"/>
        </w:trPr>
        <w:tc>
          <w:tcPr>
            <w:tcW w:w="1986" w:type="pct"/>
          </w:tcPr>
          <w:p w14:paraId="788D78A8" w14:textId="77777777" w:rsidR="009621C7" w:rsidRDefault="009621C7" w:rsidP="00422E8C">
            <w:r>
              <w:t xml:space="preserve">after food </w:t>
            </w:r>
          </w:p>
        </w:tc>
        <w:tc>
          <w:tcPr>
            <w:tcW w:w="3014" w:type="pct"/>
          </w:tcPr>
          <w:p w14:paraId="665AB02D" w14:textId="77777777" w:rsidR="009621C7" w:rsidRDefault="009621C7" w:rsidP="00422E8C">
            <w:r>
              <w:t xml:space="preserve">after food </w:t>
            </w:r>
          </w:p>
        </w:tc>
      </w:tr>
      <w:tr w:rsidR="009621C7" w14:paraId="5B56B279"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986" w:type="pct"/>
          </w:tcPr>
          <w:p w14:paraId="7F363972" w14:textId="77777777" w:rsidR="009621C7" w:rsidRDefault="009621C7" w:rsidP="00422E8C">
            <w:r>
              <w:t xml:space="preserve">with food </w:t>
            </w:r>
          </w:p>
        </w:tc>
        <w:tc>
          <w:tcPr>
            <w:tcW w:w="3014" w:type="pct"/>
          </w:tcPr>
          <w:p w14:paraId="5E46C093" w14:textId="77777777" w:rsidR="009621C7" w:rsidRDefault="009621C7" w:rsidP="00422E8C">
            <w:r>
              <w:t xml:space="preserve">with food </w:t>
            </w:r>
          </w:p>
        </w:tc>
      </w:tr>
      <w:tr w:rsidR="009621C7" w14:paraId="182F6330" w14:textId="77777777" w:rsidTr="00E345CB">
        <w:trPr>
          <w:trHeight w:val="60"/>
        </w:trPr>
        <w:tc>
          <w:tcPr>
            <w:tcW w:w="1986" w:type="pct"/>
          </w:tcPr>
          <w:p w14:paraId="2809BB74" w14:textId="77777777" w:rsidR="009621C7" w:rsidRDefault="009621C7" w:rsidP="00422E8C">
            <w:r>
              <w:t xml:space="preserve">when required </w:t>
            </w:r>
          </w:p>
        </w:tc>
        <w:tc>
          <w:tcPr>
            <w:tcW w:w="3014" w:type="pct"/>
          </w:tcPr>
          <w:p w14:paraId="18690F69" w14:textId="77777777" w:rsidR="009621C7" w:rsidRDefault="009621C7" w:rsidP="00422E8C">
            <w:r>
              <w:t>prn*, PRN</w:t>
            </w:r>
            <w:r>
              <w:rPr>
                <w:sz w:val="24"/>
                <w:szCs w:val="24"/>
                <w:lang w:val="en-GB"/>
              </w:rPr>
              <w:footnoteReference w:id="9"/>
            </w:r>
          </w:p>
          <w:p w14:paraId="1180E073" w14:textId="7FD13545" w:rsidR="009621C7" w:rsidRDefault="009621C7" w:rsidP="00422E8C">
            <w:r>
              <w:rPr>
                <w:rStyle w:val="Emphasis"/>
              </w:rPr>
              <w:t>See</w:t>
            </w:r>
            <w:r>
              <w:t xml:space="preserve"> </w:t>
            </w:r>
            <w:r w:rsidR="003D30A9" w:rsidRPr="003D30A9">
              <w:rPr>
                <w:rStyle w:val="Cross-reference"/>
              </w:rPr>
              <w:fldChar w:fldCharType="begin"/>
            </w:r>
            <w:r w:rsidR="003D30A9" w:rsidRPr="003D30A9">
              <w:rPr>
                <w:rStyle w:val="Cross-reference"/>
              </w:rPr>
              <w:instrText xml:space="preserve"> REF P3 \h </w:instrText>
            </w:r>
            <w:r w:rsidR="003D30A9">
              <w:rPr>
                <w:rStyle w:val="Cross-reference"/>
              </w:rPr>
              <w:instrText xml:space="preserve"> \* MERGEFORMAT </w:instrText>
            </w:r>
            <w:r w:rsidR="003D30A9" w:rsidRPr="003D30A9">
              <w:rPr>
                <w:rStyle w:val="Cross-reference"/>
              </w:rPr>
            </w:r>
            <w:r w:rsidR="003D30A9" w:rsidRPr="003D30A9">
              <w:rPr>
                <w:rStyle w:val="Cross-reference"/>
              </w:rPr>
              <w:fldChar w:fldCharType="separate"/>
            </w:r>
            <w:r w:rsidR="003D30A9" w:rsidRPr="003D30A9">
              <w:rPr>
                <w:rStyle w:val="Cross-reference"/>
              </w:rPr>
              <w:t xml:space="preserve">Best Practice </w:t>
            </w:r>
            <w:proofErr w:type="gramStart"/>
            <w:r w:rsidR="003D30A9" w:rsidRPr="003D30A9">
              <w:rPr>
                <w:rStyle w:val="Cross-reference"/>
              </w:rPr>
              <w:t>Principle</w:t>
            </w:r>
            <w:proofErr w:type="gramEnd"/>
            <w:r w:rsidR="003D30A9" w:rsidRPr="003D30A9">
              <w:rPr>
                <w:rStyle w:val="Cross-reference"/>
              </w:rPr>
              <w:t> 3</w:t>
            </w:r>
            <w:r w:rsidR="003D30A9" w:rsidRPr="003D30A9">
              <w:rPr>
                <w:rStyle w:val="Cross-reference"/>
              </w:rPr>
              <w:fldChar w:fldCharType="end"/>
            </w:r>
            <w:r>
              <w:t xml:space="preserve"> and </w:t>
            </w:r>
            <w:r w:rsidR="003D30A9" w:rsidRPr="003D30A9">
              <w:rPr>
                <w:rStyle w:val="Cross-reference"/>
              </w:rPr>
              <w:fldChar w:fldCharType="begin"/>
            </w:r>
            <w:r w:rsidR="003D30A9" w:rsidRPr="003D30A9">
              <w:rPr>
                <w:rStyle w:val="Cross-reference"/>
              </w:rPr>
              <w:instrText xml:space="preserve"> REF P4 \h </w:instrText>
            </w:r>
            <w:r w:rsidR="003D30A9">
              <w:rPr>
                <w:rStyle w:val="Cross-reference"/>
              </w:rPr>
              <w:instrText xml:space="preserve"> \* MERGEFORMAT </w:instrText>
            </w:r>
            <w:r w:rsidR="003D30A9" w:rsidRPr="003D30A9">
              <w:rPr>
                <w:rStyle w:val="Cross-reference"/>
              </w:rPr>
            </w:r>
            <w:r w:rsidR="003D30A9" w:rsidRPr="003D30A9">
              <w:rPr>
                <w:rStyle w:val="Cross-reference"/>
              </w:rPr>
              <w:fldChar w:fldCharType="separate"/>
            </w:r>
            <w:r w:rsidR="003D30A9" w:rsidRPr="003D30A9">
              <w:rPr>
                <w:rStyle w:val="Cross-reference"/>
              </w:rPr>
              <w:t xml:space="preserve">Best Practice </w:t>
            </w:r>
            <w:proofErr w:type="gramStart"/>
            <w:r w:rsidR="003D30A9" w:rsidRPr="003D30A9">
              <w:rPr>
                <w:rStyle w:val="Cross-reference"/>
              </w:rPr>
              <w:t>Principle</w:t>
            </w:r>
            <w:proofErr w:type="gramEnd"/>
            <w:r w:rsidR="003D30A9" w:rsidRPr="003D30A9">
              <w:rPr>
                <w:rStyle w:val="Cross-reference"/>
              </w:rPr>
              <w:t> 4</w:t>
            </w:r>
            <w:r w:rsidR="003D30A9" w:rsidRPr="003D30A9">
              <w:rPr>
                <w:rStyle w:val="Cross-reference"/>
              </w:rPr>
              <w:fldChar w:fldCharType="end"/>
            </w:r>
          </w:p>
        </w:tc>
      </w:tr>
      <w:tr w:rsidR="009621C7" w14:paraId="6B99D1C9"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986" w:type="pct"/>
          </w:tcPr>
          <w:p w14:paraId="6CFCDFE2" w14:textId="77777777" w:rsidR="009621C7" w:rsidRDefault="009621C7" w:rsidP="00422E8C">
            <w:r>
              <w:t>immediately</w:t>
            </w:r>
          </w:p>
        </w:tc>
        <w:tc>
          <w:tcPr>
            <w:tcW w:w="3014" w:type="pct"/>
          </w:tcPr>
          <w:p w14:paraId="3C25CAD3" w14:textId="77777777" w:rsidR="009621C7" w:rsidRDefault="009621C7" w:rsidP="00422E8C">
            <w:pPr>
              <w:rPr>
                <w:rStyle w:val="FootnoteReference"/>
              </w:rPr>
            </w:pPr>
            <w:r>
              <w:t>stat</w:t>
            </w:r>
            <w:r>
              <w:rPr>
                <w:rStyle w:val="FootnoteReference"/>
              </w:rPr>
              <w:t>*</w:t>
            </w:r>
          </w:p>
          <w:p w14:paraId="10E2E5E2" w14:textId="01E577EB" w:rsidR="009621C7" w:rsidRDefault="009621C7" w:rsidP="00422E8C">
            <w:r>
              <w:rPr>
                <w:rStyle w:val="Emphasis"/>
              </w:rPr>
              <w:t>See</w:t>
            </w:r>
            <w:r>
              <w:t xml:space="preserve"> </w:t>
            </w:r>
            <w:r w:rsidR="003D30A9" w:rsidRPr="003D30A9">
              <w:rPr>
                <w:rStyle w:val="Cross-reference"/>
              </w:rPr>
              <w:fldChar w:fldCharType="begin"/>
            </w:r>
            <w:r w:rsidR="003D30A9" w:rsidRPr="003D30A9">
              <w:rPr>
                <w:rStyle w:val="Cross-reference"/>
              </w:rPr>
              <w:instrText xml:space="preserve"> REF P3 \h </w:instrText>
            </w:r>
            <w:r w:rsidR="003D30A9">
              <w:rPr>
                <w:rStyle w:val="Cross-reference"/>
              </w:rPr>
              <w:instrText xml:space="preserve"> \* MERGEFORMAT </w:instrText>
            </w:r>
            <w:r w:rsidR="003D30A9" w:rsidRPr="003D30A9">
              <w:rPr>
                <w:rStyle w:val="Cross-reference"/>
              </w:rPr>
            </w:r>
            <w:r w:rsidR="003D30A9" w:rsidRPr="003D30A9">
              <w:rPr>
                <w:rStyle w:val="Cross-reference"/>
              </w:rPr>
              <w:fldChar w:fldCharType="separate"/>
            </w:r>
            <w:r w:rsidR="003D30A9" w:rsidRPr="003D30A9">
              <w:rPr>
                <w:rStyle w:val="Cross-reference"/>
              </w:rPr>
              <w:t xml:space="preserve">Best Practice </w:t>
            </w:r>
            <w:proofErr w:type="gramStart"/>
            <w:r w:rsidR="003D30A9" w:rsidRPr="003D30A9">
              <w:rPr>
                <w:rStyle w:val="Cross-reference"/>
              </w:rPr>
              <w:t>Principle</w:t>
            </w:r>
            <w:proofErr w:type="gramEnd"/>
            <w:r w:rsidR="003D30A9" w:rsidRPr="003D30A9">
              <w:rPr>
                <w:rStyle w:val="Cross-reference"/>
              </w:rPr>
              <w:t> 3</w:t>
            </w:r>
            <w:r w:rsidR="003D30A9" w:rsidRPr="003D30A9">
              <w:rPr>
                <w:rStyle w:val="Cross-reference"/>
              </w:rPr>
              <w:fldChar w:fldCharType="end"/>
            </w:r>
          </w:p>
        </w:tc>
      </w:tr>
      <w:tr w:rsidR="009621C7" w14:paraId="7DB42185" w14:textId="77777777" w:rsidTr="00E345CB">
        <w:trPr>
          <w:trHeight w:val="60"/>
        </w:trPr>
        <w:tc>
          <w:tcPr>
            <w:tcW w:w="1986" w:type="pct"/>
          </w:tcPr>
          <w:p w14:paraId="0711FF30" w14:textId="77777777" w:rsidR="009621C7" w:rsidRDefault="009621C7" w:rsidP="00422E8C">
            <w:r>
              <w:t>single dose</w:t>
            </w:r>
          </w:p>
        </w:tc>
        <w:tc>
          <w:tcPr>
            <w:tcW w:w="3014" w:type="pct"/>
          </w:tcPr>
          <w:p w14:paraId="58778EF5" w14:textId="77777777" w:rsidR="009621C7" w:rsidRDefault="009621C7" w:rsidP="00422E8C">
            <w:r>
              <w:t>once</w:t>
            </w:r>
          </w:p>
        </w:tc>
      </w:tr>
      <w:tr w:rsidR="009621C7" w14:paraId="42EB5F4C"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986" w:type="pct"/>
          </w:tcPr>
          <w:p w14:paraId="0276E754" w14:textId="77777777" w:rsidR="009621C7" w:rsidRDefault="009621C7" w:rsidP="00422E8C">
            <w:r>
              <w:t>for one day only</w:t>
            </w:r>
          </w:p>
        </w:tc>
        <w:tc>
          <w:tcPr>
            <w:tcW w:w="3014" w:type="pct"/>
          </w:tcPr>
          <w:p w14:paraId="2695264F" w14:textId="77777777" w:rsidR="009621C7" w:rsidRDefault="009621C7" w:rsidP="00422E8C">
            <w:r>
              <w:t>for 1 day</w:t>
            </w:r>
          </w:p>
        </w:tc>
      </w:tr>
      <w:tr w:rsidR="009621C7" w14:paraId="4282DC2D" w14:textId="77777777" w:rsidTr="00E345CB">
        <w:trPr>
          <w:trHeight w:val="60"/>
        </w:trPr>
        <w:tc>
          <w:tcPr>
            <w:tcW w:w="1986" w:type="pct"/>
          </w:tcPr>
          <w:p w14:paraId="5AB3B2BC" w14:textId="77777777" w:rsidR="009621C7" w:rsidRDefault="009621C7" w:rsidP="00422E8C">
            <w:r>
              <w:t>for three days</w:t>
            </w:r>
          </w:p>
        </w:tc>
        <w:tc>
          <w:tcPr>
            <w:tcW w:w="3014" w:type="pct"/>
          </w:tcPr>
          <w:p w14:paraId="3ADCC51E" w14:textId="77777777" w:rsidR="009621C7" w:rsidRDefault="009621C7" w:rsidP="00422E8C">
            <w:r>
              <w:t>for 3 days</w:t>
            </w:r>
          </w:p>
        </w:tc>
      </w:tr>
    </w:tbl>
    <w:p w14:paraId="1729BF98" w14:textId="73AA3C14" w:rsidR="009621C7" w:rsidRDefault="009621C7" w:rsidP="00E47B8F">
      <w:pPr>
        <w:pStyle w:val="FigureTableTitle"/>
      </w:pPr>
      <w:bookmarkStart w:id="54" w:name="TE"/>
      <w:bookmarkStart w:id="55" w:name="_Toc184061559"/>
      <w:r>
        <w:t>Table</w:t>
      </w:r>
      <w:r w:rsidR="00661066">
        <w:t> </w:t>
      </w:r>
      <w:r>
        <w:t>E</w:t>
      </w:r>
      <w:bookmarkEnd w:id="54"/>
      <w:r>
        <w:t>: Routes of administration</w:t>
      </w:r>
      <w:bookmarkEnd w:id="55"/>
    </w:p>
    <w:tbl>
      <w:tblPr>
        <w:tblStyle w:val="RECBanded"/>
        <w:tblW w:w="5000" w:type="pct"/>
        <w:tblLook w:val="0420" w:firstRow="1" w:lastRow="0" w:firstColumn="0" w:lastColumn="0" w:noHBand="0" w:noVBand="1"/>
        <w:tblDescription w:val="Table E: Routes of administration"/>
      </w:tblPr>
      <w:tblGrid>
        <w:gridCol w:w="4250"/>
        <w:gridCol w:w="5382"/>
      </w:tblGrid>
      <w:tr w:rsidR="009621C7" w14:paraId="0E0A8FC0" w14:textId="77777777" w:rsidTr="00E345CB">
        <w:trPr>
          <w:cnfStyle w:val="100000000000" w:firstRow="1" w:lastRow="0" w:firstColumn="0" w:lastColumn="0" w:oddVBand="0" w:evenVBand="0" w:oddHBand="0" w:evenHBand="0" w:firstRowFirstColumn="0" w:firstRowLastColumn="0" w:lastRowFirstColumn="0" w:lastRowLastColumn="0"/>
          <w:trHeight w:val="60"/>
        </w:trPr>
        <w:tc>
          <w:tcPr>
            <w:tcW w:w="2206" w:type="pct"/>
          </w:tcPr>
          <w:p w14:paraId="37A7E736" w14:textId="77777777" w:rsidR="009621C7" w:rsidRDefault="009621C7" w:rsidP="00422E8C">
            <w:r>
              <w:t>Intended meaning</w:t>
            </w:r>
          </w:p>
        </w:tc>
        <w:tc>
          <w:tcPr>
            <w:tcW w:w="2794" w:type="pct"/>
          </w:tcPr>
          <w:p w14:paraId="3F5DD6E9" w14:textId="77777777" w:rsidR="009621C7" w:rsidRDefault="009621C7" w:rsidP="00422E8C">
            <w:r>
              <w:t>Acceptable terms or abbreviations</w:t>
            </w:r>
          </w:p>
        </w:tc>
      </w:tr>
      <w:tr w:rsidR="009621C7" w14:paraId="764A1BE9"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2206" w:type="pct"/>
          </w:tcPr>
          <w:p w14:paraId="463969D4" w14:textId="77777777" w:rsidR="009621C7" w:rsidRDefault="009621C7" w:rsidP="00422E8C">
            <w:r>
              <w:t>buccal</w:t>
            </w:r>
          </w:p>
        </w:tc>
        <w:tc>
          <w:tcPr>
            <w:tcW w:w="2794" w:type="pct"/>
          </w:tcPr>
          <w:p w14:paraId="239DC2E2" w14:textId="77777777" w:rsidR="009621C7" w:rsidRDefault="009621C7" w:rsidP="00422E8C">
            <w:r>
              <w:t>buccal</w:t>
            </w:r>
          </w:p>
        </w:tc>
      </w:tr>
      <w:tr w:rsidR="009621C7" w14:paraId="48A361B2" w14:textId="77777777" w:rsidTr="00E345CB">
        <w:trPr>
          <w:trHeight w:val="60"/>
        </w:trPr>
        <w:tc>
          <w:tcPr>
            <w:tcW w:w="2206" w:type="pct"/>
          </w:tcPr>
          <w:p w14:paraId="141DA23F" w14:textId="77777777" w:rsidR="009621C7" w:rsidRDefault="009621C7" w:rsidP="00422E8C">
            <w:r>
              <w:t>ear or eye (specify left, right or each/both)</w:t>
            </w:r>
          </w:p>
        </w:tc>
        <w:tc>
          <w:tcPr>
            <w:tcW w:w="2794" w:type="pct"/>
          </w:tcPr>
          <w:p w14:paraId="4FE6143E" w14:textId="77777777" w:rsidR="009621C7" w:rsidRDefault="009621C7" w:rsidP="00422E8C">
            <w:r>
              <w:t>right/left, or each/both, ear or eye</w:t>
            </w:r>
          </w:p>
        </w:tc>
      </w:tr>
      <w:tr w:rsidR="009621C7" w14:paraId="26060B5F"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2206" w:type="pct"/>
          </w:tcPr>
          <w:p w14:paraId="3EE7B4F8" w14:textId="77777777" w:rsidR="009621C7" w:rsidRDefault="009621C7" w:rsidP="00422E8C">
            <w:r>
              <w:t xml:space="preserve">epidural </w:t>
            </w:r>
          </w:p>
        </w:tc>
        <w:tc>
          <w:tcPr>
            <w:tcW w:w="2794" w:type="pct"/>
          </w:tcPr>
          <w:p w14:paraId="5A1656A0" w14:textId="77777777" w:rsidR="009621C7" w:rsidRDefault="009621C7" w:rsidP="00422E8C">
            <w:r>
              <w:t xml:space="preserve">epidural </w:t>
            </w:r>
          </w:p>
        </w:tc>
      </w:tr>
      <w:tr w:rsidR="009621C7" w14:paraId="12ADFB96" w14:textId="77777777" w:rsidTr="00E345CB">
        <w:trPr>
          <w:trHeight w:val="60"/>
        </w:trPr>
        <w:tc>
          <w:tcPr>
            <w:tcW w:w="2206" w:type="pct"/>
          </w:tcPr>
          <w:p w14:paraId="50EF0DC8" w14:textId="77777777" w:rsidR="009621C7" w:rsidRDefault="009621C7" w:rsidP="00422E8C">
            <w:r>
              <w:t xml:space="preserve">inhale, inhalation </w:t>
            </w:r>
          </w:p>
        </w:tc>
        <w:tc>
          <w:tcPr>
            <w:tcW w:w="2794" w:type="pct"/>
          </w:tcPr>
          <w:p w14:paraId="7DF09C6D" w14:textId="77777777" w:rsidR="009621C7" w:rsidRDefault="009621C7" w:rsidP="00422E8C">
            <w:r>
              <w:t>inhale, inhalation</w:t>
            </w:r>
          </w:p>
        </w:tc>
      </w:tr>
      <w:tr w:rsidR="009621C7" w14:paraId="2B346BC7"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2206" w:type="pct"/>
          </w:tcPr>
          <w:p w14:paraId="379951E1" w14:textId="77777777" w:rsidR="009621C7" w:rsidRDefault="009621C7" w:rsidP="00422E8C">
            <w:r>
              <w:t xml:space="preserve">intraarticular </w:t>
            </w:r>
          </w:p>
        </w:tc>
        <w:tc>
          <w:tcPr>
            <w:tcW w:w="2794" w:type="pct"/>
          </w:tcPr>
          <w:p w14:paraId="0FE6FAE9" w14:textId="77777777" w:rsidR="009621C7" w:rsidRDefault="009621C7" w:rsidP="00422E8C">
            <w:r>
              <w:t xml:space="preserve">intraarticular </w:t>
            </w:r>
          </w:p>
        </w:tc>
      </w:tr>
      <w:tr w:rsidR="009621C7" w14:paraId="440E7872" w14:textId="77777777" w:rsidTr="00E345CB">
        <w:trPr>
          <w:trHeight w:val="60"/>
        </w:trPr>
        <w:tc>
          <w:tcPr>
            <w:tcW w:w="2206" w:type="pct"/>
          </w:tcPr>
          <w:p w14:paraId="15176E70" w14:textId="77777777" w:rsidR="009621C7" w:rsidRDefault="009621C7" w:rsidP="00422E8C">
            <w:r>
              <w:t>intradermal</w:t>
            </w:r>
          </w:p>
        </w:tc>
        <w:tc>
          <w:tcPr>
            <w:tcW w:w="2794" w:type="pct"/>
          </w:tcPr>
          <w:p w14:paraId="3EF47A8E" w14:textId="77777777" w:rsidR="009621C7" w:rsidRDefault="009621C7" w:rsidP="00422E8C">
            <w:r>
              <w:t>intradermal</w:t>
            </w:r>
          </w:p>
        </w:tc>
      </w:tr>
      <w:tr w:rsidR="009621C7" w14:paraId="1072A251"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2206" w:type="pct"/>
          </w:tcPr>
          <w:p w14:paraId="7A2F859A" w14:textId="77777777" w:rsidR="009621C7" w:rsidRDefault="009621C7" w:rsidP="00422E8C">
            <w:r>
              <w:t xml:space="preserve">intramuscular </w:t>
            </w:r>
          </w:p>
        </w:tc>
        <w:tc>
          <w:tcPr>
            <w:tcW w:w="2794" w:type="pct"/>
          </w:tcPr>
          <w:p w14:paraId="0C255D22" w14:textId="77777777" w:rsidR="009621C7" w:rsidRDefault="009621C7" w:rsidP="00422E8C">
            <w:r>
              <w:t xml:space="preserve">IM </w:t>
            </w:r>
          </w:p>
        </w:tc>
      </w:tr>
      <w:tr w:rsidR="009621C7" w14:paraId="1914283E" w14:textId="77777777" w:rsidTr="00E345CB">
        <w:trPr>
          <w:trHeight w:val="60"/>
        </w:trPr>
        <w:tc>
          <w:tcPr>
            <w:tcW w:w="2206" w:type="pct"/>
          </w:tcPr>
          <w:p w14:paraId="18C9C369" w14:textId="77777777" w:rsidR="009621C7" w:rsidRDefault="009621C7" w:rsidP="00422E8C">
            <w:r>
              <w:t xml:space="preserve">intranasal </w:t>
            </w:r>
          </w:p>
        </w:tc>
        <w:tc>
          <w:tcPr>
            <w:tcW w:w="2794" w:type="pct"/>
          </w:tcPr>
          <w:p w14:paraId="0F5A5FA6" w14:textId="77777777" w:rsidR="009621C7" w:rsidRDefault="009621C7" w:rsidP="00422E8C">
            <w:r>
              <w:t xml:space="preserve">intranasal </w:t>
            </w:r>
          </w:p>
        </w:tc>
      </w:tr>
      <w:tr w:rsidR="009621C7" w14:paraId="2CAAECC1"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2206" w:type="pct"/>
          </w:tcPr>
          <w:p w14:paraId="35588A32" w14:textId="77777777" w:rsidR="009621C7" w:rsidRDefault="009621C7" w:rsidP="00422E8C">
            <w:r>
              <w:t>intraosseous</w:t>
            </w:r>
          </w:p>
        </w:tc>
        <w:tc>
          <w:tcPr>
            <w:tcW w:w="2794" w:type="pct"/>
          </w:tcPr>
          <w:p w14:paraId="20BA786F" w14:textId="77777777" w:rsidR="009621C7" w:rsidRDefault="009621C7" w:rsidP="00422E8C">
            <w:r>
              <w:t xml:space="preserve">intraosseous </w:t>
            </w:r>
          </w:p>
        </w:tc>
      </w:tr>
      <w:tr w:rsidR="009621C7" w14:paraId="2D16A5C4" w14:textId="77777777" w:rsidTr="00E345CB">
        <w:trPr>
          <w:trHeight w:val="60"/>
        </w:trPr>
        <w:tc>
          <w:tcPr>
            <w:tcW w:w="2206" w:type="pct"/>
          </w:tcPr>
          <w:p w14:paraId="344964F5" w14:textId="77777777" w:rsidR="009621C7" w:rsidRDefault="009621C7" w:rsidP="00422E8C">
            <w:r>
              <w:lastRenderedPageBreak/>
              <w:t>intraperitoneal</w:t>
            </w:r>
          </w:p>
        </w:tc>
        <w:tc>
          <w:tcPr>
            <w:tcW w:w="2794" w:type="pct"/>
          </w:tcPr>
          <w:p w14:paraId="7EB2D15C" w14:textId="77777777" w:rsidR="009621C7" w:rsidRDefault="009621C7" w:rsidP="00422E8C">
            <w:r>
              <w:t xml:space="preserve">intraperitoneal </w:t>
            </w:r>
          </w:p>
        </w:tc>
      </w:tr>
      <w:tr w:rsidR="009621C7" w14:paraId="72A622E2"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2206" w:type="pct"/>
          </w:tcPr>
          <w:p w14:paraId="58E2270B" w14:textId="77777777" w:rsidR="009621C7" w:rsidRDefault="009621C7" w:rsidP="00422E8C">
            <w:r>
              <w:t xml:space="preserve">intrathecal </w:t>
            </w:r>
          </w:p>
        </w:tc>
        <w:tc>
          <w:tcPr>
            <w:tcW w:w="2794" w:type="pct"/>
          </w:tcPr>
          <w:p w14:paraId="7700BED7" w14:textId="77777777" w:rsidR="009621C7" w:rsidRDefault="009621C7" w:rsidP="00422E8C">
            <w:r>
              <w:t xml:space="preserve">intrathecal, </w:t>
            </w:r>
            <w:proofErr w:type="spellStart"/>
            <w:r>
              <w:t>IntraTHECAL</w:t>
            </w:r>
            <w:proofErr w:type="spellEnd"/>
            <w:r w:rsidRPr="008F4E74">
              <w:footnoteReference w:id="10"/>
            </w:r>
            <w:r>
              <w:t xml:space="preserve"> </w:t>
            </w:r>
          </w:p>
        </w:tc>
      </w:tr>
      <w:tr w:rsidR="009621C7" w14:paraId="3A65CAB1" w14:textId="77777777" w:rsidTr="00E345CB">
        <w:trPr>
          <w:trHeight w:val="60"/>
        </w:trPr>
        <w:tc>
          <w:tcPr>
            <w:tcW w:w="2206" w:type="pct"/>
          </w:tcPr>
          <w:p w14:paraId="6A951DC7" w14:textId="77777777" w:rsidR="009621C7" w:rsidRDefault="009621C7" w:rsidP="00422E8C">
            <w:r>
              <w:t xml:space="preserve">intravenous </w:t>
            </w:r>
          </w:p>
        </w:tc>
        <w:tc>
          <w:tcPr>
            <w:tcW w:w="2794" w:type="pct"/>
          </w:tcPr>
          <w:p w14:paraId="75A447DC" w14:textId="77777777" w:rsidR="009621C7" w:rsidRDefault="009621C7" w:rsidP="00422E8C">
            <w:r>
              <w:t xml:space="preserve">IV, </w:t>
            </w:r>
            <w:proofErr w:type="spellStart"/>
            <w:r>
              <w:t>IntraVENOUS</w:t>
            </w:r>
            <w:proofErr w:type="spellEnd"/>
            <w:r>
              <w:rPr>
                <w:rStyle w:val="FootnoteReference"/>
              </w:rPr>
              <w:t>*</w:t>
            </w:r>
          </w:p>
        </w:tc>
      </w:tr>
      <w:tr w:rsidR="009621C7" w14:paraId="1B16AFDB"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2206" w:type="pct"/>
          </w:tcPr>
          <w:p w14:paraId="6E1DC73C" w14:textId="77777777" w:rsidR="009621C7" w:rsidRDefault="009621C7" w:rsidP="00422E8C">
            <w:r>
              <w:t xml:space="preserve">irrigation </w:t>
            </w:r>
          </w:p>
        </w:tc>
        <w:tc>
          <w:tcPr>
            <w:tcW w:w="2794" w:type="pct"/>
          </w:tcPr>
          <w:p w14:paraId="077127F6" w14:textId="77777777" w:rsidR="009621C7" w:rsidRDefault="009621C7" w:rsidP="00422E8C">
            <w:r>
              <w:t xml:space="preserve">irrigation </w:t>
            </w:r>
          </w:p>
        </w:tc>
      </w:tr>
      <w:tr w:rsidR="009621C7" w14:paraId="03B58661" w14:textId="77777777" w:rsidTr="00E345CB">
        <w:trPr>
          <w:trHeight w:val="60"/>
        </w:trPr>
        <w:tc>
          <w:tcPr>
            <w:tcW w:w="2206" w:type="pct"/>
          </w:tcPr>
          <w:p w14:paraId="506533D5" w14:textId="77777777" w:rsidR="009621C7" w:rsidRDefault="009621C7" w:rsidP="00422E8C">
            <w:r>
              <w:t xml:space="preserve">left </w:t>
            </w:r>
          </w:p>
        </w:tc>
        <w:tc>
          <w:tcPr>
            <w:tcW w:w="2794" w:type="pct"/>
          </w:tcPr>
          <w:p w14:paraId="558252F6" w14:textId="77777777" w:rsidR="009621C7" w:rsidRDefault="009621C7" w:rsidP="00422E8C">
            <w:r>
              <w:t xml:space="preserve">left </w:t>
            </w:r>
          </w:p>
        </w:tc>
      </w:tr>
      <w:tr w:rsidR="009621C7" w14:paraId="13EAC7A1"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2206" w:type="pct"/>
          </w:tcPr>
          <w:p w14:paraId="65F0F700" w14:textId="77777777" w:rsidR="009621C7" w:rsidRDefault="009621C7" w:rsidP="00422E8C">
            <w:proofErr w:type="spellStart"/>
            <w:r>
              <w:t>naso</w:t>
            </w:r>
            <w:proofErr w:type="spellEnd"/>
            <w:r>
              <w:rPr>
                <w:rFonts w:ascii="Cambria Math" w:hAnsi="Cambria Math" w:cs="Cambria Math"/>
              </w:rPr>
              <w:t>‑</w:t>
            </w:r>
            <w:r>
              <w:t xml:space="preserve">gastric </w:t>
            </w:r>
          </w:p>
        </w:tc>
        <w:tc>
          <w:tcPr>
            <w:tcW w:w="2794" w:type="pct"/>
          </w:tcPr>
          <w:p w14:paraId="6840AAF1" w14:textId="77777777" w:rsidR="009621C7" w:rsidRDefault="009621C7" w:rsidP="00422E8C">
            <w:r>
              <w:t xml:space="preserve">NG </w:t>
            </w:r>
          </w:p>
        </w:tc>
      </w:tr>
      <w:tr w:rsidR="009621C7" w14:paraId="0AA88115" w14:textId="77777777" w:rsidTr="00E345CB">
        <w:trPr>
          <w:trHeight w:val="60"/>
        </w:trPr>
        <w:tc>
          <w:tcPr>
            <w:tcW w:w="2206" w:type="pct"/>
          </w:tcPr>
          <w:p w14:paraId="30F92A6E" w14:textId="77777777" w:rsidR="009621C7" w:rsidRDefault="009621C7" w:rsidP="00422E8C">
            <w:proofErr w:type="spellStart"/>
            <w:r>
              <w:t>nasojejunal</w:t>
            </w:r>
            <w:proofErr w:type="spellEnd"/>
            <w:r>
              <w:t xml:space="preserve"> </w:t>
            </w:r>
          </w:p>
        </w:tc>
        <w:tc>
          <w:tcPr>
            <w:tcW w:w="2794" w:type="pct"/>
          </w:tcPr>
          <w:p w14:paraId="61DD879D" w14:textId="77777777" w:rsidR="009621C7" w:rsidRDefault="009621C7" w:rsidP="00422E8C">
            <w:r>
              <w:t>NJ</w:t>
            </w:r>
          </w:p>
        </w:tc>
      </w:tr>
      <w:tr w:rsidR="009621C7" w14:paraId="2EBB005C"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2206" w:type="pct"/>
          </w:tcPr>
          <w:p w14:paraId="7D6CBD72" w14:textId="77777777" w:rsidR="009621C7" w:rsidRDefault="009621C7" w:rsidP="00422E8C">
            <w:r>
              <w:t xml:space="preserve">nebulised </w:t>
            </w:r>
          </w:p>
        </w:tc>
        <w:tc>
          <w:tcPr>
            <w:tcW w:w="2794" w:type="pct"/>
          </w:tcPr>
          <w:p w14:paraId="4FACAECE" w14:textId="77777777" w:rsidR="009621C7" w:rsidRDefault="009621C7" w:rsidP="00422E8C">
            <w:r>
              <w:t>NEB, (‘nebulised’ preferred on</w:t>
            </w:r>
            <w:r>
              <w:rPr>
                <w:rFonts w:ascii="Cambria Math" w:hAnsi="Cambria Math" w:cs="Cambria Math"/>
              </w:rPr>
              <w:t>‑</w:t>
            </w:r>
            <w:r>
              <w:t>screen)</w:t>
            </w:r>
          </w:p>
        </w:tc>
      </w:tr>
      <w:tr w:rsidR="009621C7" w14:paraId="293BFCD5" w14:textId="77777777" w:rsidTr="00E345CB">
        <w:trPr>
          <w:trHeight w:val="60"/>
        </w:trPr>
        <w:tc>
          <w:tcPr>
            <w:tcW w:w="2206" w:type="pct"/>
          </w:tcPr>
          <w:p w14:paraId="570995FF" w14:textId="77777777" w:rsidR="009621C7" w:rsidRDefault="009621C7" w:rsidP="00422E8C">
            <w:r>
              <w:t xml:space="preserve">oral </w:t>
            </w:r>
          </w:p>
        </w:tc>
        <w:tc>
          <w:tcPr>
            <w:tcW w:w="2794" w:type="pct"/>
          </w:tcPr>
          <w:p w14:paraId="25CC49E7" w14:textId="77777777" w:rsidR="009621C7" w:rsidRDefault="009621C7" w:rsidP="00422E8C">
            <w:r>
              <w:t xml:space="preserve">PO </w:t>
            </w:r>
          </w:p>
        </w:tc>
      </w:tr>
      <w:tr w:rsidR="009621C7" w14:paraId="71030BBD"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2206" w:type="pct"/>
          </w:tcPr>
          <w:p w14:paraId="7D5F5004" w14:textId="77777777" w:rsidR="009621C7" w:rsidRDefault="009621C7" w:rsidP="00422E8C">
            <w:r>
              <w:t xml:space="preserve">per rectum </w:t>
            </w:r>
          </w:p>
        </w:tc>
        <w:tc>
          <w:tcPr>
            <w:tcW w:w="2794" w:type="pct"/>
          </w:tcPr>
          <w:p w14:paraId="4C8DA516" w14:textId="77777777" w:rsidR="009621C7" w:rsidRDefault="009621C7" w:rsidP="00422E8C">
            <w:r>
              <w:t xml:space="preserve">PR </w:t>
            </w:r>
          </w:p>
        </w:tc>
      </w:tr>
      <w:tr w:rsidR="009621C7" w14:paraId="5A89777E" w14:textId="77777777" w:rsidTr="00E345CB">
        <w:trPr>
          <w:trHeight w:val="60"/>
        </w:trPr>
        <w:tc>
          <w:tcPr>
            <w:tcW w:w="2206" w:type="pct"/>
          </w:tcPr>
          <w:p w14:paraId="1CE64E32" w14:textId="77777777" w:rsidR="009621C7" w:rsidRDefault="009621C7" w:rsidP="00422E8C">
            <w:r>
              <w:t xml:space="preserve">per vagina </w:t>
            </w:r>
          </w:p>
        </w:tc>
        <w:tc>
          <w:tcPr>
            <w:tcW w:w="2794" w:type="pct"/>
          </w:tcPr>
          <w:p w14:paraId="4A528372" w14:textId="77777777" w:rsidR="009621C7" w:rsidRDefault="009621C7" w:rsidP="00422E8C">
            <w:r>
              <w:t xml:space="preserve">PV </w:t>
            </w:r>
          </w:p>
        </w:tc>
      </w:tr>
      <w:tr w:rsidR="009621C7" w14:paraId="3598EAED"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2206" w:type="pct"/>
          </w:tcPr>
          <w:p w14:paraId="66B9F6C3" w14:textId="77777777" w:rsidR="009621C7" w:rsidRDefault="009621C7" w:rsidP="00422E8C">
            <w:r>
              <w:t>percutaneous endoscopic jejunostomy</w:t>
            </w:r>
          </w:p>
        </w:tc>
        <w:tc>
          <w:tcPr>
            <w:tcW w:w="2794" w:type="pct"/>
          </w:tcPr>
          <w:p w14:paraId="073C7674" w14:textId="77777777" w:rsidR="009621C7" w:rsidRDefault="009621C7" w:rsidP="00422E8C">
            <w:r>
              <w:t>PEJ</w:t>
            </w:r>
          </w:p>
        </w:tc>
      </w:tr>
      <w:tr w:rsidR="009621C7" w14:paraId="1523162B" w14:textId="77777777" w:rsidTr="00E345CB">
        <w:trPr>
          <w:trHeight w:val="60"/>
        </w:trPr>
        <w:tc>
          <w:tcPr>
            <w:tcW w:w="2206" w:type="pct"/>
          </w:tcPr>
          <w:p w14:paraId="46795512" w14:textId="77777777" w:rsidR="009621C7" w:rsidRDefault="009621C7" w:rsidP="00422E8C">
            <w:r>
              <w:t xml:space="preserve">percutaneous enteral gastrostomy </w:t>
            </w:r>
          </w:p>
        </w:tc>
        <w:tc>
          <w:tcPr>
            <w:tcW w:w="2794" w:type="pct"/>
          </w:tcPr>
          <w:p w14:paraId="37C17E9D" w14:textId="77777777" w:rsidR="009621C7" w:rsidRDefault="009621C7" w:rsidP="00422E8C">
            <w:r>
              <w:t xml:space="preserve">PEG </w:t>
            </w:r>
          </w:p>
        </w:tc>
      </w:tr>
      <w:tr w:rsidR="009621C7" w14:paraId="616220E8"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2206" w:type="pct"/>
          </w:tcPr>
          <w:p w14:paraId="7E162DE2" w14:textId="77777777" w:rsidR="009621C7" w:rsidRDefault="009621C7" w:rsidP="00422E8C">
            <w:r>
              <w:t xml:space="preserve">peripherally inserted central catheter </w:t>
            </w:r>
          </w:p>
        </w:tc>
        <w:tc>
          <w:tcPr>
            <w:tcW w:w="2794" w:type="pct"/>
          </w:tcPr>
          <w:p w14:paraId="33EB3522" w14:textId="77777777" w:rsidR="009621C7" w:rsidRDefault="009621C7" w:rsidP="00422E8C">
            <w:r>
              <w:t xml:space="preserve">PICC </w:t>
            </w:r>
          </w:p>
        </w:tc>
      </w:tr>
      <w:tr w:rsidR="009621C7" w14:paraId="4DBD1215" w14:textId="77777777" w:rsidTr="00E345CB">
        <w:trPr>
          <w:trHeight w:val="392"/>
        </w:trPr>
        <w:tc>
          <w:tcPr>
            <w:tcW w:w="2206" w:type="pct"/>
          </w:tcPr>
          <w:p w14:paraId="0C955008" w14:textId="77777777" w:rsidR="009621C7" w:rsidRDefault="009621C7" w:rsidP="00422E8C">
            <w:r>
              <w:t xml:space="preserve">right </w:t>
            </w:r>
          </w:p>
        </w:tc>
        <w:tc>
          <w:tcPr>
            <w:tcW w:w="2794" w:type="pct"/>
          </w:tcPr>
          <w:p w14:paraId="572BFE06" w14:textId="77777777" w:rsidR="009621C7" w:rsidRDefault="009621C7" w:rsidP="00422E8C">
            <w:r>
              <w:t xml:space="preserve">right </w:t>
            </w:r>
          </w:p>
        </w:tc>
      </w:tr>
      <w:tr w:rsidR="009621C7" w14:paraId="4CAFB258"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2206" w:type="pct"/>
          </w:tcPr>
          <w:p w14:paraId="696B8AAA" w14:textId="77777777" w:rsidR="009621C7" w:rsidRDefault="009621C7" w:rsidP="00422E8C">
            <w:r>
              <w:t xml:space="preserve">subcutaneous </w:t>
            </w:r>
          </w:p>
        </w:tc>
        <w:tc>
          <w:tcPr>
            <w:tcW w:w="2794" w:type="pct"/>
          </w:tcPr>
          <w:p w14:paraId="5DB39032" w14:textId="77777777" w:rsidR="009621C7" w:rsidRDefault="009621C7" w:rsidP="00422E8C">
            <w:proofErr w:type="spellStart"/>
            <w:r>
              <w:t>subcut</w:t>
            </w:r>
            <w:proofErr w:type="spellEnd"/>
          </w:p>
        </w:tc>
      </w:tr>
      <w:tr w:rsidR="009621C7" w14:paraId="5CD2879A" w14:textId="77777777" w:rsidTr="00E345CB">
        <w:trPr>
          <w:trHeight w:val="60"/>
        </w:trPr>
        <w:tc>
          <w:tcPr>
            <w:tcW w:w="2206" w:type="pct"/>
          </w:tcPr>
          <w:p w14:paraId="0B59AE31" w14:textId="77777777" w:rsidR="009621C7" w:rsidRDefault="009621C7" w:rsidP="00422E8C">
            <w:r>
              <w:t xml:space="preserve">sublingual </w:t>
            </w:r>
          </w:p>
        </w:tc>
        <w:tc>
          <w:tcPr>
            <w:tcW w:w="2794" w:type="pct"/>
          </w:tcPr>
          <w:p w14:paraId="0A7C4793" w14:textId="77777777" w:rsidR="009621C7" w:rsidRDefault="009621C7" w:rsidP="00422E8C">
            <w:proofErr w:type="spellStart"/>
            <w:r>
              <w:t>subling</w:t>
            </w:r>
            <w:proofErr w:type="spellEnd"/>
            <w:r>
              <w:t>, under the tongue</w:t>
            </w:r>
          </w:p>
        </w:tc>
      </w:tr>
      <w:tr w:rsidR="009621C7" w14:paraId="4F2FD5A8"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2206" w:type="pct"/>
          </w:tcPr>
          <w:p w14:paraId="13A8F770" w14:textId="77777777" w:rsidR="009621C7" w:rsidRDefault="009621C7" w:rsidP="00422E8C">
            <w:r>
              <w:t xml:space="preserve">topical </w:t>
            </w:r>
          </w:p>
        </w:tc>
        <w:tc>
          <w:tcPr>
            <w:tcW w:w="2794" w:type="pct"/>
          </w:tcPr>
          <w:p w14:paraId="54294B05" w14:textId="77777777" w:rsidR="009621C7" w:rsidRDefault="009621C7" w:rsidP="00422E8C">
            <w:r>
              <w:t xml:space="preserve">topical </w:t>
            </w:r>
          </w:p>
        </w:tc>
      </w:tr>
    </w:tbl>
    <w:p w14:paraId="07B12528" w14:textId="116A5B9B" w:rsidR="009621C7" w:rsidRDefault="009621C7" w:rsidP="00E47B8F">
      <w:pPr>
        <w:pStyle w:val="FigureTableTitle"/>
      </w:pPr>
      <w:bookmarkStart w:id="56" w:name="TF"/>
      <w:bookmarkStart w:id="57" w:name="_Toc184061560"/>
      <w:r>
        <w:t>Table</w:t>
      </w:r>
      <w:r w:rsidR="00661066">
        <w:t> </w:t>
      </w:r>
      <w:r>
        <w:t>F</w:t>
      </w:r>
      <w:bookmarkEnd w:id="56"/>
      <w:r>
        <w:t xml:space="preserve">: Dose </w:t>
      </w:r>
      <w:r w:rsidRPr="00E47B8F">
        <w:t>designations</w:t>
      </w:r>
      <w:r>
        <w:t>: Units of measure, concentration and rates of administration</w:t>
      </w:r>
      <w:bookmarkEnd w:id="57"/>
    </w:p>
    <w:tbl>
      <w:tblPr>
        <w:tblStyle w:val="RECBanded"/>
        <w:tblW w:w="5000" w:type="pct"/>
        <w:tblLook w:val="0420" w:firstRow="1" w:lastRow="0" w:firstColumn="0" w:lastColumn="0" w:noHBand="0" w:noVBand="1"/>
        <w:tblDescription w:val="Table F: Dose designations: Units of measure, concentration and rates of administration"/>
      </w:tblPr>
      <w:tblGrid>
        <w:gridCol w:w="3258"/>
        <w:gridCol w:w="6374"/>
      </w:tblGrid>
      <w:tr w:rsidR="009621C7" w14:paraId="583EDE2B" w14:textId="77777777" w:rsidTr="00E345CB">
        <w:trPr>
          <w:cnfStyle w:val="100000000000" w:firstRow="1" w:lastRow="0" w:firstColumn="0" w:lastColumn="0" w:oddVBand="0" w:evenVBand="0" w:oddHBand="0" w:evenHBand="0" w:firstRowFirstColumn="0" w:firstRowLastColumn="0" w:lastRowFirstColumn="0" w:lastRowLastColumn="0"/>
          <w:trHeight w:val="60"/>
        </w:trPr>
        <w:tc>
          <w:tcPr>
            <w:tcW w:w="1691" w:type="pct"/>
          </w:tcPr>
          <w:p w14:paraId="31EB2ED9" w14:textId="77777777" w:rsidR="009621C7" w:rsidRDefault="009621C7" w:rsidP="00422E8C">
            <w:r>
              <w:t>Intended meaning</w:t>
            </w:r>
          </w:p>
        </w:tc>
        <w:tc>
          <w:tcPr>
            <w:tcW w:w="3309" w:type="pct"/>
          </w:tcPr>
          <w:p w14:paraId="267100F8" w14:textId="77777777" w:rsidR="009621C7" w:rsidRDefault="009621C7" w:rsidP="00422E8C">
            <w:r>
              <w:t>Acceptable terms or abbreviations</w:t>
            </w:r>
          </w:p>
        </w:tc>
      </w:tr>
      <w:tr w:rsidR="009621C7" w14:paraId="3E3A2126"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691" w:type="pct"/>
          </w:tcPr>
          <w:p w14:paraId="7EDDFAAC" w14:textId="77777777" w:rsidR="009621C7" w:rsidRDefault="009621C7" w:rsidP="00422E8C">
            <w:r>
              <w:t>centimetre, millimetre</w:t>
            </w:r>
          </w:p>
        </w:tc>
        <w:tc>
          <w:tcPr>
            <w:tcW w:w="3309" w:type="pct"/>
          </w:tcPr>
          <w:p w14:paraId="24E69DA2" w14:textId="77777777" w:rsidR="009621C7" w:rsidRDefault="009621C7" w:rsidP="00422E8C">
            <w:r>
              <w:t>cm, mm</w:t>
            </w:r>
          </w:p>
        </w:tc>
      </w:tr>
      <w:tr w:rsidR="009621C7" w14:paraId="2EC99CF1" w14:textId="77777777" w:rsidTr="00E345CB">
        <w:trPr>
          <w:trHeight w:val="60"/>
        </w:trPr>
        <w:tc>
          <w:tcPr>
            <w:tcW w:w="1691" w:type="pct"/>
          </w:tcPr>
          <w:p w14:paraId="57168BB7" w14:textId="77777777" w:rsidR="009621C7" w:rsidRDefault="009621C7" w:rsidP="00422E8C">
            <w:r>
              <w:t xml:space="preserve">gram(s) </w:t>
            </w:r>
          </w:p>
        </w:tc>
        <w:tc>
          <w:tcPr>
            <w:tcW w:w="3309" w:type="pct"/>
          </w:tcPr>
          <w:p w14:paraId="16FACE50" w14:textId="77777777" w:rsidR="009621C7" w:rsidRDefault="009621C7" w:rsidP="00422E8C">
            <w:r>
              <w:t xml:space="preserve">g </w:t>
            </w:r>
          </w:p>
        </w:tc>
      </w:tr>
      <w:tr w:rsidR="009621C7" w14:paraId="2C1836B1"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691" w:type="pct"/>
          </w:tcPr>
          <w:p w14:paraId="0796A724" w14:textId="77777777" w:rsidR="009621C7" w:rsidRDefault="009621C7" w:rsidP="00422E8C">
            <w:r>
              <w:t>hour, minute</w:t>
            </w:r>
          </w:p>
        </w:tc>
        <w:tc>
          <w:tcPr>
            <w:tcW w:w="3309" w:type="pct"/>
          </w:tcPr>
          <w:p w14:paraId="3996BE89" w14:textId="77777777" w:rsidR="009621C7" w:rsidRDefault="009621C7" w:rsidP="00422E8C">
            <w:r>
              <w:t>hour, minute</w:t>
            </w:r>
          </w:p>
          <w:p w14:paraId="671858EC" w14:textId="2770B8C0" w:rsidR="009621C7" w:rsidRDefault="009621C7" w:rsidP="00422E8C">
            <w:r>
              <w:rPr>
                <w:rStyle w:val="StrongBoldBlue"/>
              </w:rPr>
              <w:t>Exception:</w:t>
            </w:r>
            <w:r>
              <w:t xml:space="preserve"> Where ‘hrs’ and ‘</w:t>
            </w:r>
            <w:proofErr w:type="spellStart"/>
            <w:r>
              <w:t>hrly</w:t>
            </w:r>
            <w:proofErr w:type="spellEnd"/>
            <w:r>
              <w:t xml:space="preserve">’ are acceptable abbreviations. </w:t>
            </w:r>
            <w:r w:rsidRPr="003669A4">
              <w:rPr>
                <w:rStyle w:val="Emphasis"/>
              </w:rPr>
              <w:t>See</w:t>
            </w:r>
            <w:r w:rsidR="00D67A58">
              <w:t> </w:t>
            </w:r>
            <w:r w:rsidR="003669A4" w:rsidRPr="003669A4">
              <w:rPr>
                <w:rStyle w:val="Cross-reference"/>
              </w:rPr>
              <w:fldChar w:fldCharType="begin"/>
            </w:r>
            <w:r w:rsidR="003669A4" w:rsidRPr="003669A4">
              <w:rPr>
                <w:rStyle w:val="Cross-reference"/>
              </w:rPr>
              <w:instrText xml:space="preserve"> REF TD \h </w:instrText>
            </w:r>
            <w:r w:rsidR="003669A4">
              <w:rPr>
                <w:rStyle w:val="Cross-reference"/>
              </w:rPr>
              <w:instrText xml:space="preserve"> \* MERGEFORMAT </w:instrText>
            </w:r>
            <w:r w:rsidR="003669A4" w:rsidRPr="003669A4">
              <w:rPr>
                <w:rStyle w:val="Cross-reference"/>
              </w:rPr>
            </w:r>
            <w:r w:rsidR="003669A4" w:rsidRPr="003669A4">
              <w:rPr>
                <w:rStyle w:val="Cross-reference"/>
              </w:rPr>
              <w:fldChar w:fldCharType="separate"/>
            </w:r>
            <w:r w:rsidR="003669A4" w:rsidRPr="003669A4">
              <w:rPr>
                <w:rStyle w:val="Cross-reference"/>
              </w:rPr>
              <w:t>Table D</w:t>
            </w:r>
            <w:r w:rsidR="003669A4" w:rsidRPr="003669A4">
              <w:rPr>
                <w:rStyle w:val="Cross-reference"/>
              </w:rPr>
              <w:fldChar w:fldCharType="end"/>
            </w:r>
            <w:r>
              <w:t xml:space="preserve"> for dose frequency or timing.</w:t>
            </w:r>
          </w:p>
        </w:tc>
      </w:tr>
      <w:tr w:rsidR="009621C7" w14:paraId="6B4BC4BB" w14:textId="77777777" w:rsidTr="00E345CB">
        <w:trPr>
          <w:trHeight w:val="60"/>
        </w:trPr>
        <w:tc>
          <w:tcPr>
            <w:tcW w:w="1691" w:type="pct"/>
          </w:tcPr>
          <w:p w14:paraId="37F6FFCA" w14:textId="77777777" w:rsidR="009621C7" w:rsidRDefault="009621C7" w:rsidP="00422E8C">
            <w:r>
              <w:t>kilogram</w:t>
            </w:r>
          </w:p>
        </w:tc>
        <w:tc>
          <w:tcPr>
            <w:tcW w:w="3309" w:type="pct"/>
          </w:tcPr>
          <w:p w14:paraId="19BFB9E8" w14:textId="77777777" w:rsidR="009621C7" w:rsidRDefault="009621C7" w:rsidP="00422E8C">
            <w:r>
              <w:t>kg</w:t>
            </w:r>
          </w:p>
        </w:tc>
      </w:tr>
      <w:tr w:rsidR="009621C7" w14:paraId="28EF2C04"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691" w:type="pct"/>
          </w:tcPr>
          <w:p w14:paraId="54C736C3" w14:textId="77777777" w:rsidR="009621C7" w:rsidRDefault="009621C7" w:rsidP="00422E8C">
            <w:r>
              <w:lastRenderedPageBreak/>
              <w:t xml:space="preserve">litre(s) </w:t>
            </w:r>
          </w:p>
        </w:tc>
        <w:tc>
          <w:tcPr>
            <w:tcW w:w="3309" w:type="pct"/>
          </w:tcPr>
          <w:p w14:paraId="798CC85A" w14:textId="77777777" w:rsidR="009621C7" w:rsidRDefault="009621C7" w:rsidP="00422E8C">
            <w:r>
              <w:t xml:space="preserve">L </w:t>
            </w:r>
          </w:p>
        </w:tc>
      </w:tr>
      <w:tr w:rsidR="009621C7" w14:paraId="3F1D3B49" w14:textId="77777777" w:rsidTr="00E345CB">
        <w:trPr>
          <w:trHeight w:val="60"/>
        </w:trPr>
        <w:tc>
          <w:tcPr>
            <w:tcW w:w="1691" w:type="pct"/>
          </w:tcPr>
          <w:p w14:paraId="7A787116" w14:textId="77777777" w:rsidR="009621C7" w:rsidRDefault="009621C7" w:rsidP="00422E8C">
            <w:r>
              <w:t>metre</w:t>
            </w:r>
          </w:p>
        </w:tc>
        <w:tc>
          <w:tcPr>
            <w:tcW w:w="3309" w:type="pct"/>
          </w:tcPr>
          <w:p w14:paraId="79975ED0" w14:textId="77777777" w:rsidR="009621C7" w:rsidRDefault="009621C7" w:rsidP="00422E8C">
            <w:r>
              <w:t>metre</w:t>
            </w:r>
          </w:p>
        </w:tc>
      </w:tr>
      <w:tr w:rsidR="009621C7" w14:paraId="1F05617E"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691" w:type="pct"/>
          </w:tcPr>
          <w:p w14:paraId="5F7844BF" w14:textId="77777777" w:rsidR="009621C7" w:rsidRDefault="009621C7" w:rsidP="00422E8C">
            <w:r>
              <w:t xml:space="preserve">microgram(s) </w:t>
            </w:r>
          </w:p>
        </w:tc>
        <w:tc>
          <w:tcPr>
            <w:tcW w:w="3309" w:type="pct"/>
          </w:tcPr>
          <w:p w14:paraId="23F23C70" w14:textId="77777777" w:rsidR="009621C7" w:rsidRDefault="009621C7" w:rsidP="00422E8C">
            <w:r>
              <w:t xml:space="preserve">microgram, </w:t>
            </w:r>
            <w:proofErr w:type="spellStart"/>
            <w:r>
              <w:t>MICROg</w:t>
            </w:r>
            <w:proofErr w:type="spellEnd"/>
            <w:r>
              <w:t>, microg</w:t>
            </w:r>
          </w:p>
        </w:tc>
      </w:tr>
      <w:tr w:rsidR="009621C7" w14:paraId="5F0858F4" w14:textId="77777777" w:rsidTr="00E345CB">
        <w:trPr>
          <w:trHeight w:val="60"/>
        </w:trPr>
        <w:tc>
          <w:tcPr>
            <w:tcW w:w="1691" w:type="pct"/>
          </w:tcPr>
          <w:p w14:paraId="2C79D938" w14:textId="77777777" w:rsidR="009621C7" w:rsidRDefault="009621C7" w:rsidP="00422E8C">
            <w:r>
              <w:t xml:space="preserve">microlitre, </w:t>
            </w:r>
            <w:proofErr w:type="spellStart"/>
            <w:r>
              <w:t>micromol</w:t>
            </w:r>
            <w:proofErr w:type="spellEnd"/>
            <w:r>
              <w:t>, millimolar</w:t>
            </w:r>
          </w:p>
        </w:tc>
        <w:tc>
          <w:tcPr>
            <w:tcW w:w="3309" w:type="pct"/>
          </w:tcPr>
          <w:p w14:paraId="598F06E5" w14:textId="77777777" w:rsidR="009621C7" w:rsidRDefault="009621C7" w:rsidP="00422E8C">
            <w:r>
              <w:t xml:space="preserve">microlitre, </w:t>
            </w:r>
            <w:proofErr w:type="spellStart"/>
            <w:r>
              <w:t>micromol</w:t>
            </w:r>
            <w:proofErr w:type="spellEnd"/>
            <w:r>
              <w:t>, millimolar</w:t>
            </w:r>
          </w:p>
        </w:tc>
      </w:tr>
      <w:tr w:rsidR="009621C7" w14:paraId="7530E88D"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691" w:type="pct"/>
          </w:tcPr>
          <w:p w14:paraId="5E4979B5" w14:textId="77777777" w:rsidR="009621C7" w:rsidRDefault="009621C7" w:rsidP="00422E8C">
            <w:r>
              <w:t>milliequivalent</w:t>
            </w:r>
          </w:p>
        </w:tc>
        <w:tc>
          <w:tcPr>
            <w:tcW w:w="3309" w:type="pct"/>
          </w:tcPr>
          <w:p w14:paraId="43CEF244" w14:textId="77777777" w:rsidR="009621C7" w:rsidRDefault="009621C7" w:rsidP="00422E8C">
            <w:proofErr w:type="spellStart"/>
            <w:r>
              <w:t>mEq</w:t>
            </w:r>
            <w:proofErr w:type="spellEnd"/>
          </w:p>
        </w:tc>
      </w:tr>
      <w:tr w:rsidR="009621C7" w14:paraId="621339B0" w14:textId="77777777" w:rsidTr="00E345CB">
        <w:trPr>
          <w:trHeight w:val="60"/>
        </w:trPr>
        <w:tc>
          <w:tcPr>
            <w:tcW w:w="1691" w:type="pct"/>
          </w:tcPr>
          <w:p w14:paraId="70565EDC" w14:textId="77777777" w:rsidR="009621C7" w:rsidRDefault="009621C7" w:rsidP="00422E8C">
            <w:r>
              <w:t xml:space="preserve">milligram(s) </w:t>
            </w:r>
          </w:p>
        </w:tc>
        <w:tc>
          <w:tcPr>
            <w:tcW w:w="3309" w:type="pct"/>
          </w:tcPr>
          <w:p w14:paraId="3C81FEA8" w14:textId="77777777" w:rsidR="009621C7" w:rsidRDefault="009621C7" w:rsidP="00422E8C">
            <w:r>
              <w:t xml:space="preserve">mg </w:t>
            </w:r>
          </w:p>
        </w:tc>
      </w:tr>
      <w:tr w:rsidR="009621C7" w14:paraId="5818C00C"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691" w:type="pct"/>
          </w:tcPr>
          <w:p w14:paraId="1698F9CB" w14:textId="77777777" w:rsidR="009621C7" w:rsidRDefault="009621C7" w:rsidP="00422E8C">
            <w:r>
              <w:t>milligram per litre</w:t>
            </w:r>
          </w:p>
        </w:tc>
        <w:tc>
          <w:tcPr>
            <w:tcW w:w="3309" w:type="pct"/>
          </w:tcPr>
          <w:p w14:paraId="05B3A6F5" w14:textId="77777777" w:rsidR="009621C7" w:rsidRDefault="009621C7" w:rsidP="00422E8C">
            <w:r>
              <w:t>mg/L</w:t>
            </w:r>
          </w:p>
        </w:tc>
      </w:tr>
      <w:tr w:rsidR="009621C7" w14:paraId="7D45927A" w14:textId="77777777" w:rsidTr="00E345CB">
        <w:trPr>
          <w:trHeight w:val="60"/>
        </w:trPr>
        <w:tc>
          <w:tcPr>
            <w:tcW w:w="1691" w:type="pct"/>
          </w:tcPr>
          <w:p w14:paraId="488C6B4B" w14:textId="77777777" w:rsidR="009621C7" w:rsidRDefault="009621C7" w:rsidP="00422E8C">
            <w:r>
              <w:t xml:space="preserve">millilitre(s) </w:t>
            </w:r>
          </w:p>
        </w:tc>
        <w:tc>
          <w:tcPr>
            <w:tcW w:w="3309" w:type="pct"/>
          </w:tcPr>
          <w:p w14:paraId="4DFCFB68" w14:textId="77777777" w:rsidR="009621C7" w:rsidRDefault="009621C7" w:rsidP="00422E8C">
            <w:r>
              <w:t xml:space="preserve">mL </w:t>
            </w:r>
          </w:p>
        </w:tc>
      </w:tr>
      <w:tr w:rsidR="009621C7" w14:paraId="4737CBEF"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691" w:type="pct"/>
          </w:tcPr>
          <w:p w14:paraId="71116062" w14:textId="77777777" w:rsidR="009621C7" w:rsidRDefault="009621C7" w:rsidP="00422E8C">
            <w:r>
              <w:t xml:space="preserve">millimole </w:t>
            </w:r>
          </w:p>
        </w:tc>
        <w:tc>
          <w:tcPr>
            <w:tcW w:w="3309" w:type="pct"/>
          </w:tcPr>
          <w:p w14:paraId="42AB786D" w14:textId="77777777" w:rsidR="009621C7" w:rsidRDefault="009621C7" w:rsidP="00422E8C">
            <w:r>
              <w:t xml:space="preserve">mmol </w:t>
            </w:r>
          </w:p>
        </w:tc>
      </w:tr>
      <w:tr w:rsidR="009621C7" w14:paraId="35466CF4" w14:textId="77777777" w:rsidTr="00E345CB">
        <w:trPr>
          <w:trHeight w:val="60"/>
        </w:trPr>
        <w:tc>
          <w:tcPr>
            <w:tcW w:w="1691" w:type="pct"/>
          </w:tcPr>
          <w:p w14:paraId="42975D9A" w14:textId="77777777" w:rsidR="009621C7" w:rsidRDefault="009621C7" w:rsidP="00422E8C">
            <w:r>
              <w:t>millimole per litre</w:t>
            </w:r>
          </w:p>
        </w:tc>
        <w:tc>
          <w:tcPr>
            <w:tcW w:w="3309" w:type="pct"/>
          </w:tcPr>
          <w:p w14:paraId="43EEA540" w14:textId="77777777" w:rsidR="009621C7" w:rsidRDefault="009621C7" w:rsidP="00422E8C">
            <w:r>
              <w:t>mmol/L</w:t>
            </w:r>
          </w:p>
        </w:tc>
      </w:tr>
      <w:tr w:rsidR="009621C7" w14:paraId="285D8B74"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691" w:type="pct"/>
          </w:tcPr>
          <w:p w14:paraId="69CEAB46" w14:textId="77777777" w:rsidR="009621C7" w:rsidRDefault="009621C7" w:rsidP="00422E8C">
            <w:r>
              <w:t>nanogram</w:t>
            </w:r>
          </w:p>
        </w:tc>
        <w:tc>
          <w:tcPr>
            <w:tcW w:w="3309" w:type="pct"/>
          </w:tcPr>
          <w:p w14:paraId="388D8614" w14:textId="77777777" w:rsidR="009621C7" w:rsidRDefault="009621C7" w:rsidP="00422E8C">
            <w:r>
              <w:t>nanogram (note: usual abbreviation ‘ng’ is not acceptable as it can potentially be confused with ‘</w:t>
            </w:r>
            <w:proofErr w:type="spellStart"/>
            <w:r>
              <w:t>naso</w:t>
            </w:r>
            <w:proofErr w:type="spellEnd"/>
            <w:r>
              <w:rPr>
                <w:rFonts w:ascii="Cambria Math" w:hAnsi="Cambria Math" w:cs="Cambria Math"/>
              </w:rPr>
              <w:t>‑</w:t>
            </w:r>
            <w:r>
              <w:t>gastric’)</w:t>
            </w:r>
          </w:p>
        </w:tc>
      </w:tr>
      <w:tr w:rsidR="009621C7" w14:paraId="101922E4" w14:textId="77777777" w:rsidTr="00E345CB">
        <w:trPr>
          <w:trHeight w:val="60"/>
        </w:trPr>
        <w:tc>
          <w:tcPr>
            <w:tcW w:w="1691" w:type="pct"/>
          </w:tcPr>
          <w:p w14:paraId="27BBA0FB" w14:textId="77777777" w:rsidR="009621C7" w:rsidRDefault="009621C7" w:rsidP="00422E8C">
            <w:r>
              <w:t>parts per million</w:t>
            </w:r>
          </w:p>
        </w:tc>
        <w:tc>
          <w:tcPr>
            <w:tcW w:w="3309" w:type="pct"/>
          </w:tcPr>
          <w:p w14:paraId="641B8DBB" w14:textId="77777777" w:rsidR="009621C7" w:rsidRDefault="009621C7" w:rsidP="00422E8C">
            <w:r>
              <w:t>ppm</w:t>
            </w:r>
          </w:p>
        </w:tc>
      </w:tr>
      <w:tr w:rsidR="009621C7" w14:paraId="3275B2D8"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691" w:type="pct"/>
          </w:tcPr>
          <w:p w14:paraId="2F5C4425" w14:textId="77777777" w:rsidR="009621C7" w:rsidRDefault="009621C7" w:rsidP="00422E8C">
            <w:r>
              <w:t>percentage, percent</w:t>
            </w:r>
          </w:p>
        </w:tc>
        <w:tc>
          <w:tcPr>
            <w:tcW w:w="3309" w:type="pct"/>
          </w:tcPr>
          <w:p w14:paraId="01AF0594" w14:textId="77777777" w:rsidR="009621C7" w:rsidRDefault="009621C7" w:rsidP="00422E8C">
            <w:r>
              <w:t xml:space="preserve">% </w:t>
            </w:r>
          </w:p>
        </w:tc>
      </w:tr>
      <w:tr w:rsidR="009621C7" w14:paraId="57597CC6" w14:textId="77777777" w:rsidTr="00E345CB">
        <w:trPr>
          <w:trHeight w:val="60"/>
        </w:trPr>
        <w:tc>
          <w:tcPr>
            <w:tcW w:w="1691" w:type="pct"/>
          </w:tcPr>
          <w:p w14:paraId="685AC529" w14:textId="77777777" w:rsidR="009621C7" w:rsidRDefault="009621C7" w:rsidP="00422E8C">
            <w:r>
              <w:t>square centimetre, square metre</w:t>
            </w:r>
          </w:p>
        </w:tc>
        <w:tc>
          <w:tcPr>
            <w:tcW w:w="3309" w:type="pct"/>
          </w:tcPr>
          <w:p w14:paraId="7D4AABAE" w14:textId="77777777" w:rsidR="009621C7" w:rsidRDefault="009621C7" w:rsidP="00422E8C">
            <w:r>
              <w:t>sq cm, sq m</w:t>
            </w:r>
          </w:p>
          <w:p w14:paraId="34A920BB" w14:textId="77777777" w:rsidR="009621C7" w:rsidRDefault="009621C7" w:rsidP="00422E8C">
            <w:r>
              <w:rPr>
                <w:rStyle w:val="StrongBoldBlue"/>
              </w:rPr>
              <w:t>Exception:</w:t>
            </w:r>
            <w:r>
              <w:t xml:space="preserve"> For digital display cm</w:t>
            </w:r>
            <w:r>
              <w:rPr>
                <w:rStyle w:val="Superscript"/>
              </w:rPr>
              <w:t>2</w:t>
            </w:r>
            <w:r>
              <w:t xml:space="preserve"> and m</w:t>
            </w:r>
            <w:r>
              <w:rPr>
                <w:rStyle w:val="Superscript"/>
              </w:rPr>
              <w:t>2</w:t>
            </w:r>
            <w:r>
              <w:t xml:space="preserve"> may also be acceptable if superscript is clearly shown</w:t>
            </w:r>
          </w:p>
        </w:tc>
      </w:tr>
      <w:tr w:rsidR="009621C7" w14:paraId="0B04E25C"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691" w:type="pct"/>
          </w:tcPr>
          <w:p w14:paraId="1F14A5C7" w14:textId="77777777" w:rsidR="009621C7" w:rsidRDefault="009621C7" w:rsidP="00422E8C">
            <w:r>
              <w:t xml:space="preserve">unit(s) </w:t>
            </w:r>
          </w:p>
        </w:tc>
        <w:tc>
          <w:tcPr>
            <w:tcW w:w="3309" w:type="pct"/>
          </w:tcPr>
          <w:p w14:paraId="762881B5" w14:textId="77777777" w:rsidR="009621C7" w:rsidRDefault="009621C7" w:rsidP="00422E8C">
            <w:r>
              <w:t xml:space="preserve">unit(s) </w:t>
            </w:r>
          </w:p>
        </w:tc>
      </w:tr>
      <w:tr w:rsidR="009621C7" w14:paraId="0142BDBA" w14:textId="77777777" w:rsidTr="00E345CB">
        <w:trPr>
          <w:trHeight w:val="60"/>
        </w:trPr>
        <w:tc>
          <w:tcPr>
            <w:tcW w:w="1691" w:type="pct"/>
          </w:tcPr>
          <w:p w14:paraId="556CA296" w14:textId="77777777" w:rsidR="009621C7" w:rsidRDefault="009621C7" w:rsidP="00422E8C">
            <w:r>
              <w:t xml:space="preserve">International unit(s) </w:t>
            </w:r>
          </w:p>
        </w:tc>
        <w:tc>
          <w:tcPr>
            <w:tcW w:w="3309" w:type="pct"/>
          </w:tcPr>
          <w:p w14:paraId="43A6330D" w14:textId="77777777" w:rsidR="009621C7" w:rsidRDefault="009621C7" w:rsidP="00422E8C">
            <w:r>
              <w:t>unit(s)</w:t>
            </w:r>
          </w:p>
          <w:p w14:paraId="5A015C67" w14:textId="77777777" w:rsidR="009621C7" w:rsidRDefault="009621C7" w:rsidP="00422E8C">
            <w:r>
              <w:rPr>
                <w:rStyle w:val="StrongBoldBlue"/>
              </w:rPr>
              <w:t xml:space="preserve">Exception: </w:t>
            </w:r>
            <w:r>
              <w:t>The amount of bleomycin can be referred to in international units. Other exceptions such as ELISA units and D antigen units, should be explicitly stated.</w:t>
            </w:r>
          </w:p>
        </w:tc>
      </w:tr>
      <w:tr w:rsidR="009621C7" w14:paraId="6C2BC857"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691" w:type="pct"/>
          </w:tcPr>
          <w:p w14:paraId="78754808" w14:textId="77777777" w:rsidR="009621C7" w:rsidRDefault="009621C7" w:rsidP="00422E8C">
            <w:r>
              <w:t>units per kilogram</w:t>
            </w:r>
          </w:p>
        </w:tc>
        <w:tc>
          <w:tcPr>
            <w:tcW w:w="3309" w:type="pct"/>
          </w:tcPr>
          <w:p w14:paraId="46595557" w14:textId="77777777" w:rsidR="009621C7" w:rsidRDefault="009621C7" w:rsidP="00422E8C">
            <w:r>
              <w:t>units/kg</w:t>
            </w:r>
          </w:p>
        </w:tc>
      </w:tr>
      <w:tr w:rsidR="009621C7" w14:paraId="11FD2C1D" w14:textId="77777777" w:rsidTr="00E345CB">
        <w:trPr>
          <w:trHeight w:val="60"/>
        </w:trPr>
        <w:tc>
          <w:tcPr>
            <w:tcW w:w="1691" w:type="pct"/>
          </w:tcPr>
          <w:p w14:paraId="66B1945C" w14:textId="77777777" w:rsidR="009621C7" w:rsidRDefault="009621C7" w:rsidP="00422E8C">
            <w:r>
              <w:t>milligram per minute</w:t>
            </w:r>
          </w:p>
        </w:tc>
        <w:tc>
          <w:tcPr>
            <w:tcW w:w="3309" w:type="pct"/>
          </w:tcPr>
          <w:p w14:paraId="459576D9" w14:textId="77777777" w:rsidR="009621C7" w:rsidRDefault="009621C7" w:rsidP="00422E8C">
            <w:r>
              <w:t>mg/min</w:t>
            </w:r>
          </w:p>
        </w:tc>
      </w:tr>
      <w:tr w:rsidR="009621C7" w14:paraId="40688E26" w14:textId="77777777" w:rsidTr="00E345CB">
        <w:trPr>
          <w:cnfStyle w:val="000000100000" w:firstRow="0" w:lastRow="0" w:firstColumn="0" w:lastColumn="0" w:oddVBand="0" w:evenVBand="0" w:oddHBand="1" w:evenHBand="0" w:firstRowFirstColumn="0" w:firstRowLastColumn="0" w:lastRowFirstColumn="0" w:lastRowLastColumn="0"/>
          <w:trHeight w:val="60"/>
        </w:trPr>
        <w:tc>
          <w:tcPr>
            <w:tcW w:w="1691" w:type="pct"/>
          </w:tcPr>
          <w:p w14:paraId="389220BD" w14:textId="77777777" w:rsidR="009621C7" w:rsidRDefault="009621C7" w:rsidP="00422E8C">
            <w:r>
              <w:t xml:space="preserve">millilitre per hour </w:t>
            </w:r>
          </w:p>
        </w:tc>
        <w:tc>
          <w:tcPr>
            <w:tcW w:w="3309" w:type="pct"/>
          </w:tcPr>
          <w:p w14:paraId="58FEC215" w14:textId="77777777" w:rsidR="009621C7" w:rsidRDefault="009621C7" w:rsidP="00422E8C">
            <w:r>
              <w:t>mL/hr</w:t>
            </w:r>
          </w:p>
        </w:tc>
      </w:tr>
      <w:tr w:rsidR="009621C7" w14:paraId="034BD2E9" w14:textId="77777777" w:rsidTr="00E345CB">
        <w:trPr>
          <w:trHeight w:val="60"/>
        </w:trPr>
        <w:tc>
          <w:tcPr>
            <w:tcW w:w="1691" w:type="pct"/>
          </w:tcPr>
          <w:p w14:paraId="06221E93" w14:textId="77777777" w:rsidR="009621C7" w:rsidRDefault="009621C7" w:rsidP="00422E8C">
            <w:r>
              <w:t>units per hour</w:t>
            </w:r>
          </w:p>
        </w:tc>
        <w:tc>
          <w:tcPr>
            <w:tcW w:w="3309" w:type="pct"/>
          </w:tcPr>
          <w:p w14:paraId="65FBADEA" w14:textId="77777777" w:rsidR="009621C7" w:rsidRDefault="009621C7" w:rsidP="00422E8C">
            <w:r>
              <w:t>units/hr</w:t>
            </w:r>
          </w:p>
        </w:tc>
      </w:tr>
    </w:tbl>
    <w:p w14:paraId="29295D9B" w14:textId="77777777" w:rsidR="00C8757D" w:rsidRDefault="00C8757D" w:rsidP="00E47B8F">
      <w:pPr>
        <w:pStyle w:val="FigureTableTitle"/>
      </w:pPr>
      <w:bookmarkStart w:id="58" w:name="_Toc184061561"/>
      <w:r>
        <w:br w:type="page"/>
      </w:r>
    </w:p>
    <w:p w14:paraId="4D18AB47" w14:textId="44CA8A53" w:rsidR="009621C7" w:rsidRDefault="009621C7" w:rsidP="00E47B8F">
      <w:pPr>
        <w:pStyle w:val="FigureTableTitle"/>
      </w:pPr>
      <w:r>
        <w:lastRenderedPageBreak/>
        <w:t>Table</w:t>
      </w:r>
      <w:r w:rsidR="00661066">
        <w:t> </w:t>
      </w:r>
      <w:r>
        <w:t xml:space="preserve">G: </w:t>
      </w:r>
      <w:r w:rsidRPr="00C8757D">
        <w:t>Dose</w:t>
      </w:r>
      <w:r>
        <w:t xml:space="preserve"> forms</w:t>
      </w:r>
      <w:bookmarkEnd w:id="58"/>
    </w:p>
    <w:tbl>
      <w:tblPr>
        <w:tblStyle w:val="RECBanded"/>
        <w:tblW w:w="0" w:type="auto"/>
        <w:tblLayout w:type="fixed"/>
        <w:tblLook w:val="0420" w:firstRow="1" w:lastRow="0" w:firstColumn="0" w:lastColumn="0" w:noHBand="0" w:noVBand="1"/>
        <w:tblDescription w:val="Table G: Dose forms"/>
      </w:tblPr>
      <w:tblGrid>
        <w:gridCol w:w="4252"/>
        <w:gridCol w:w="5613"/>
      </w:tblGrid>
      <w:tr w:rsidR="009621C7" w14:paraId="5B8D2587" w14:textId="77777777" w:rsidTr="00140B90">
        <w:trPr>
          <w:cnfStyle w:val="100000000000" w:firstRow="1" w:lastRow="0" w:firstColumn="0" w:lastColumn="0" w:oddVBand="0" w:evenVBand="0" w:oddHBand="0" w:evenHBand="0" w:firstRowFirstColumn="0" w:firstRowLastColumn="0" w:lastRowFirstColumn="0" w:lastRowLastColumn="0"/>
          <w:trHeight w:val="60"/>
        </w:trPr>
        <w:tc>
          <w:tcPr>
            <w:tcW w:w="4252" w:type="dxa"/>
          </w:tcPr>
          <w:p w14:paraId="466FA699" w14:textId="77777777" w:rsidR="009621C7" w:rsidRDefault="009621C7" w:rsidP="00422E8C">
            <w:r>
              <w:t>Intended meaning</w:t>
            </w:r>
          </w:p>
        </w:tc>
        <w:tc>
          <w:tcPr>
            <w:tcW w:w="5613" w:type="dxa"/>
          </w:tcPr>
          <w:p w14:paraId="44571353" w14:textId="77777777" w:rsidR="009621C7" w:rsidRDefault="009621C7" w:rsidP="00422E8C">
            <w:r>
              <w:t>Acceptable terms or abbreviations</w:t>
            </w:r>
          </w:p>
        </w:tc>
      </w:tr>
      <w:tr w:rsidR="009621C7" w14:paraId="3EF3B18A" w14:textId="77777777" w:rsidTr="00140B90">
        <w:trPr>
          <w:cnfStyle w:val="000000100000" w:firstRow="0" w:lastRow="0" w:firstColumn="0" w:lastColumn="0" w:oddVBand="0" w:evenVBand="0" w:oddHBand="1" w:evenHBand="0" w:firstRowFirstColumn="0" w:firstRowLastColumn="0" w:lastRowFirstColumn="0" w:lastRowLastColumn="0"/>
          <w:trHeight w:val="60"/>
        </w:trPr>
        <w:tc>
          <w:tcPr>
            <w:tcW w:w="4252" w:type="dxa"/>
          </w:tcPr>
          <w:p w14:paraId="50E585BB" w14:textId="77777777" w:rsidR="009621C7" w:rsidRDefault="009621C7" w:rsidP="00422E8C">
            <w:r>
              <w:t xml:space="preserve">capsule </w:t>
            </w:r>
          </w:p>
        </w:tc>
        <w:tc>
          <w:tcPr>
            <w:tcW w:w="5613" w:type="dxa"/>
          </w:tcPr>
          <w:p w14:paraId="10484109" w14:textId="77777777" w:rsidR="009621C7" w:rsidRDefault="009621C7" w:rsidP="00422E8C">
            <w:r>
              <w:t>capsule, cap*, CAP</w:t>
            </w:r>
            <w:r w:rsidRPr="00140B90">
              <w:footnoteReference w:id="11"/>
            </w:r>
            <w:r>
              <w:t xml:space="preserve"> </w:t>
            </w:r>
          </w:p>
        </w:tc>
      </w:tr>
      <w:tr w:rsidR="009621C7" w14:paraId="20FA596C" w14:textId="77777777" w:rsidTr="00140B90">
        <w:trPr>
          <w:trHeight w:val="60"/>
        </w:trPr>
        <w:tc>
          <w:tcPr>
            <w:tcW w:w="4252" w:type="dxa"/>
          </w:tcPr>
          <w:p w14:paraId="25EEC89C" w14:textId="77777777" w:rsidR="009621C7" w:rsidRDefault="009621C7" w:rsidP="00422E8C">
            <w:r>
              <w:t xml:space="preserve">cream </w:t>
            </w:r>
          </w:p>
        </w:tc>
        <w:tc>
          <w:tcPr>
            <w:tcW w:w="5613" w:type="dxa"/>
          </w:tcPr>
          <w:p w14:paraId="5492DB77" w14:textId="77777777" w:rsidR="009621C7" w:rsidRDefault="009621C7" w:rsidP="00422E8C">
            <w:r>
              <w:t xml:space="preserve">cream </w:t>
            </w:r>
          </w:p>
        </w:tc>
      </w:tr>
      <w:tr w:rsidR="009621C7" w14:paraId="3032DBF6" w14:textId="77777777" w:rsidTr="00140B90">
        <w:trPr>
          <w:cnfStyle w:val="000000100000" w:firstRow="0" w:lastRow="0" w:firstColumn="0" w:lastColumn="0" w:oddVBand="0" w:evenVBand="0" w:oddHBand="1" w:evenHBand="0" w:firstRowFirstColumn="0" w:firstRowLastColumn="0" w:lastRowFirstColumn="0" w:lastRowLastColumn="0"/>
          <w:trHeight w:val="60"/>
        </w:trPr>
        <w:tc>
          <w:tcPr>
            <w:tcW w:w="4252" w:type="dxa"/>
          </w:tcPr>
          <w:p w14:paraId="3F453B02" w14:textId="77777777" w:rsidR="009621C7" w:rsidRDefault="009621C7" w:rsidP="00422E8C">
            <w:r>
              <w:t xml:space="preserve">ear drops </w:t>
            </w:r>
          </w:p>
        </w:tc>
        <w:tc>
          <w:tcPr>
            <w:tcW w:w="5613" w:type="dxa"/>
          </w:tcPr>
          <w:p w14:paraId="5DF58D19" w14:textId="77777777" w:rsidR="009621C7" w:rsidRDefault="009621C7" w:rsidP="00422E8C">
            <w:r>
              <w:t xml:space="preserve">ear drops </w:t>
            </w:r>
          </w:p>
        </w:tc>
      </w:tr>
      <w:tr w:rsidR="009621C7" w14:paraId="4AA1B061" w14:textId="77777777" w:rsidTr="00140B90">
        <w:trPr>
          <w:trHeight w:val="60"/>
        </w:trPr>
        <w:tc>
          <w:tcPr>
            <w:tcW w:w="4252" w:type="dxa"/>
          </w:tcPr>
          <w:p w14:paraId="2A2D4B14" w14:textId="77777777" w:rsidR="009621C7" w:rsidRDefault="009621C7" w:rsidP="00422E8C">
            <w:r>
              <w:t xml:space="preserve">ear ointment </w:t>
            </w:r>
          </w:p>
        </w:tc>
        <w:tc>
          <w:tcPr>
            <w:tcW w:w="5613" w:type="dxa"/>
          </w:tcPr>
          <w:p w14:paraId="26A60885" w14:textId="77777777" w:rsidR="009621C7" w:rsidRDefault="009621C7" w:rsidP="00422E8C">
            <w:r>
              <w:t xml:space="preserve">ear ointment, ear </w:t>
            </w:r>
            <w:proofErr w:type="spellStart"/>
            <w:r>
              <w:t>oint</w:t>
            </w:r>
            <w:proofErr w:type="spellEnd"/>
            <w:r>
              <w:t xml:space="preserve"> </w:t>
            </w:r>
          </w:p>
        </w:tc>
      </w:tr>
      <w:tr w:rsidR="009621C7" w14:paraId="37D1DCFE" w14:textId="77777777" w:rsidTr="00140B90">
        <w:trPr>
          <w:cnfStyle w:val="000000100000" w:firstRow="0" w:lastRow="0" w:firstColumn="0" w:lastColumn="0" w:oddVBand="0" w:evenVBand="0" w:oddHBand="1" w:evenHBand="0" w:firstRowFirstColumn="0" w:firstRowLastColumn="0" w:lastRowFirstColumn="0" w:lastRowLastColumn="0"/>
          <w:trHeight w:val="60"/>
        </w:trPr>
        <w:tc>
          <w:tcPr>
            <w:tcW w:w="4252" w:type="dxa"/>
          </w:tcPr>
          <w:p w14:paraId="37F85FD1" w14:textId="77777777" w:rsidR="009621C7" w:rsidRDefault="009621C7" w:rsidP="00422E8C">
            <w:r>
              <w:t xml:space="preserve">eye drops </w:t>
            </w:r>
          </w:p>
        </w:tc>
        <w:tc>
          <w:tcPr>
            <w:tcW w:w="5613" w:type="dxa"/>
          </w:tcPr>
          <w:p w14:paraId="4E80A1F4" w14:textId="77777777" w:rsidR="009621C7" w:rsidRDefault="009621C7" w:rsidP="00422E8C">
            <w:r>
              <w:t xml:space="preserve">eye drops </w:t>
            </w:r>
          </w:p>
        </w:tc>
      </w:tr>
      <w:tr w:rsidR="009621C7" w14:paraId="2AC3FC9E" w14:textId="77777777" w:rsidTr="00140B90">
        <w:trPr>
          <w:trHeight w:val="60"/>
        </w:trPr>
        <w:tc>
          <w:tcPr>
            <w:tcW w:w="4252" w:type="dxa"/>
          </w:tcPr>
          <w:p w14:paraId="0917BD77" w14:textId="77777777" w:rsidR="009621C7" w:rsidRDefault="009621C7" w:rsidP="00422E8C">
            <w:r>
              <w:t xml:space="preserve">eye ointment </w:t>
            </w:r>
          </w:p>
        </w:tc>
        <w:tc>
          <w:tcPr>
            <w:tcW w:w="5613" w:type="dxa"/>
          </w:tcPr>
          <w:p w14:paraId="6ECC32C1" w14:textId="77777777" w:rsidR="009621C7" w:rsidRDefault="009621C7" w:rsidP="00422E8C">
            <w:r>
              <w:t xml:space="preserve">eye ointment, eye </w:t>
            </w:r>
            <w:proofErr w:type="spellStart"/>
            <w:r>
              <w:t>oint</w:t>
            </w:r>
            <w:proofErr w:type="spellEnd"/>
          </w:p>
        </w:tc>
      </w:tr>
      <w:tr w:rsidR="009621C7" w14:paraId="22F47DA3" w14:textId="77777777" w:rsidTr="00140B90">
        <w:trPr>
          <w:cnfStyle w:val="000000100000" w:firstRow="0" w:lastRow="0" w:firstColumn="0" w:lastColumn="0" w:oddVBand="0" w:evenVBand="0" w:oddHBand="1" w:evenHBand="0" w:firstRowFirstColumn="0" w:firstRowLastColumn="0" w:lastRowFirstColumn="0" w:lastRowLastColumn="0"/>
          <w:trHeight w:val="60"/>
        </w:trPr>
        <w:tc>
          <w:tcPr>
            <w:tcW w:w="4252" w:type="dxa"/>
          </w:tcPr>
          <w:p w14:paraId="3BBEFF75" w14:textId="77777777" w:rsidR="009621C7" w:rsidRDefault="009621C7" w:rsidP="00422E8C">
            <w:r>
              <w:t xml:space="preserve">injection </w:t>
            </w:r>
          </w:p>
        </w:tc>
        <w:tc>
          <w:tcPr>
            <w:tcW w:w="5613" w:type="dxa"/>
          </w:tcPr>
          <w:p w14:paraId="295AFEFA" w14:textId="77777777" w:rsidR="009621C7" w:rsidRDefault="009621C7" w:rsidP="00422E8C">
            <w:r>
              <w:t xml:space="preserve">injection, </w:t>
            </w:r>
            <w:proofErr w:type="spellStart"/>
            <w:r>
              <w:t>inj</w:t>
            </w:r>
            <w:proofErr w:type="spellEnd"/>
            <w:r>
              <w:t>, INJ</w:t>
            </w:r>
          </w:p>
        </w:tc>
      </w:tr>
      <w:tr w:rsidR="009621C7" w14:paraId="6662912D" w14:textId="77777777" w:rsidTr="00140B90">
        <w:trPr>
          <w:trHeight w:val="60"/>
        </w:trPr>
        <w:tc>
          <w:tcPr>
            <w:tcW w:w="4252" w:type="dxa"/>
          </w:tcPr>
          <w:p w14:paraId="18848E44" w14:textId="77777777" w:rsidR="009621C7" w:rsidRDefault="009621C7" w:rsidP="00422E8C">
            <w:r>
              <w:t xml:space="preserve">metered dose inhaler </w:t>
            </w:r>
          </w:p>
        </w:tc>
        <w:tc>
          <w:tcPr>
            <w:tcW w:w="5613" w:type="dxa"/>
          </w:tcPr>
          <w:p w14:paraId="30527516" w14:textId="77777777" w:rsidR="009621C7" w:rsidRDefault="009621C7" w:rsidP="00422E8C">
            <w:r>
              <w:t xml:space="preserve">metered dose inhaler, inhaler, MDI </w:t>
            </w:r>
          </w:p>
        </w:tc>
      </w:tr>
      <w:tr w:rsidR="009621C7" w14:paraId="2CD95B2A" w14:textId="77777777" w:rsidTr="00140B90">
        <w:trPr>
          <w:cnfStyle w:val="000000100000" w:firstRow="0" w:lastRow="0" w:firstColumn="0" w:lastColumn="0" w:oddVBand="0" w:evenVBand="0" w:oddHBand="1" w:evenHBand="0" w:firstRowFirstColumn="0" w:firstRowLastColumn="0" w:lastRowFirstColumn="0" w:lastRowLastColumn="0"/>
          <w:trHeight w:val="60"/>
        </w:trPr>
        <w:tc>
          <w:tcPr>
            <w:tcW w:w="4252" w:type="dxa"/>
          </w:tcPr>
          <w:p w14:paraId="6E68506C" w14:textId="77777777" w:rsidR="009621C7" w:rsidRDefault="009621C7" w:rsidP="00422E8C">
            <w:r>
              <w:t xml:space="preserve">mixture </w:t>
            </w:r>
          </w:p>
        </w:tc>
        <w:tc>
          <w:tcPr>
            <w:tcW w:w="5613" w:type="dxa"/>
          </w:tcPr>
          <w:p w14:paraId="32E240B6" w14:textId="77777777" w:rsidR="009621C7" w:rsidRDefault="009621C7" w:rsidP="00422E8C">
            <w:r>
              <w:t xml:space="preserve">mixture </w:t>
            </w:r>
          </w:p>
        </w:tc>
      </w:tr>
      <w:tr w:rsidR="009621C7" w14:paraId="493E7668" w14:textId="77777777" w:rsidTr="00140B90">
        <w:trPr>
          <w:trHeight w:val="60"/>
        </w:trPr>
        <w:tc>
          <w:tcPr>
            <w:tcW w:w="4252" w:type="dxa"/>
          </w:tcPr>
          <w:p w14:paraId="298B13F4" w14:textId="77777777" w:rsidR="009621C7" w:rsidRDefault="009621C7" w:rsidP="00422E8C">
            <w:r>
              <w:t>nebule</w:t>
            </w:r>
          </w:p>
        </w:tc>
        <w:tc>
          <w:tcPr>
            <w:tcW w:w="5613" w:type="dxa"/>
          </w:tcPr>
          <w:p w14:paraId="57894C3C" w14:textId="77777777" w:rsidR="009621C7" w:rsidRDefault="009621C7" w:rsidP="00422E8C">
            <w:r>
              <w:t xml:space="preserve">NEB </w:t>
            </w:r>
          </w:p>
        </w:tc>
      </w:tr>
      <w:tr w:rsidR="009621C7" w14:paraId="7C1D6D6F" w14:textId="77777777" w:rsidTr="00140B90">
        <w:trPr>
          <w:cnfStyle w:val="000000100000" w:firstRow="0" w:lastRow="0" w:firstColumn="0" w:lastColumn="0" w:oddVBand="0" w:evenVBand="0" w:oddHBand="1" w:evenHBand="0" w:firstRowFirstColumn="0" w:firstRowLastColumn="0" w:lastRowFirstColumn="0" w:lastRowLastColumn="0"/>
          <w:trHeight w:val="60"/>
        </w:trPr>
        <w:tc>
          <w:tcPr>
            <w:tcW w:w="4252" w:type="dxa"/>
          </w:tcPr>
          <w:p w14:paraId="7C516119" w14:textId="77777777" w:rsidR="009621C7" w:rsidRDefault="009621C7" w:rsidP="00422E8C">
            <w:r>
              <w:t xml:space="preserve">ointment </w:t>
            </w:r>
          </w:p>
        </w:tc>
        <w:tc>
          <w:tcPr>
            <w:tcW w:w="5613" w:type="dxa"/>
          </w:tcPr>
          <w:p w14:paraId="5906FCCF" w14:textId="77777777" w:rsidR="009621C7" w:rsidRDefault="009621C7" w:rsidP="00422E8C">
            <w:r>
              <w:t xml:space="preserve">ointment, </w:t>
            </w:r>
            <w:proofErr w:type="spellStart"/>
            <w:r>
              <w:t>oint</w:t>
            </w:r>
            <w:proofErr w:type="spellEnd"/>
          </w:p>
        </w:tc>
      </w:tr>
      <w:tr w:rsidR="009621C7" w14:paraId="592DE906" w14:textId="77777777" w:rsidTr="00140B90">
        <w:trPr>
          <w:trHeight w:val="60"/>
        </w:trPr>
        <w:tc>
          <w:tcPr>
            <w:tcW w:w="4252" w:type="dxa"/>
          </w:tcPr>
          <w:p w14:paraId="0FFC2C2B" w14:textId="77777777" w:rsidR="009621C7" w:rsidRDefault="009621C7" w:rsidP="00422E8C">
            <w:r>
              <w:t>patient</w:t>
            </w:r>
            <w:r>
              <w:rPr>
                <w:rFonts w:ascii="Cambria Math" w:hAnsi="Cambria Math" w:cs="Cambria Math"/>
              </w:rPr>
              <w:t>‑</w:t>
            </w:r>
            <w:r>
              <w:t xml:space="preserve">controlled analgesia </w:t>
            </w:r>
          </w:p>
        </w:tc>
        <w:tc>
          <w:tcPr>
            <w:tcW w:w="5613" w:type="dxa"/>
          </w:tcPr>
          <w:p w14:paraId="58373660" w14:textId="77777777" w:rsidR="009621C7" w:rsidRDefault="009621C7" w:rsidP="00422E8C">
            <w:r>
              <w:t xml:space="preserve">PCA </w:t>
            </w:r>
          </w:p>
        </w:tc>
      </w:tr>
      <w:tr w:rsidR="009621C7" w14:paraId="35B64FE7" w14:textId="77777777" w:rsidTr="00140B90">
        <w:trPr>
          <w:cnfStyle w:val="000000100000" w:firstRow="0" w:lastRow="0" w:firstColumn="0" w:lastColumn="0" w:oddVBand="0" w:evenVBand="0" w:oddHBand="1" w:evenHBand="0" w:firstRowFirstColumn="0" w:firstRowLastColumn="0" w:lastRowFirstColumn="0" w:lastRowLastColumn="0"/>
          <w:trHeight w:val="60"/>
        </w:trPr>
        <w:tc>
          <w:tcPr>
            <w:tcW w:w="4252" w:type="dxa"/>
          </w:tcPr>
          <w:p w14:paraId="51517773" w14:textId="77777777" w:rsidR="009621C7" w:rsidRDefault="009621C7" w:rsidP="00422E8C">
            <w:r>
              <w:t xml:space="preserve">pessary </w:t>
            </w:r>
          </w:p>
        </w:tc>
        <w:tc>
          <w:tcPr>
            <w:tcW w:w="5613" w:type="dxa"/>
          </w:tcPr>
          <w:p w14:paraId="3D6062AD" w14:textId="77777777" w:rsidR="009621C7" w:rsidRDefault="009621C7" w:rsidP="00422E8C">
            <w:proofErr w:type="spellStart"/>
            <w:r>
              <w:t>pess</w:t>
            </w:r>
            <w:proofErr w:type="spellEnd"/>
          </w:p>
        </w:tc>
      </w:tr>
      <w:tr w:rsidR="009621C7" w14:paraId="6C90719E" w14:textId="77777777" w:rsidTr="00140B90">
        <w:trPr>
          <w:trHeight w:val="60"/>
        </w:trPr>
        <w:tc>
          <w:tcPr>
            <w:tcW w:w="4252" w:type="dxa"/>
          </w:tcPr>
          <w:p w14:paraId="2E242E94" w14:textId="77777777" w:rsidR="009621C7" w:rsidRDefault="009621C7" w:rsidP="00422E8C">
            <w:r>
              <w:t xml:space="preserve">powder </w:t>
            </w:r>
          </w:p>
        </w:tc>
        <w:tc>
          <w:tcPr>
            <w:tcW w:w="5613" w:type="dxa"/>
          </w:tcPr>
          <w:p w14:paraId="3D1BBF8E" w14:textId="77777777" w:rsidR="009621C7" w:rsidRDefault="009621C7" w:rsidP="00422E8C">
            <w:r>
              <w:t xml:space="preserve">powder </w:t>
            </w:r>
          </w:p>
        </w:tc>
      </w:tr>
      <w:tr w:rsidR="009621C7" w14:paraId="627C36C7" w14:textId="77777777" w:rsidTr="00140B90">
        <w:trPr>
          <w:cnfStyle w:val="000000100000" w:firstRow="0" w:lastRow="0" w:firstColumn="0" w:lastColumn="0" w:oddVBand="0" w:evenVBand="0" w:oddHBand="1" w:evenHBand="0" w:firstRowFirstColumn="0" w:firstRowLastColumn="0" w:lastRowFirstColumn="0" w:lastRowLastColumn="0"/>
          <w:trHeight w:val="60"/>
        </w:trPr>
        <w:tc>
          <w:tcPr>
            <w:tcW w:w="4252" w:type="dxa"/>
          </w:tcPr>
          <w:p w14:paraId="7C639BBA" w14:textId="77777777" w:rsidR="009621C7" w:rsidRDefault="009621C7" w:rsidP="00422E8C">
            <w:r>
              <w:t>solution</w:t>
            </w:r>
          </w:p>
        </w:tc>
        <w:tc>
          <w:tcPr>
            <w:tcW w:w="5613" w:type="dxa"/>
          </w:tcPr>
          <w:p w14:paraId="145A2CFA" w14:textId="77777777" w:rsidR="009621C7" w:rsidRDefault="009621C7" w:rsidP="00422E8C">
            <w:r>
              <w:t>solution</w:t>
            </w:r>
          </w:p>
        </w:tc>
      </w:tr>
      <w:tr w:rsidR="009621C7" w14:paraId="36BE47B2" w14:textId="77777777" w:rsidTr="00140B90">
        <w:trPr>
          <w:trHeight w:val="60"/>
        </w:trPr>
        <w:tc>
          <w:tcPr>
            <w:tcW w:w="4252" w:type="dxa"/>
          </w:tcPr>
          <w:p w14:paraId="524E66D4" w14:textId="77777777" w:rsidR="009621C7" w:rsidRDefault="009621C7" w:rsidP="00422E8C">
            <w:r>
              <w:t xml:space="preserve">suppository </w:t>
            </w:r>
          </w:p>
        </w:tc>
        <w:tc>
          <w:tcPr>
            <w:tcW w:w="5613" w:type="dxa"/>
          </w:tcPr>
          <w:p w14:paraId="24CBBA7E" w14:textId="77777777" w:rsidR="009621C7" w:rsidRDefault="009621C7" w:rsidP="00422E8C">
            <w:r>
              <w:t>supp</w:t>
            </w:r>
          </w:p>
        </w:tc>
      </w:tr>
      <w:tr w:rsidR="009621C7" w14:paraId="6461A7A5" w14:textId="77777777" w:rsidTr="00140B90">
        <w:trPr>
          <w:cnfStyle w:val="000000100000" w:firstRow="0" w:lastRow="0" w:firstColumn="0" w:lastColumn="0" w:oddVBand="0" w:evenVBand="0" w:oddHBand="1" w:evenHBand="0" w:firstRowFirstColumn="0" w:firstRowLastColumn="0" w:lastRowFirstColumn="0" w:lastRowLastColumn="0"/>
          <w:trHeight w:val="60"/>
        </w:trPr>
        <w:tc>
          <w:tcPr>
            <w:tcW w:w="4252" w:type="dxa"/>
          </w:tcPr>
          <w:p w14:paraId="3CD13BED" w14:textId="77777777" w:rsidR="009621C7" w:rsidRDefault="009621C7" w:rsidP="00422E8C">
            <w:r>
              <w:t xml:space="preserve">suspension </w:t>
            </w:r>
          </w:p>
        </w:tc>
        <w:tc>
          <w:tcPr>
            <w:tcW w:w="5613" w:type="dxa"/>
          </w:tcPr>
          <w:p w14:paraId="41F4B8C8" w14:textId="77777777" w:rsidR="009621C7" w:rsidRDefault="009621C7" w:rsidP="00422E8C">
            <w:r>
              <w:t>suspension</w:t>
            </w:r>
          </w:p>
        </w:tc>
      </w:tr>
      <w:tr w:rsidR="009621C7" w14:paraId="16A1E061" w14:textId="77777777" w:rsidTr="00140B90">
        <w:trPr>
          <w:trHeight w:val="60"/>
        </w:trPr>
        <w:tc>
          <w:tcPr>
            <w:tcW w:w="4252" w:type="dxa"/>
          </w:tcPr>
          <w:p w14:paraId="116960BA" w14:textId="77777777" w:rsidR="009621C7" w:rsidRDefault="009621C7" w:rsidP="00422E8C">
            <w:r>
              <w:t xml:space="preserve">tablet </w:t>
            </w:r>
          </w:p>
        </w:tc>
        <w:tc>
          <w:tcPr>
            <w:tcW w:w="5613" w:type="dxa"/>
          </w:tcPr>
          <w:p w14:paraId="12B075BF" w14:textId="77777777" w:rsidR="009621C7" w:rsidRDefault="009621C7" w:rsidP="00422E8C">
            <w:r>
              <w:t>tablet, tab*, TAB*</w:t>
            </w:r>
          </w:p>
        </w:tc>
      </w:tr>
    </w:tbl>
    <w:p w14:paraId="5B29A15C" w14:textId="77777777" w:rsidR="009621C7" w:rsidRDefault="009621C7" w:rsidP="009621C7"/>
    <w:p w14:paraId="56CA58C7" w14:textId="07B8DB95" w:rsidR="009621C7" w:rsidRDefault="009621C7" w:rsidP="00D926A0">
      <w:pPr>
        <w:pStyle w:val="Heading1"/>
      </w:pPr>
      <w:bookmarkStart w:id="59" w:name="_Toc184061562"/>
      <w:r>
        <w:lastRenderedPageBreak/>
        <w:t>References</w:t>
      </w:r>
      <w:bookmarkEnd w:id="59"/>
    </w:p>
    <w:p w14:paraId="2BBCAFBF" w14:textId="77777777" w:rsidR="009621C7" w:rsidRPr="009621C7" w:rsidRDefault="009621C7" w:rsidP="004563FC">
      <w:pPr>
        <w:spacing w:before="60" w:after="60"/>
        <w:ind w:left="425" w:hanging="425"/>
      </w:pPr>
      <w:r w:rsidRPr="009621C7">
        <w:t>1.</w:t>
      </w:r>
      <w:r w:rsidRPr="009621C7">
        <w:tab/>
        <w:t xml:space="preserve">Australian Commission for Safety and Quality in Health Care. Recommendations for Terminology, Abbreviations and Symbols used in Medicines Documentation. Sydney; 2016. </w:t>
      </w:r>
    </w:p>
    <w:p w14:paraId="00AF09FB" w14:textId="77777777" w:rsidR="009621C7" w:rsidRDefault="009621C7" w:rsidP="004563FC">
      <w:pPr>
        <w:spacing w:before="60" w:after="60"/>
        <w:ind w:left="425" w:hanging="425"/>
        <w:rPr>
          <w:sz w:val="18"/>
          <w:szCs w:val="18"/>
        </w:rPr>
      </w:pPr>
      <w:r>
        <w:t>2.</w:t>
      </w:r>
      <w:r>
        <w:tab/>
        <w:t xml:space="preserve">Australian Commission on Safety and Quality in Health Care. Recommendations for Terminology, Abbreviations and Symbols used in the Prescribing and Administration of Medicines. Sydney: ACSQHC; 2011. </w:t>
      </w:r>
    </w:p>
    <w:p w14:paraId="561EA29F" w14:textId="77777777" w:rsidR="009621C7" w:rsidRDefault="009621C7" w:rsidP="004563FC">
      <w:pPr>
        <w:spacing w:before="60" w:after="60"/>
        <w:ind w:left="425" w:hanging="425"/>
        <w:rPr>
          <w:rStyle w:val="Hyperlink"/>
        </w:rPr>
      </w:pPr>
      <w:r>
        <w:t>3.</w:t>
      </w:r>
      <w:r>
        <w:tab/>
        <w:t xml:space="preserve">Australian Commission on Safety and Quality in Health Care. Recommendations for terminology, abbreviations and symbols used in medicines documentation: A Rapid Literature Review. Sydney: ACSQHC; 2023. Available from: </w:t>
      </w:r>
      <w:hyperlink r:id="rId35" w:history="1">
        <w:r>
          <w:rPr>
            <w:rStyle w:val="Hyperlink"/>
          </w:rPr>
          <w:t>www.safetyandquality.gov.au/publications-and-resources/resource-library/recommendations-terminology-abbreviations-and-symbols-used-medicines-documentation-rapid-literature-review</w:t>
        </w:r>
      </w:hyperlink>
    </w:p>
    <w:p w14:paraId="70518FB1" w14:textId="77777777" w:rsidR="009621C7" w:rsidRDefault="009621C7" w:rsidP="004563FC">
      <w:pPr>
        <w:spacing w:before="60" w:after="60"/>
        <w:ind w:left="425" w:hanging="425"/>
        <w:rPr>
          <w:rStyle w:val="Hyperlink"/>
        </w:rPr>
      </w:pPr>
      <w:r>
        <w:t>4.</w:t>
      </w:r>
      <w:r>
        <w:tab/>
        <w:t>Dooley MJ, Wiseman M, Gu G. Prevalence of error-prone abbreviations used in medication prescribing for hospitalised patients: multi-hospital evaluation. Internal Medicine Journal; 2012 Mar; 42(3</w:t>
      </w:r>
      <w:proofErr w:type="gramStart"/>
      <w:r>
        <w:t>):e</w:t>
      </w:r>
      <w:proofErr w:type="gramEnd"/>
      <w:r>
        <w:t xml:space="preserve">19–22. </w:t>
      </w:r>
      <w:hyperlink r:id="rId36" w:history="1">
        <w:r>
          <w:rPr>
            <w:rStyle w:val="Hyperlink"/>
          </w:rPr>
          <w:t>onlinelibrary.wiley.com/doi/full/10.1111/j.1445-5994.</w:t>
        </w:r>
        <w:proofErr w:type="gramStart"/>
        <w:r>
          <w:rPr>
            <w:rStyle w:val="Hyperlink"/>
          </w:rPr>
          <w:t>2011.02697.x</w:t>
        </w:r>
        <w:proofErr w:type="gramEnd"/>
      </w:hyperlink>
    </w:p>
    <w:p w14:paraId="04026E1E" w14:textId="77777777" w:rsidR="009621C7" w:rsidRDefault="009621C7" w:rsidP="004563FC">
      <w:pPr>
        <w:spacing w:before="60" w:after="60"/>
        <w:ind w:left="425" w:hanging="425"/>
      </w:pPr>
      <w:r>
        <w:t>5.</w:t>
      </w:r>
      <w:r>
        <w:tab/>
        <w:t xml:space="preserve">Australian Commission on Safety and Quality in Health Care. National Guidelines for On-screen Display of Medicines Information. Sydney: ACSQHC; 2017. Available from: </w:t>
      </w:r>
      <w:hyperlink r:id="rId37" w:history="1">
        <w:r>
          <w:rPr>
            <w:rStyle w:val="Hyperlink"/>
          </w:rPr>
          <w:t>www.safetyandquality.gov.au/publications-and-resources/resource-library/national-guidelines-screen-display-medicines-information</w:t>
        </w:r>
      </w:hyperlink>
      <w:r>
        <w:t xml:space="preserve"> </w:t>
      </w:r>
    </w:p>
    <w:p w14:paraId="6C472F44" w14:textId="77777777" w:rsidR="009621C7" w:rsidRDefault="009621C7" w:rsidP="004563FC">
      <w:pPr>
        <w:spacing w:before="60" w:after="60"/>
        <w:ind w:left="425" w:hanging="425"/>
        <w:rPr>
          <w:rStyle w:val="Emphasis"/>
        </w:rPr>
      </w:pPr>
      <w:r>
        <w:t>6.</w:t>
      </w:r>
      <w:r>
        <w:tab/>
        <w:t xml:space="preserve">Australian Commission on Safety and Quality in Health Care. National standard for labelling dispensed medicines. Sydney: ACSQHC; 2021. Available from: </w:t>
      </w:r>
      <w:hyperlink r:id="rId38" w:history="1">
        <w:r>
          <w:rPr>
            <w:rStyle w:val="Hyperlink"/>
          </w:rPr>
          <w:t>www.safetyandquality.gov.au/publications-and-resources/resource-library/national-standard-labelling-dispensed-medicines</w:t>
        </w:r>
      </w:hyperlink>
      <w:r>
        <w:rPr>
          <w:rStyle w:val="Emphasis"/>
        </w:rPr>
        <w:t xml:space="preserve"> </w:t>
      </w:r>
    </w:p>
    <w:p w14:paraId="01ED30A7" w14:textId="77777777" w:rsidR="009621C7" w:rsidRDefault="009621C7" w:rsidP="004563FC">
      <w:pPr>
        <w:spacing w:before="60" w:after="60"/>
        <w:ind w:left="425" w:hanging="425"/>
      </w:pPr>
      <w:r>
        <w:t>7.</w:t>
      </w:r>
      <w:r>
        <w:tab/>
        <w:t xml:space="preserve">Australian Commission on Safety and Quality in Health Care. Fact sheet: Recommendations for safe use of medicines terminology. Sydney: ACSQHC; 2024. Available from: </w:t>
      </w:r>
      <w:hyperlink r:id="rId39" w:history="1">
        <w:r>
          <w:rPr>
            <w:rStyle w:val="Hyperlink"/>
          </w:rPr>
          <w:t>www.safetyandquality.gov.au/publications-and-resources/resource-library/fact-sheet-recommendations-safe-use-medicines-terminology</w:t>
        </w:r>
      </w:hyperlink>
    </w:p>
    <w:p w14:paraId="03702E58" w14:textId="77777777" w:rsidR="009621C7" w:rsidRDefault="009621C7" w:rsidP="004563FC">
      <w:pPr>
        <w:spacing w:before="60" w:after="60"/>
        <w:ind w:left="425" w:hanging="425"/>
      </w:pPr>
      <w:r>
        <w:t>8.</w:t>
      </w:r>
      <w:r>
        <w:tab/>
        <w:t xml:space="preserve">Australian Government. Department of Health and Aged Care. Active ingredient prescribing. [Internet] Available from: </w:t>
      </w:r>
      <w:hyperlink r:id="rId40" w:history="1">
        <w:r>
          <w:rPr>
            <w:rStyle w:val="Hyperlink"/>
          </w:rPr>
          <w:t>www.health.gov.au/our-work/active-ingredient</w:t>
        </w:r>
        <w:r>
          <w:rPr>
            <w:rStyle w:val="Hyperlink"/>
            <w:rFonts w:ascii="Cambria Math" w:hAnsi="Cambria Math" w:cs="Cambria Math"/>
          </w:rPr>
          <w:t>‑</w:t>
        </w:r>
        <w:r>
          <w:rPr>
            <w:rStyle w:val="Hyperlink"/>
          </w:rPr>
          <w:t>prescribing</w:t>
        </w:r>
      </w:hyperlink>
    </w:p>
    <w:p w14:paraId="01AE97E1" w14:textId="77777777" w:rsidR="009621C7" w:rsidRDefault="009621C7" w:rsidP="004563FC">
      <w:pPr>
        <w:spacing w:before="60" w:after="60"/>
        <w:ind w:left="425" w:hanging="425"/>
        <w:rPr>
          <w:rStyle w:val="Hyperlink"/>
        </w:rPr>
      </w:pPr>
      <w:r>
        <w:t>9.</w:t>
      </w:r>
      <w:r>
        <w:tab/>
        <w:t xml:space="preserve">Institute for Safe Medication Practices. (ISMP). Patients with Low Health Literacy Male More Errors Interpreting Instructions and Warnings. ISMP; 2023. Available from: </w:t>
      </w:r>
      <w:hyperlink r:id="rId41" w:history="1">
        <w:r>
          <w:rPr>
            <w:rStyle w:val="Hyperlink"/>
          </w:rPr>
          <w:t>www.ismp.org/resources/patients-low-health-literacy-make-more-errors-interpreting-instructions-and-warnings</w:t>
        </w:r>
      </w:hyperlink>
    </w:p>
    <w:p w14:paraId="220535CC" w14:textId="77777777" w:rsidR="009621C7" w:rsidRDefault="009621C7" w:rsidP="004563FC">
      <w:pPr>
        <w:spacing w:before="60" w:after="60"/>
        <w:ind w:left="425" w:hanging="425"/>
      </w:pPr>
      <w:r>
        <w:t>10.</w:t>
      </w:r>
      <w:r>
        <w:tab/>
        <w:t xml:space="preserve">Australian Government. Australian Bureau of Statistics. National Health Survey: Health literacy. [Internet] Available from: </w:t>
      </w:r>
      <w:hyperlink r:id="rId42" w:history="1">
        <w:r>
          <w:rPr>
            <w:rStyle w:val="Hyperlink"/>
          </w:rPr>
          <w:t>www.abs.gov.au/statistics/health/health-conditions-and-risks/national-health-survey-health-literacy/2018</w:t>
        </w:r>
      </w:hyperlink>
      <w:r>
        <w:t xml:space="preserve"> </w:t>
      </w:r>
    </w:p>
    <w:p w14:paraId="3CED9DFE" w14:textId="530E5961" w:rsidR="009621C7" w:rsidRDefault="009621C7" w:rsidP="004563FC">
      <w:pPr>
        <w:spacing w:before="60" w:after="60"/>
        <w:ind w:left="425" w:hanging="425"/>
        <w:rPr>
          <w:rStyle w:val="Hyperlink"/>
        </w:rPr>
      </w:pPr>
      <w:r>
        <w:t>11.</w:t>
      </w:r>
      <w:r>
        <w:tab/>
      </w:r>
      <w:proofErr w:type="spellStart"/>
      <w:r>
        <w:t>Marvanova</w:t>
      </w:r>
      <w:proofErr w:type="spellEnd"/>
      <w:r>
        <w:t xml:space="preserve"> et al. Health literacy and medication understanding among hospitalized adults. J</w:t>
      </w:r>
      <w:r w:rsidR="00646AFF">
        <w:t> </w:t>
      </w:r>
      <w:r>
        <w:t xml:space="preserve">Hosp Med. 2011 Nov;6(9):488-93. </w:t>
      </w:r>
      <w:proofErr w:type="spellStart"/>
      <w:r>
        <w:t>doi</w:t>
      </w:r>
      <w:proofErr w:type="spellEnd"/>
      <w:r>
        <w:t xml:space="preserve">: 10.1002/jhm.925. </w:t>
      </w:r>
      <w:hyperlink r:id="rId43" w:history="1">
        <w:r>
          <w:rPr>
            <w:rStyle w:val="Hyperlink"/>
          </w:rPr>
          <w:t>pubmed.ncbi.nlm.nih.gov/22042745</w:t>
        </w:r>
      </w:hyperlink>
    </w:p>
    <w:p w14:paraId="02D2FCC8" w14:textId="3C5CAA07" w:rsidR="009621C7" w:rsidRDefault="009621C7" w:rsidP="004563FC">
      <w:pPr>
        <w:spacing w:before="60" w:after="60"/>
        <w:ind w:left="425" w:hanging="425"/>
      </w:pPr>
      <w:r>
        <w:t>12.</w:t>
      </w:r>
      <w:r>
        <w:tab/>
        <w:t>Miller TA. Health literacy and adherence to medical treatment in chronic and acute illness: A</w:t>
      </w:r>
      <w:r w:rsidR="00646AFF">
        <w:t> </w:t>
      </w:r>
      <w:r>
        <w:t xml:space="preserve">meta-analysis. Patient Educ Couns. 2016 Jul;99(7):1079-86. </w:t>
      </w:r>
      <w:proofErr w:type="spellStart"/>
      <w:r>
        <w:t>doi</w:t>
      </w:r>
      <w:proofErr w:type="spellEnd"/>
      <w:r>
        <w:t xml:space="preserve">: 10.1016/j.pec.2016.01.020. </w:t>
      </w:r>
      <w:hyperlink r:id="rId44" w:history="1">
        <w:r>
          <w:rPr>
            <w:rStyle w:val="Hyperlink"/>
          </w:rPr>
          <w:t>pubmed.ncbi.nlm.nih.gov/26899632</w:t>
        </w:r>
      </w:hyperlink>
      <w:r>
        <w:t xml:space="preserve"> </w:t>
      </w:r>
    </w:p>
    <w:p w14:paraId="73384085" w14:textId="77777777" w:rsidR="009621C7" w:rsidRDefault="009621C7" w:rsidP="004563FC">
      <w:pPr>
        <w:spacing w:before="60" w:after="60"/>
        <w:ind w:left="425" w:hanging="425"/>
      </w:pPr>
      <w:r>
        <w:t>13.</w:t>
      </w:r>
      <w:r>
        <w:tab/>
        <w:t xml:space="preserve">Australian Commission on Safety and Quality in Health Care. Health literacy: Taking action to improve safety and quality. Sydney: ACSQHC, 2014. Available from: </w:t>
      </w:r>
      <w:hyperlink r:id="rId45" w:history="1">
        <w:r>
          <w:rPr>
            <w:rStyle w:val="Hyperlink"/>
          </w:rPr>
          <w:t>www.safetyandquality.gov.au/publications-and-resources/resource-library/health-literacy-taking-action-improve-safety-and</w:t>
        </w:r>
        <w:r>
          <w:rPr>
            <w:rStyle w:val="Hyperlink"/>
            <w:rFonts w:ascii="Cambria Math" w:hAnsi="Cambria Math" w:cs="Cambria Math"/>
          </w:rPr>
          <w:t>‑</w:t>
        </w:r>
        <w:r>
          <w:rPr>
            <w:rStyle w:val="Hyperlink"/>
          </w:rPr>
          <w:t>quality</w:t>
        </w:r>
      </w:hyperlink>
      <w:r>
        <w:t xml:space="preserve"> </w:t>
      </w:r>
    </w:p>
    <w:p w14:paraId="5010338A" w14:textId="77777777" w:rsidR="009621C7" w:rsidRDefault="009621C7" w:rsidP="004563FC">
      <w:pPr>
        <w:spacing w:before="60" w:after="60"/>
        <w:ind w:left="425" w:hanging="425"/>
        <w:rPr>
          <w:rStyle w:val="DesignerNotes"/>
        </w:rPr>
      </w:pPr>
      <w:r>
        <w:t>14.</w:t>
      </w:r>
      <w:r>
        <w:tab/>
        <w:t xml:space="preserve">Australian Commission on Safety and Quality in Health Care. Communicating with patients and colleagues. Communicating for Safety resource portal. [Internet] </w:t>
      </w:r>
      <w:hyperlink r:id="rId46" w:history="1">
        <w:r>
          <w:rPr>
            <w:rStyle w:val="Hyperlink"/>
          </w:rPr>
          <w:t>c4sportal.safetyandquality.gov.au/communicating-with-patients-and-colleagues</w:t>
        </w:r>
      </w:hyperlink>
    </w:p>
    <w:p w14:paraId="18962467" w14:textId="77777777" w:rsidR="009621C7" w:rsidRDefault="009621C7" w:rsidP="004563FC">
      <w:pPr>
        <w:spacing w:before="60" w:after="60"/>
        <w:ind w:left="425" w:hanging="425"/>
      </w:pPr>
      <w:r>
        <w:lastRenderedPageBreak/>
        <w:t>15.</w:t>
      </w:r>
      <w:r>
        <w:tab/>
        <w:t xml:space="preserve">Institute for Safe Medication Practices. (ISMP). List of Error-Prone Abbreviations, Symbols, and Dose Designations. ISMP; 2024. Available from: </w:t>
      </w:r>
      <w:hyperlink r:id="rId47" w:history="1">
        <w:r>
          <w:rPr>
            <w:rStyle w:val="Hyperlink"/>
          </w:rPr>
          <w:t>www.ismp.org/recommendations/error-prone-abbreviations-list</w:t>
        </w:r>
      </w:hyperlink>
      <w:r>
        <w:t xml:space="preserve"> </w:t>
      </w:r>
    </w:p>
    <w:p w14:paraId="52FF5324" w14:textId="0F227685" w:rsidR="009621C7" w:rsidRPr="009E4AB3" w:rsidRDefault="009621C7" w:rsidP="004563FC">
      <w:pPr>
        <w:spacing w:before="60" w:after="60"/>
        <w:ind w:left="425" w:hanging="425"/>
        <w:rPr>
          <w:rStyle w:val="Hyperlink"/>
          <w:color w:val="auto"/>
          <w:u w:val="none"/>
        </w:rPr>
      </w:pPr>
      <w:r>
        <w:t>16.</w:t>
      </w:r>
      <w:r>
        <w:tab/>
        <w:t xml:space="preserve">The Joint Commission. Do Not Use List Fact Sheet. [Internet] Available from: </w:t>
      </w:r>
      <w:hyperlink r:id="rId48" w:history="1">
        <w:r w:rsidR="009E4AB3" w:rsidRPr="00EE01C6">
          <w:rPr>
            <w:rStyle w:val="Hyperlink"/>
            <w:rFonts w:ascii="Aptos" w:hAnsi="Aptos"/>
          </w:rPr>
          <w:t>www.jointcommission.org/resources/patient-safety/</w:t>
        </w:r>
      </w:hyperlink>
    </w:p>
    <w:p w14:paraId="2825701C" w14:textId="77777777" w:rsidR="009621C7" w:rsidRDefault="009621C7" w:rsidP="004563FC">
      <w:pPr>
        <w:spacing w:before="60" w:after="60"/>
        <w:ind w:left="425" w:hanging="425"/>
      </w:pPr>
      <w:r>
        <w:t>17.</w:t>
      </w:r>
      <w:r>
        <w:tab/>
        <w:t>Victorian Therapeutics Advisory Group (</w:t>
      </w:r>
      <w:proofErr w:type="spellStart"/>
      <w:r>
        <w:t>VicTAG</w:t>
      </w:r>
      <w:proofErr w:type="spellEnd"/>
      <w:r>
        <w:t xml:space="preserve">). Victorian Framework: Implementation of smart infusion pumps. Melbourne: </w:t>
      </w:r>
      <w:proofErr w:type="spellStart"/>
      <w:r>
        <w:t>VicTAG</w:t>
      </w:r>
      <w:proofErr w:type="spellEnd"/>
      <w:r>
        <w:t xml:space="preserve">; 2023. Available from: </w:t>
      </w:r>
      <w:hyperlink r:id="rId49" w:history="1">
        <w:r>
          <w:rPr>
            <w:rStyle w:val="Hyperlink"/>
          </w:rPr>
          <w:t>www.victag.org.au/Victorian_Framework_for_Implementation_of_Smart_Infusion_Pumps_June_2023_formatted.pdf</w:t>
        </w:r>
      </w:hyperlink>
      <w:r>
        <w:t xml:space="preserve"> </w:t>
      </w:r>
    </w:p>
    <w:p w14:paraId="3F4AA874" w14:textId="5E268865" w:rsidR="009621C7" w:rsidRDefault="009621C7" w:rsidP="004563FC">
      <w:pPr>
        <w:spacing w:before="60" w:after="60"/>
        <w:ind w:left="425" w:hanging="425"/>
      </w:pPr>
      <w:r>
        <w:t>18.</w:t>
      </w:r>
      <w:r>
        <w:tab/>
        <w:t xml:space="preserve">Australian Commission on Safety and Quality in Health Care. Principles for safe selection and storage of medicines </w:t>
      </w:r>
      <w:r w:rsidR="00E5143B">
        <w:t>–</w:t>
      </w:r>
      <w:r>
        <w:t xml:space="preserve"> Guidance on the principles and survey tool. Sydney: ACSQHC; 2020. Available from: </w:t>
      </w:r>
      <w:hyperlink r:id="rId50" w:history="1">
        <w:r>
          <w:rPr>
            <w:rStyle w:val="Hyperlink"/>
          </w:rPr>
          <w:t>www.safetyandquality.gov.au/publications-and-resources/resource-library/principles-safe-selection-and-storage-medicines-guidance-principles-and-survey-tool</w:t>
        </w:r>
      </w:hyperlink>
    </w:p>
    <w:p w14:paraId="2E2D5284" w14:textId="77777777" w:rsidR="009621C7" w:rsidRDefault="009621C7" w:rsidP="004563FC">
      <w:pPr>
        <w:spacing w:before="60" w:after="60"/>
        <w:ind w:left="425" w:hanging="425"/>
      </w:pPr>
      <w:r>
        <w:t>19.</w:t>
      </w:r>
      <w:r>
        <w:tab/>
        <w:t xml:space="preserve">Australian Commission on Safety and Quality in Health Care and NSW Therapeutic Advisory Group Inc. National Quality Use of Medicines Indicators for Australian Hospitals. Sydney; 2014. Available from: </w:t>
      </w:r>
      <w:hyperlink r:id="rId51" w:history="1">
        <w:r>
          <w:rPr>
            <w:rStyle w:val="Hyperlink"/>
          </w:rPr>
          <w:t>www.safetyandquality.gov.au/publications-and-resources/resource-library/national-qum-indicators-2014-complete-set</w:t>
        </w:r>
      </w:hyperlink>
      <w:r>
        <w:t xml:space="preserve"> </w:t>
      </w:r>
    </w:p>
    <w:p w14:paraId="1BC36CC5" w14:textId="77777777" w:rsidR="009621C7" w:rsidRDefault="009621C7" w:rsidP="004563FC">
      <w:pPr>
        <w:spacing w:before="60" w:after="60"/>
        <w:ind w:left="425" w:hanging="425"/>
      </w:pPr>
      <w:r>
        <w:t>20.</w:t>
      </w:r>
      <w:r>
        <w:tab/>
        <w:t xml:space="preserve">Australian Commission on Safety and Quality in Health Care. National Standard Medication Chart (NSMC) Audit. [Internet] Available from: </w:t>
      </w:r>
      <w:hyperlink r:id="rId52" w:history="1">
        <w:r>
          <w:rPr>
            <w:rStyle w:val="Hyperlink"/>
          </w:rPr>
          <w:t>www.safetyandquality.gov.au/our-work/medication-safety/national-standard-medication-chart-nsmc-audit</w:t>
        </w:r>
      </w:hyperlink>
      <w:r>
        <w:t xml:space="preserve"> </w:t>
      </w:r>
    </w:p>
    <w:p w14:paraId="33307ABD" w14:textId="77777777" w:rsidR="009621C7" w:rsidRDefault="009621C7" w:rsidP="004563FC">
      <w:pPr>
        <w:spacing w:before="60" w:after="60"/>
        <w:ind w:left="425" w:hanging="425"/>
        <w:rPr>
          <w:rStyle w:val="Hyperlink"/>
        </w:rPr>
      </w:pPr>
      <w:r>
        <w:t>21.</w:t>
      </w:r>
      <w:r>
        <w:tab/>
        <w:t xml:space="preserve">National Coordinating Council for Medication Error Reporting and Prevention (NCC MERP). Recommendations to Enhance Accuracy of Prescription/ Medication Order Writing. NCC MERP. USA; October 2014. Accessed April 2024. Available from: </w:t>
      </w:r>
      <w:hyperlink r:id="rId53" w:history="1">
        <w:r>
          <w:rPr>
            <w:rStyle w:val="Hyperlink"/>
          </w:rPr>
          <w:t>www.nccmerp.org/recommendations-enhance-accuracy-prescription-writing</w:t>
        </w:r>
      </w:hyperlink>
    </w:p>
    <w:p w14:paraId="65E16ED6" w14:textId="77777777" w:rsidR="009621C7" w:rsidRDefault="009621C7" w:rsidP="004563FC">
      <w:pPr>
        <w:spacing w:before="60" w:after="60"/>
        <w:ind w:left="425" w:hanging="425"/>
      </w:pPr>
      <w:r>
        <w:t>22.</w:t>
      </w:r>
      <w:r>
        <w:tab/>
        <w:t xml:space="preserve">Australian Government. Department of Health and Aged Care. List of Excluded Medicinal Items – Active ingredient prescribing. [Internet] Available from: </w:t>
      </w:r>
      <w:hyperlink r:id="rId54" w:history="1">
        <w:r>
          <w:rPr>
            <w:rStyle w:val="Hyperlink"/>
          </w:rPr>
          <w:t>www.health.gov.au/our-work/active-ingredient-prescribing/lemi-lmbc/lemi</w:t>
        </w:r>
      </w:hyperlink>
      <w:r>
        <w:t xml:space="preserve"> </w:t>
      </w:r>
    </w:p>
    <w:p w14:paraId="14660134" w14:textId="77777777" w:rsidR="009621C7" w:rsidRDefault="009621C7" w:rsidP="004563FC">
      <w:pPr>
        <w:spacing w:before="60" w:after="60"/>
        <w:ind w:left="425" w:hanging="425"/>
      </w:pPr>
      <w:r>
        <w:t>23.</w:t>
      </w:r>
      <w:r>
        <w:tab/>
        <w:t xml:space="preserve">Australian Government. Department of Health and Aged Care. List of Medicines for Brand Consideration – Active ingredient prescribing. [Internet] Available from: </w:t>
      </w:r>
      <w:hyperlink r:id="rId55" w:history="1">
        <w:r>
          <w:rPr>
            <w:rStyle w:val="Hyperlink"/>
          </w:rPr>
          <w:t>www.health.gov.au/our-work/active-ingredient-prescribing/lemi-lmbc/lmbc</w:t>
        </w:r>
      </w:hyperlink>
      <w:r>
        <w:t xml:space="preserve"> </w:t>
      </w:r>
    </w:p>
    <w:p w14:paraId="2848EC3A" w14:textId="77777777" w:rsidR="009621C7" w:rsidRDefault="009621C7" w:rsidP="004563FC">
      <w:pPr>
        <w:spacing w:before="60" w:after="60"/>
        <w:ind w:left="425" w:hanging="425"/>
      </w:pPr>
      <w:r>
        <w:t>24.</w:t>
      </w:r>
      <w:r>
        <w:tab/>
        <w:t xml:space="preserve">Australian Commission on Safety and Quality in Health Care. Fact Sheet: Safer insulin prescribing. Guidance for Australian prescribers. Sydney: ACSQHC; 2022. Available from: </w:t>
      </w:r>
      <w:hyperlink r:id="rId56" w:history="1">
        <w:r>
          <w:rPr>
            <w:rStyle w:val="Hyperlink"/>
          </w:rPr>
          <w:t>www.safetyandquality.gov.au/publications-and-resources/resource-library/fact-sheet-safer-insulin-prescribing</w:t>
        </w:r>
      </w:hyperlink>
      <w:r>
        <w:t xml:space="preserve"> </w:t>
      </w:r>
    </w:p>
    <w:p w14:paraId="109B39BA" w14:textId="77777777" w:rsidR="009621C7" w:rsidRDefault="009621C7" w:rsidP="004563FC">
      <w:pPr>
        <w:spacing w:before="60" w:after="60"/>
        <w:ind w:left="425" w:hanging="425"/>
      </w:pPr>
      <w:r>
        <w:t>25.</w:t>
      </w:r>
      <w:r>
        <w:tab/>
        <w:t xml:space="preserve">Clinical Oncological Society of Australia (COSA). Guidelines for the Safe Prescribing, Supply and Administration of Cancer Chemotherapy. Sydney: COSA; 2017. Available from: </w:t>
      </w:r>
      <w:hyperlink r:id="rId57" w:history="1">
        <w:r>
          <w:rPr>
            <w:rStyle w:val="Hyperlink"/>
          </w:rPr>
          <w:t>cosa_guidelines_safeprescribingchemo2008.pdf</w:t>
        </w:r>
      </w:hyperlink>
      <w:r>
        <w:t xml:space="preserve"> </w:t>
      </w:r>
    </w:p>
    <w:p w14:paraId="2787720F" w14:textId="77777777" w:rsidR="009621C7" w:rsidRDefault="009621C7" w:rsidP="004563FC">
      <w:pPr>
        <w:spacing w:before="60" w:after="60"/>
        <w:ind w:left="425" w:hanging="425"/>
      </w:pPr>
      <w:r>
        <w:t>26.</w:t>
      </w:r>
      <w:r>
        <w:tab/>
        <w:t xml:space="preserve">Australian Commission on Safety and Quality in Health Care. National Mixed-Case Lettering List. Sydney: ACSQHC, 2024. Available from: </w:t>
      </w:r>
      <w:hyperlink r:id="rId58" w:history="1">
        <w:r>
          <w:rPr>
            <w:rStyle w:val="Hyperlink"/>
          </w:rPr>
          <w:t>www.safetyandquality.gov.au/publications-and-resources/resource-library/national-mixed-case-lettering-list</w:t>
        </w:r>
      </w:hyperlink>
      <w:r>
        <w:t xml:space="preserve"> </w:t>
      </w:r>
    </w:p>
    <w:p w14:paraId="122F8278" w14:textId="77777777" w:rsidR="009621C7" w:rsidRDefault="009621C7" w:rsidP="004563FC">
      <w:pPr>
        <w:spacing w:before="60" w:after="60"/>
        <w:ind w:left="425" w:hanging="425"/>
      </w:pPr>
      <w:r>
        <w:t>27.</w:t>
      </w:r>
      <w:r>
        <w:tab/>
        <w:t xml:space="preserve">Australian Commission on Safety and Quality in Health Care. National Inpatient Medication Chart (NIMC) User Guide. Sydney: ACSQHC; 2019. Available from: </w:t>
      </w:r>
      <w:hyperlink r:id="rId59" w:history="1">
        <w:r>
          <w:rPr>
            <w:rStyle w:val="Hyperlink"/>
          </w:rPr>
          <w:t>www.safetyandquality.gov.au/sites/default/files/2019-08/nimc_user_guide_2019.pdf</w:t>
        </w:r>
      </w:hyperlink>
      <w:r>
        <w:t xml:space="preserve"> </w:t>
      </w:r>
    </w:p>
    <w:p w14:paraId="43ACE0FA" w14:textId="77777777" w:rsidR="009621C7" w:rsidRDefault="009621C7" w:rsidP="004563FC">
      <w:pPr>
        <w:spacing w:before="60" w:after="60"/>
        <w:ind w:left="425" w:hanging="425"/>
      </w:pPr>
      <w:r>
        <w:t>28.</w:t>
      </w:r>
      <w:r>
        <w:tab/>
        <w:t xml:space="preserve">Australian Commission on Safety and Quality in Health Care. National Standard for User-applied Labelling of Injectable Medicines, Fluids and Lines. Sydney: ACSQHC; 2015. Available from: </w:t>
      </w:r>
      <w:hyperlink r:id="rId60" w:history="1">
        <w:r>
          <w:rPr>
            <w:rStyle w:val="Hyperlink"/>
          </w:rPr>
          <w:t>www.safetyandquality.gov.au/publications-and-resources/resource-library/national-standard-user-applied-labelling-injectable-medicines-fluids-and-lines</w:t>
        </w:r>
      </w:hyperlink>
    </w:p>
    <w:p w14:paraId="302676B6" w14:textId="77777777" w:rsidR="008249CA" w:rsidRDefault="008249CA" w:rsidP="008249CA"/>
    <w:p w14:paraId="00B71A5E" w14:textId="77777777" w:rsidR="00A12B60" w:rsidRDefault="00A12B60" w:rsidP="00D926A0">
      <w:pPr>
        <w:pStyle w:val="Heading2"/>
        <w:sectPr w:rsidR="00A12B60" w:rsidSect="00A028AC">
          <w:headerReference w:type="even" r:id="rId61"/>
          <w:headerReference w:type="default" r:id="rId62"/>
          <w:footerReference w:type="even" r:id="rId63"/>
          <w:footerReference w:type="default" r:id="rId64"/>
          <w:headerReference w:type="first" r:id="rId65"/>
          <w:footerReference w:type="first" r:id="rId66"/>
          <w:footnotePr>
            <w:numFmt w:val="chicago"/>
            <w:numRestart w:val="eachPage"/>
          </w:footnotePr>
          <w:pgSz w:w="11906" w:h="16838"/>
          <w:pgMar w:top="1418" w:right="1134" w:bottom="1418" w:left="1134" w:header="709" w:footer="709" w:gutter="0"/>
          <w:cols w:space="708"/>
          <w:docGrid w:linePitch="360"/>
        </w:sectPr>
      </w:pPr>
    </w:p>
    <w:p w14:paraId="0B7B2D51" w14:textId="77777777" w:rsidR="00A12B60" w:rsidRPr="00B70655" w:rsidRDefault="00A12B60" w:rsidP="00A12B60">
      <w:pPr>
        <w:pStyle w:val="Backpagelogoholder"/>
        <w:spacing w:before="10440"/>
        <w:rPr>
          <w:highlight w:val="green"/>
        </w:rPr>
      </w:pPr>
      <w:r w:rsidRPr="00B70655">
        <w:lastRenderedPageBreak/>
        <w:drawing>
          <wp:inline distT="0" distB="0" distL="0" distR="0" wp14:anchorId="5B1D784F" wp14:editId="149D47A4">
            <wp:extent cx="3941445" cy="555625"/>
            <wp:effectExtent l="0" t="0" r="0" b="3175"/>
            <wp:docPr id="49" name="Picture 49"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941445" cy="555625"/>
                    </a:xfrm>
                    <a:prstGeom prst="rect">
                      <a:avLst/>
                    </a:prstGeom>
                  </pic:spPr>
                </pic:pic>
              </a:graphicData>
            </a:graphic>
          </wp:inline>
        </w:drawing>
      </w:r>
    </w:p>
    <w:p w14:paraId="0F863381" w14:textId="77777777" w:rsidR="00A12B60" w:rsidRPr="00B70655" w:rsidRDefault="00A12B60" w:rsidP="00A12B60">
      <w:r w:rsidRPr="00B70655">
        <w:t>Level 5, 255 Elizabeth Street, Sydney NSW 2000</w:t>
      </w:r>
      <w:r w:rsidRPr="00B70655">
        <w:br/>
        <w:t>GPO Box 5480, Sydney NSW 2001</w:t>
      </w:r>
    </w:p>
    <w:p w14:paraId="2A7287E3" w14:textId="77777777" w:rsidR="00A12B60" w:rsidRPr="00B70655" w:rsidRDefault="00A12B60" w:rsidP="00A12B60">
      <w:r w:rsidRPr="00B70655">
        <w:t>Phone: (02) 9126 3600</w:t>
      </w:r>
    </w:p>
    <w:p w14:paraId="06D3CB26" w14:textId="77777777" w:rsidR="00465AB0" w:rsidRDefault="00A12B60" w:rsidP="009374DD">
      <w:r w:rsidRPr="00B70655">
        <w:t xml:space="preserve">Email: </w:t>
      </w:r>
      <w:hyperlink r:id="rId68" w:history="1">
        <w:r w:rsidRPr="00B70655">
          <w:rPr>
            <w:rStyle w:val="Hyperlink"/>
          </w:rPr>
          <w:t>mail@safetyandquality.gov.au</w:t>
        </w:r>
      </w:hyperlink>
      <w:r w:rsidRPr="00B70655">
        <w:t xml:space="preserve"> </w:t>
      </w:r>
      <w:r w:rsidRPr="00B70655">
        <w:br/>
        <w:t xml:space="preserve">Website: </w:t>
      </w:r>
      <w:hyperlink r:id="rId69" w:history="1">
        <w:r w:rsidRPr="00B70655">
          <w:rPr>
            <w:rStyle w:val="Hyperlink"/>
          </w:rPr>
          <w:t>www.safetyandquality.gov.au</w:t>
        </w:r>
      </w:hyperlink>
    </w:p>
    <w:sectPr w:rsidR="00465AB0" w:rsidSect="00A028AC">
      <w:footerReference w:type="default" r:id="rId70"/>
      <w:headerReference w:type="first" r:id="rId71"/>
      <w:footerReference w:type="first" r:id="rId72"/>
      <w:footnotePr>
        <w:numFmt w:val="chicago"/>
      </w:footnotePr>
      <w:pgSz w:w="11900" w:h="16840"/>
      <w:pgMar w:top="1735"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BD489" w14:textId="77777777" w:rsidR="00415F50" w:rsidRDefault="00415F50" w:rsidP="000B0274">
      <w:r>
        <w:separator/>
      </w:r>
    </w:p>
    <w:p w14:paraId="2C054577" w14:textId="77777777" w:rsidR="00415F50" w:rsidRDefault="00415F50"/>
    <w:p w14:paraId="6146BAD3" w14:textId="77777777" w:rsidR="00415F50" w:rsidRDefault="00415F50"/>
    <w:p w14:paraId="717A0D43" w14:textId="77777777" w:rsidR="00415F50" w:rsidRDefault="00415F50"/>
    <w:p w14:paraId="725BB0A8" w14:textId="77777777" w:rsidR="00415F50" w:rsidRDefault="00415F50"/>
  </w:endnote>
  <w:endnote w:type="continuationSeparator" w:id="0">
    <w:p w14:paraId="6DA65782" w14:textId="77777777" w:rsidR="00415F50" w:rsidRDefault="00415F50" w:rsidP="000B0274">
      <w:r>
        <w:continuationSeparator/>
      </w:r>
    </w:p>
    <w:p w14:paraId="2177FBFB" w14:textId="77777777" w:rsidR="00415F50" w:rsidRDefault="00415F50"/>
    <w:p w14:paraId="130A9970" w14:textId="77777777" w:rsidR="00415F50" w:rsidRDefault="00415F50"/>
    <w:p w14:paraId="18AD1B95" w14:textId="77777777" w:rsidR="00415F50" w:rsidRDefault="00415F50"/>
    <w:p w14:paraId="4407D7F4" w14:textId="77777777" w:rsidR="00415F50" w:rsidRDefault="00415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Arial (Body)">
    <w:altName w:val="Arial"/>
    <w:charset w:val="00"/>
    <w:family w:val="roman"/>
    <w:pitch w:val="default"/>
  </w:font>
  <w:font w:name="Gotham Medium">
    <w:charset w:val="00"/>
    <w:family w:val="auto"/>
    <w:pitch w:val="variable"/>
    <w:sig w:usb0="A100007F" w:usb1="4000005B" w:usb2="00000000" w:usb3="00000000" w:csb0="0000009B" w:csb1="00000000"/>
  </w:font>
  <w:font w:name="Lucida Grande">
    <w:altName w:val="Times New Roman"/>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Gotham Bold">
    <w:charset w:val="00"/>
    <w:family w:val="auto"/>
    <w:pitch w:val="variable"/>
    <w:sig w:usb0="A100007F" w:usb1="4000005B" w:usb2="00000000" w:usb3="00000000" w:csb0="0000009B" w:csb1="00000000"/>
  </w:font>
  <w:font w:name="Gotham Book">
    <w:altName w:val="Gotham Book"/>
    <w:charset w:val="00"/>
    <w:family w:val="auto"/>
    <w:pitch w:val="variable"/>
    <w:sig w:usb0="A100007F" w:usb1="4000005B" w:usb2="00000000" w:usb3="00000000" w:csb0="0000009B" w:csb1="00000000"/>
  </w:font>
  <w:font w:name="Open Sans Light">
    <w:charset w:val="00"/>
    <w:family w:val="swiss"/>
    <w:pitch w:val="variable"/>
    <w:sig w:usb0="E00002EF" w:usb1="4000205B" w:usb2="00000028" w:usb3="00000000" w:csb0="0000019F" w:csb1="00000000"/>
  </w:font>
  <w:font w:name="Gotham Light">
    <w:altName w:val="Gotham Light"/>
    <w:charset w:val="00"/>
    <w:family w:val="auto"/>
    <w:pitch w:val="variable"/>
    <w:sig w:usb0="A100007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2304" w14:textId="77777777" w:rsidR="00295887" w:rsidRDefault="00295887" w:rsidP="00D84622">
    <w:pPr>
      <w:pStyle w:val="Footer"/>
    </w:pPr>
  </w:p>
  <w:p w14:paraId="43CC4019" w14:textId="77777777" w:rsidR="00295887" w:rsidRDefault="00295887"/>
  <w:p w14:paraId="0DC3CB4A" w14:textId="77777777" w:rsidR="00295887" w:rsidRDefault="00295887"/>
  <w:p w14:paraId="2B5A7EF2" w14:textId="77777777" w:rsidR="00295887" w:rsidRDefault="002958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DCC2" w14:textId="77777777" w:rsidR="00A12B60" w:rsidRDefault="00A12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0163" w14:textId="53D67C4D" w:rsidR="00A12B60" w:rsidRDefault="007621BD" w:rsidP="00953CFB">
    <w:pPr>
      <w:pStyle w:val="Footer"/>
    </w:pPr>
    <w:r w:rsidRPr="007621BD">
      <w:rPr>
        <w:lang w:val="en-GB"/>
      </w:rPr>
      <w:t>Recommendations for safe use of medicines terminology</w:t>
    </w:r>
    <w:r w:rsidR="00A12B60" w:rsidRPr="00D84622">
      <w:tab/>
    </w:r>
    <w:r w:rsidR="00A12B60" w:rsidRPr="00D84622">
      <w:fldChar w:fldCharType="begin"/>
    </w:r>
    <w:r w:rsidR="00A12B60" w:rsidRPr="00D84622">
      <w:instrText xml:space="preserve"> PAGE   \* MERGEFORMAT </w:instrText>
    </w:r>
    <w:r w:rsidR="00A12B60" w:rsidRPr="00D84622">
      <w:fldChar w:fldCharType="separate"/>
    </w:r>
    <w:r w:rsidR="00A12B60" w:rsidRPr="00D84622">
      <w:t>4</w:t>
    </w:r>
    <w:r w:rsidR="00A12B60" w:rsidRPr="00D8462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53A5" w14:textId="77777777" w:rsidR="00A12B60" w:rsidRDefault="00A12B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F284" w14:textId="6E7E72E3" w:rsidR="002E4B35" w:rsidRDefault="00646AFF">
    <w:pPr>
      <w:pStyle w:val="Footer"/>
    </w:pPr>
    <w:r w:rsidRPr="00646AFF">
      <w:rPr>
        <w:lang w:val="en-GB"/>
      </w:rPr>
      <w:t>Recommendations for safe use of medicines terminology</w:t>
    </w:r>
    <w:r w:rsidR="002E4B35" w:rsidRPr="00D84622">
      <w:tab/>
    </w:r>
    <w:r w:rsidR="002E4B35" w:rsidRPr="00D84622">
      <w:fldChar w:fldCharType="begin"/>
    </w:r>
    <w:r w:rsidR="002E4B35" w:rsidRPr="00D84622">
      <w:instrText xml:space="preserve"> PAGE   \* MERGEFORMAT </w:instrText>
    </w:r>
    <w:r w:rsidR="002E4B35" w:rsidRPr="00D84622">
      <w:fldChar w:fldCharType="separate"/>
    </w:r>
    <w:r w:rsidR="002E4B35" w:rsidRPr="00D84622">
      <w:t>4</w:t>
    </w:r>
    <w:r w:rsidR="002E4B35" w:rsidRPr="00D8462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8EA4" w14:textId="77777777" w:rsidR="006D4CD4" w:rsidRPr="006D4CD4" w:rsidRDefault="006D4CD4" w:rsidP="006D4CD4">
    <w:pPr>
      <w:pStyle w:val="Footer"/>
    </w:pPr>
    <w:r>
      <w:t>Report name goes here</w:t>
    </w:r>
    <w:r w:rsidRPr="00D84622">
      <w:tab/>
    </w:r>
    <w:r w:rsidRPr="00D84622">
      <w:fldChar w:fldCharType="begin"/>
    </w:r>
    <w:r w:rsidRPr="00D84622">
      <w:instrText xml:space="preserve"> PAGE   \* MERGEFORMAT </w:instrText>
    </w:r>
    <w:r w:rsidRPr="00D84622">
      <w:fldChar w:fldCharType="separate"/>
    </w:r>
    <w:r>
      <w:t>2</w:t>
    </w:r>
    <w:r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7030" w14:textId="77777777" w:rsidR="00415F50" w:rsidRDefault="00415F50" w:rsidP="00600BF9">
      <w:r>
        <w:separator/>
      </w:r>
    </w:p>
  </w:footnote>
  <w:footnote w:type="continuationSeparator" w:id="0">
    <w:p w14:paraId="089BB75A" w14:textId="77777777" w:rsidR="00415F50" w:rsidRDefault="00415F50" w:rsidP="000B0274">
      <w:r>
        <w:continuationSeparator/>
      </w:r>
    </w:p>
    <w:p w14:paraId="58D59E95" w14:textId="77777777" w:rsidR="00415F50" w:rsidRDefault="00415F50"/>
    <w:p w14:paraId="16319E63" w14:textId="77777777" w:rsidR="00415F50" w:rsidRDefault="00415F50"/>
    <w:p w14:paraId="0895F0CB" w14:textId="77777777" w:rsidR="00415F50" w:rsidRDefault="00415F50"/>
    <w:p w14:paraId="7B435164" w14:textId="77777777" w:rsidR="00415F50" w:rsidRDefault="00415F50"/>
  </w:footnote>
  <w:footnote w:id="1">
    <w:p w14:paraId="5A3FB72D" w14:textId="77777777" w:rsidR="009621C7" w:rsidRDefault="009621C7" w:rsidP="003F5B62">
      <w:pPr>
        <w:pStyle w:val="FootnoteText"/>
      </w:pPr>
      <w:r>
        <w:footnoteRef/>
      </w:r>
      <w:r>
        <w:tab/>
        <w:t xml:space="preserve">In December 2008 Australian Health Ministers endorsed the </w:t>
      </w:r>
      <w:r w:rsidRPr="007621BD">
        <w:t>original</w:t>
      </w:r>
      <w:r>
        <w:t xml:space="preserve"> version of the </w:t>
      </w:r>
      <w:r>
        <w:rPr>
          <w:rStyle w:val="Emphasis"/>
        </w:rPr>
        <w:t>Recommendations for Terminology, Abbreviations and Symbols used in the Prescribing and Administration of Medicines</w:t>
      </w:r>
      <w:r>
        <w:rPr>
          <w:rStyle w:val="Superscript"/>
        </w:rPr>
        <w:t>2</w:t>
      </w:r>
      <w:r>
        <w:t xml:space="preserve"> for use in all Australian hospitals. The 2011 version was prepared by the NSW Therapeutic Advisory Group’s Safer Medicines Group for the Australian Commission on Safety and Quality in Health Care. </w:t>
      </w:r>
    </w:p>
  </w:footnote>
  <w:footnote w:id="2">
    <w:p w14:paraId="4C48030D" w14:textId="55BC3F73" w:rsidR="009621C7" w:rsidRDefault="009621C7" w:rsidP="003F5B62">
      <w:pPr>
        <w:pStyle w:val="FootnoteText"/>
      </w:pPr>
      <w:r>
        <w:footnoteRef/>
      </w:r>
      <w:r>
        <w:tab/>
      </w:r>
      <w:hyperlink r:id="rId1" w:history="1">
        <w:r>
          <w:rPr>
            <w:rStyle w:val="Hyperlinkitalics"/>
          </w:rPr>
          <w:t>Collins dictionary</w:t>
        </w:r>
      </w:hyperlink>
      <w:r w:rsidR="00307F4B">
        <w:rPr>
          <w:rStyle w:val="Hyperlinkitalics"/>
        </w:rPr>
        <w:t xml:space="preserve"> </w:t>
      </w:r>
      <w:hyperlink r:id="rId2" w:history="1">
        <w:r>
          <w:rPr>
            <w:rStyle w:val="Hyperlink"/>
          </w:rPr>
          <w:t>definition</w:t>
        </w:r>
      </w:hyperlink>
      <w:r w:rsidR="00307F4B">
        <w:t xml:space="preserve"> l</w:t>
      </w:r>
      <w:r>
        <w:t>anguage that is clear and easy to understand with no ambiguity or unnecessarily difficult</w:t>
      </w:r>
      <w:r w:rsidR="00307F4B">
        <w:t> </w:t>
      </w:r>
      <w:r>
        <w:t>words.</w:t>
      </w:r>
    </w:p>
  </w:footnote>
  <w:footnote w:id="3">
    <w:p w14:paraId="70B0B8C5" w14:textId="46E7F755" w:rsidR="009621C7" w:rsidRDefault="009621C7" w:rsidP="003F5B62">
      <w:pPr>
        <w:pStyle w:val="FootnoteText"/>
      </w:pPr>
      <w:r w:rsidRPr="00635905">
        <w:rPr>
          <w:rStyle w:val="Superscript"/>
        </w:rPr>
        <w:footnoteRef/>
      </w:r>
      <w:r>
        <w:tab/>
      </w:r>
      <w:hyperlink r:id="rId3" w:history="1">
        <w:r>
          <w:rPr>
            <w:rStyle w:val="Hyperlinkitalics"/>
          </w:rPr>
          <w:t>Australian Government Style Manual</w:t>
        </w:r>
      </w:hyperlink>
      <w:r>
        <w:t>: use words that people are familiar with. For example, avoid occupation</w:t>
      </w:r>
      <w:r w:rsidR="00307F4B">
        <w:noBreakHyphen/>
      </w:r>
      <w:r>
        <w:t>specific</w:t>
      </w:r>
      <w:r w:rsidR="00307F4B">
        <w:t> </w:t>
      </w:r>
      <w:r>
        <w:t>language.</w:t>
      </w:r>
    </w:p>
  </w:footnote>
  <w:footnote w:id="4">
    <w:p w14:paraId="036EF1CE" w14:textId="5FFD6188" w:rsidR="009621C7" w:rsidRDefault="009621C7" w:rsidP="003F5B62">
      <w:pPr>
        <w:pStyle w:val="FootnoteText"/>
      </w:pPr>
      <w:r>
        <w:footnoteRef/>
      </w:r>
      <w:r>
        <w:tab/>
        <w:t>Other potassium salts to be written in full, for example, potassium dihydrogen phosphate.</w:t>
      </w:r>
    </w:p>
  </w:footnote>
  <w:footnote w:id="5">
    <w:p w14:paraId="5B1CAC2C" w14:textId="16937FD1" w:rsidR="009621C7" w:rsidRDefault="009621C7" w:rsidP="003F5B62">
      <w:pPr>
        <w:pStyle w:val="FootnoteText"/>
      </w:pPr>
      <w:r w:rsidRPr="00F55CE2">
        <w:rPr>
          <w:rStyle w:val="Superscript"/>
        </w:rPr>
        <w:footnoteRef/>
      </w:r>
      <w:r>
        <w:tab/>
        <w:t>Can be mistaken for tetracaine, adrenaline and cocaine.</w:t>
      </w:r>
    </w:p>
  </w:footnote>
  <w:footnote w:id="6">
    <w:p w14:paraId="7605FBFB" w14:textId="77777777" w:rsidR="009621C7" w:rsidRDefault="009621C7" w:rsidP="003F5B62">
      <w:pPr>
        <w:pStyle w:val="FootnoteText"/>
      </w:pPr>
      <w:r>
        <w:footnoteRef/>
      </w:r>
      <w:r>
        <w:tab/>
        <w:t>Metric units are based upon scientific notation. The main difference is that scientific notation uses the power of 10 to show the magnitude of a number.</w:t>
      </w:r>
    </w:p>
  </w:footnote>
  <w:footnote w:id="7">
    <w:p w14:paraId="5A7A3BF3" w14:textId="339B2D7F" w:rsidR="009621C7" w:rsidRDefault="009621C7" w:rsidP="003F5B62">
      <w:pPr>
        <w:pStyle w:val="FootnoteText"/>
      </w:pPr>
      <w:r>
        <w:footnoteRef/>
      </w:r>
      <w:r>
        <w:tab/>
        <w:t>Considered acceptable abbreviations only in written presentations, such as, handwritten prescriptions or medicine orders.</w:t>
      </w:r>
    </w:p>
  </w:footnote>
  <w:footnote w:id="8">
    <w:p w14:paraId="1CC0C798" w14:textId="632D404B" w:rsidR="009621C7" w:rsidRDefault="009621C7" w:rsidP="003F5B62">
      <w:pPr>
        <w:pStyle w:val="FootnoteText"/>
      </w:pPr>
      <w:r w:rsidRPr="00AF328F">
        <w:rPr>
          <w:rStyle w:val="Superscript"/>
        </w:rPr>
        <w:footnoteRef/>
      </w:r>
      <w:r>
        <w:tab/>
        <w:t>Once a day in the morning at 08:00 am OR once a week on a Tuesday.</w:t>
      </w:r>
    </w:p>
  </w:footnote>
  <w:footnote w:id="9">
    <w:p w14:paraId="2AB5CADE" w14:textId="77777777" w:rsidR="009621C7" w:rsidRDefault="009621C7" w:rsidP="003F5B62">
      <w:pPr>
        <w:pStyle w:val="FootnoteText"/>
      </w:pPr>
      <w:r>
        <w:footnoteRef/>
      </w:r>
      <w:r>
        <w:tab/>
        <w:t>Considered acceptable abbreviations only in written presentations, such as, handwritten prescriptions or medicine orders.</w:t>
      </w:r>
    </w:p>
  </w:footnote>
  <w:footnote w:id="10">
    <w:p w14:paraId="1B34666A" w14:textId="77777777" w:rsidR="009621C7" w:rsidRDefault="009621C7" w:rsidP="003F5B62">
      <w:pPr>
        <w:pStyle w:val="FootnoteText"/>
      </w:pPr>
      <w:r>
        <w:footnoteRef/>
      </w:r>
      <w:r>
        <w:tab/>
        <w:t xml:space="preserve">Mixed-case lettering </w:t>
      </w:r>
      <w:r w:rsidRPr="003F5B62">
        <w:t>applied</w:t>
      </w:r>
      <w:r>
        <w:t xml:space="preserve"> to align with the </w:t>
      </w:r>
      <w:hyperlink r:id="rId4" w:history="1">
        <w:r>
          <w:rPr>
            <w:rStyle w:val="Hyperlinkitalics"/>
          </w:rPr>
          <w:t>National Standard for User-applied Labelling of Injectable Medicines, Fluids and Lines</w:t>
        </w:r>
      </w:hyperlink>
      <w:r>
        <w:t>.</w:t>
      </w:r>
      <w:r>
        <w:rPr>
          <w:rStyle w:val="Superscript"/>
        </w:rPr>
        <w:t>28</w:t>
      </w:r>
    </w:p>
  </w:footnote>
  <w:footnote w:id="11">
    <w:p w14:paraId="4449BA16" w14:textId="77777777" w:rsidR="009621C7" w:rsidRDefault="009621C7" w:rsidP="003F5B62">
      <w:pPr>
        <w:pStyle w:val="FootnoteText"/>
      </w:pPr>
      <w:r>
        <w:footnoteRef/>
      </w:r>
      <w:r>
        <w:tab/>
        <w:t>’TAB’, ‘tab’, ‘CAP’ and ‘cap’ are considered acceptable abbreviations in written presentations. However, the expectation is for ‘tablet’ and ‘capsule’ to be expressed in full in digital displays, on dispensed medicine labels, and when communicated verbally.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FD81" w14:textId="77777777" w:rsidR="00295887" w:rsidRDefault="00295887"/>
  <w:p w14:paraId="08431CA7" w14:textId="77777777" w:rsidR="00295887" w:rsidRDefault="00295887"/>
  <w:p w14:paraId="11AEDD88" w14:textId="77777777" w:rsidR="00295887" w:rsidRDefault="00295887"/>
  <w:p w14:paraId="7C7559FB" w14:textId="77777777" w:rsidR="00295887" w:rsidRDefault="002958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9B01" w14:textId="77777777" w:rsidR="00295887" w:rsidRPr="002E4B35" w:rsidRDefault="00295887" w:rsidP="002E4B35">
    <w:pPr>
      <w:tabs>
        <w:tab w:val="left" w:pos="7062"/>
        <w:tab w:val="right" w:pos="9638"/>
      </w:tabs>
      <w:spacing w:before="0"/>
      <w:ind w:left="-142"/>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D34F" w14:textId="77777777" w:rsidR="00A12B60" w:rsidRDefault="00A12B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8684" w14:textId="77777777" w:rsidR="00A12B60" w:rsidRPr="00EB3985" w:rsidRDefault="00A12B60" w:rsidP="00EB39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AD2F" w14:textId="77777777" w:rsidR="00A12B60" w:rsidRDefault="00A12B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BC6A" w14:textId="77777777" w:rsidR="00EE552C" w:rsidRDefault="00EE552C">
    <w:pPr>
      <w:pStyle w:val="Header"/>
    </w:pPr>
    <w:r w:rsidRPr="00FB375B">
      <w:rPr>
        <w:rFonts w:eastAsiaTheme="majorEastAsia"/>
        <w:noProof/>
        <w:lang w:val="en-US" w:eastAsia="en-US"/>
      </w:rPr>
      <w:drawing>
        <wp:inline distT="0" distB="0" distL="0" distR="0" wp14:anchorId="1C11592A" wp14:editId="609671A1">
          <wp:extent cx="4307149" cy="543600"/>
          <wp:effectExtent l="0" t="0" r="0" b="2540"/>
          <wp:docPr id="1" name="Picture 1"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AEA5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DE98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706B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1E75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78E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DE1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92B1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3E9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EC5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E850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1A141816"/>
    <w:multiLevelType w:val="hybridMultilevel"/>
    <w:tmpl w:val="74A08142"/>
    <w:lvl w:ilvl="0" w:tplc="7542BE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2B115E27"/>
    <w:multiLevelType w:val="hybridMultilevel"/>
    <w:tmpl w:val="971E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0390974"/>
    <w:multiLevelType w:val="hybridMultilevel"/>
    <w:tmpl w:val="C116F3B0"/>
    <w:lvl w:ilvl="0" w:tplc="7542BE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623FB9"/>
    <w:multiLevelType w:val="hybridMultilevel"/>
    <w:tmpl w:val="1DC676B8"/>
    <w:lvl w:ilvl="0" w:tplc="7542BE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EE30B8"/>
    <w:multiLevelType w:val="hybridMultilevel"/>
    <w:tmpl w:val="69A2C8B4"/>
    <w:lvl w:ilvl="0" w:tplc="7542BE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B54E54"/>
    <w:multiLevelType w:val="hybridMultilevel"/>
    <w:tmpl w:val="82602A98"/>
    <w:lvl w:ilvl="0" w:tplc="7542BE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407264671">
    <w:abstractNumId w:val="10"/>
  </w:num>
  <w:num w:numId="2" w16cid:durableId="151913477">
    <w:abstractNumId w:val="12"/>
  </w:num>
  <w:num w:numId="3" w16cid:durableId="348606052">
    <w:abstractNumId w:val="20"/>
  </w:num>
  <w:num w:numId="4" w16cid:durableId="1235355125">
    <w:abstractNumId w:val="26"/>
  </w:num>
  <w:num w:numId="5" w16cid:durableId="1472750514">
    <w:abstractNumId w:val="25"/>
  </w:num>
  <w:num w:numId="6" w16cid:durableId="614288394">
    <w:abstractNumId w:val="13"/>
  </w:num>
  <w:num w:numId="7" w16cid:durableId="245379576">
    <w:abstractNumId w:val="14"/>
  </w:num>
  <w:num w:numId="8" w16cid:durableId="172110863">
    <w:abstractNumId w:val="11"/>
  </w:num>
  <w:num w:numId="9" w16cid:durableId="58670212">
    <w:abstractNumId w:val="33"/>
  </w:num>
  <w:num w:numId="10" w16cid:durableId="534196612">
    <w:abstractNumId w:val="19"/>
  </w:num>
  <w:num w:numId="11" w16cid:durableId="827283642">
    <w:abstractNumId w:val="16"/>
  </w:num>
  <w:num w:numId="12" w16cid:durableId="1909533196">
    <w:abstractNumId w:val="32"/>
  </w:num>
  <w:num w:numId="13" w16cid:durableId="32389037">
    <w:abstractNumId w:val="17"/>
  </w:num>
  <w:num w:numId="14" w16cid:durableId="600066042">
    <w:abstractNumId w:val="23"/>
  </w:num>
  <w:num w:numId="15" w16cid:durableId="1676572075">
    <w:abstractNumId w:val="34"/>
  </w:num>
  <w:num w:numId="16" w16cid:durableId="1887064147">
    <w:abstractNumId w:val="22"/>
  </w:num>
  <w:num w:numId="17" w16cid:durableId="1194685873">
    <w:abstractNumId w:val="15"/>
  </w:num>
  <w:num w:numId="18" w16cid:durableId="1656180747">
    <w:abstractNumId w:val="28"/>
  </w:num>
  <w:num w:numId="19" w16cid:durableId="507600832">
    <w:abstractNumId w:val="30"/>
  </w:num>
  <w:num w:numId="20" w16cid:durableId="432896054">
    <w:abstractNumId w:val="0"/>
  </w:num>
  <w:num w:numId="21" w16cid:durableId="709962027">
    <w:abstractNumId w:val="1"/>
  </w:num>
  <w:num w:numId="22" w16cid:durableId="127600342">
    <w:abstractNumId w:val="2"/>
  </w:num>
  <w:num w:numId="23" w16cid:durableId="510798662">
    <w:abstractNumId w:val="3"/>
  </w:num>
  <w:num w:numId="24" w16cid:durableId="1460763758">
    <w:abstractNumId w:val="8"/>
  </w:num>
  <w:num w:numId="25" w16cid:durableId="32459187">
    <w:abstractNumId w:val="4"/>
  </w:num>
  <w:num w:numId="26" w16cid:durableId="606155784">
    <w:abstractNumId w:val="5"/>
  </w:num>
  <w:num w:numId="27" w16cid:durableId="1602303292">
    <w:abstractNumId w:val="6"/>
  </w:num>
  <w:num w:numId="28" w16cid:durableId="1497647213">
    <w:abstractNumId w:val="7"/>
  </w:num>
  <w:num w:numId="29" w16cid:durableId="167600216">
    <w:abstractNumId w:val="9"/>
  </w:num>
  <w:num w:numId="30" w16cid:durableId="467632033">
    <w:abstractNumId w:val="21"/>
  </w:num>
  <w:num w:numId="31" w16cid:durableId="1292441856">
    <w:abstractNumId w:val="24"/>
  </w:num>
  <w:num w:numId="32" w16cid:durableId="1196889699">
    <w:abstractNumId w:val="18"/>
  </w:num>
  <w:num w:numId="33" w16cid:durableId="2094233430">
    <w:abstractNumId w:val="31"/>
  </w:num>
  <w:num w:numId="34" w16cid:durableId="2134326417">
    <w:abstractNumId w:val="27"/>
  </w:num>
  <w:num w:numId="35" w16cid:durableId="808325056">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1B"/>
    <w:rsid w:val="00002668"/>
    <w:rsid w:val="00003743"/>
    <w:rsid w:val="000077FA"/>
    <w:rsid w:val="0001053B"/>
    <w:rsid w:val="00012782"/>
    <w:rsid w:val="00020DBD"/>
    <w:rsid w:val="00025A92"/>
    <w:rsid w:val="0003162D"/>
    <w:rsid w:val="000351AD"/>
    <w:rsid w:val="00036AB8"/>
    <w:rsid w:val="00036F5E"/>
    <w:rsid w:val="000406C8"/>
    <w:rsid w:val="000406F8"/>
    <w:rsid w:val="00043671"/>
    <w:rsid w:val="00050775"/>
    <w:rsid w:val="0005244D"/>
    <w:rsid w:val="00054B74"/>
    <w:rsid w:val="00054E14"/>
    <w:rsid w:val="00057D6C"/>
    <w:rsid w:val="0006584E"/>
    <w:rsid w:val="00067456"/>
    <w:rsid w:val="00067CE9"/>
    <w:rsid w:val="00070812"/>
    <w:rsid w:val="000720AA"/>
    <w:rsid w:val="000744C0"/>
    <w:rsid w:val="00074553"/>
    <w:rsid w:val="0008065C"/>
    <w:rsid w:val="00083CD1"/>
    <w:rsid w:val="00090EFF"/>
    <w:rsid w:val="00091FC5"/>
    <w:rsid w:val="00092229"/>
    <w:rsid w:val="00092E65"/>
    <w:rsid w:val="00095DA6"/>
    <w:rsid w:val="00095DC5"/>
    <w:rsid w:val="000A3356"/>
    <w:rsid w:val="000A3F0D"/>
    <w:rsid w:val="000A4C01"/>
    <w:rsid w:val="000A4E84"/>
    <w:rsid w:val="000B0274"/>
    <w:rsid w:val="000B0BFE"/>
    <w:rsid w:val="000B4610"/>
    <w:rsid w:val="000B67FE"/>
    <w:rsid w:val="000B79D3"/>
    <w:rsid w:val="000C0C4F"/>
    <w:rsid w:val="000C1722"/>
    <w:rsid w:val="000C1DD4"/>
    <w:rsid w:val="000C5B0F"/>
    <w:rsid w:val="000C7A69"/>
    <w:rsid w:val="000D017D"/>
    <w:rsid w:val="000D1701"/>
    <w:rsid w:val="000D6405"/>
    <w:rsid w:val="000E15DA"/>
    <w:rsid w:val="000E2916"/>
    <w:rsid w:val="000E2F2E"/>
    <w:rsid w:val="000F0D77"/>
    <w:rsid w:val="000F29C7"/>
    <w:rsid w:val="000F6B39"/>
    <w:rsid w:val="0010673D"/>
    <w:rsid w:val="00106CF5"/>
    <w:rsid w:val="00115403"/>
    <w:rsid w:val="00115E61"/>
    <w:rsid w:val="00120FCB"/>
    <w:rsid w:val="00121359"/>
    <w:rsid w:val="00131E52"/>
    <w:rsid w:val="00140002"/>
    <w:rsid w:val="00140B90"/>
    <w:rsid w:val="0014318F"/>
    <w:rsid w:val="00143A76"/>
    <w:rsid w:val="00145BE3"/>
    <w:rsid w:val="00146A66"/>
    <w:rsid w:val="001507C6"/>
    <w:rsid w:val="00157B31"/>
    <w:rsid w:val="00160453"/>
    <w:rsid w:val="001652A9"/>
    <w:rsid w:val="00174141"/>
    <w:rsid w:val="00174535"/>
    <w:rsid w:val="0017675C"/>
    <w:rsid w:val="00182C0F"/>
    <w:rsid w:val="00183675"/>
    <w:rsid w:val="00184C86"/>
    <w:rsid w:val="001852DE"/>
    <w:rsid w:val="001859B5"/>
    <w:rsid w:val="001860B2"/>
    <w:rsid w:val="001918F7"/>
    <w:rsid w:val="001921ED"/>
    <w:rsid w:val="00195458"/>
    <w:rsid w:val="001962DE"/>
    <w:rsid w:val="00196AC8"/>
    <w:rsid w:val="001A11A5"/>
    <w:rsid w:val="001A1EBD"/>
    <w:rsid w:val="001A4A68"/>
    <w:rsid w:val="001B15D1"/>
    <w:rsid w:val="001B3443"/>
    <w:rsid w:val="001B7C8B"/>
    <w:rsid w:val="001C0F51"/>
    <w:rsid w:val="001C1D61"/>
    <w:rsid w:val="001C2F1F"/>
    <w:rsid w:val="001D0CBC"/>
    <w:rsid w:val="001D0D87"/>
    <w:rsid w:val="001E1042"/>
    <w:rsid w:val="001E38B8"/>
    <w:rsid w:val="001E77C4"/>
    <w:rsid w:val="001F429D"/>
    <w:rsid w:val="001F5AD3"/>
    <w:rsid w:val="001F6D10"/>
    <w:rsid w:val="002132AE"/>
    <w:rsid w:val="002166E4"/>
    <w:rsid w:val="00216FEC"/>
    <w:rsid w:val="002255F7"/>
    <w:rsid w:val="00230BFC"/>
    <w:rsid w:val="0023112B"/>
    <w:rsid w:val="0023231A"/>
    <w:rsid w:val="00237ADF"/>
    <w:rsid w:val="00237F1B"/>
    <w:rsid w:val="00245BC8"/>
    <w:rsid w:val="00245D81"/>
    <w:rsid w:val="0024767D"/>
    <w:rsid w:val="002503C3"/>
    <w:rsid w:val="00251167"/>
    <w:rsid w:val="0025334E"/>
    <w:rsid w:val="002550A7"/>
    <w:rsid w:val="00255596"/>
    <w:rsid w:val="00255DCB"/>
    <w:rsid w:val="00256F12"/>
    <w:rsid w:val="00261F43"/>
    <w:rsid w:val="00262327"/>
    <w:rsid w:val="002625FB"/>
    <w:rsid w:val="00263A63"/>
    <w:rsid w:val="00264387"/>
    <w:rsid w:val="00264A5A"/>
    <w:rsid w:val="002662B4"/>
    <w:rsid w:val="002663D1"/>
    <w:rsid w:val="0026675D"/>
    <w:rsid w:val="002674D8"/>
    <w:rsid w:val="00267635"/>
    <w:rsid w:val="00277A59"/>
    <w:rsid w:val="0028150E"/>
    <w:rsid w:val="00281FD4"/>
    <w:rsid w:val="002847EB"/>
    <w:rsid w:val="002851F2"/>
    <w:rsid w:val="002854C3"/>
    <w:rsid w:val="00291EBD"/>
    <w:rsid w:val="00293CDE"/>
    <w:rsid w:val="0029576C"/>
    <w:rsid w:val="00295887"/>
    <w:rsid w:val="002A4DFE"/>
    <w:rsid w:val="002A5442"/>
    <w:rsid w:val="002A60D5"/>
    <w:rsid w:val="002C1CA0"/>
    <w:rsid w:val="002C529B"/>
    <w:rsid w:val="002C6AF0"/>
    <w:rsid w:val="002C6E07"/>
    <w:rsid w:val="002D0EB0"/>
    <w:rsid w:val="002D247E"/>
    <w:rsid w:val="002D48D8"/>
    <w:rsid w:val="002E195D"/>
    <w:rsid w:val="002E2DBA"/>
    <w:rsid w:val="002E3986"/>
    <w:rsid w:val="002E4B35"/>
    <w:rsid w:val="002E6A48"/>
    <w:rsid w:val="002E7082"/>
    <w:rsid w:val="002F3AE3"/>
    <w:rsid w:val="002F7E6F"/>
    <w:rsid w:val="0030786C"/>
    <w:rsid w:val="00307F4B"/>
    <w:rsid w:val="00312A62"/>
    <w:rsid w:val="00316683"/>
    <w:rsid w:val="003304CF"/>
    <w:rsid w:val="003357DD"/>
    <w:rsid w:val="00341A36"/>
    <w:rsid w:val="00341BEE"/>
    <w:rsid w:val="00343286"/>
    <w:rsid w:val="00343CBE"/>
    <w:rsid w:val="0034680F"/>
    <w:rsid w:val="0035066E"/>
    <w:rsid w:val="00350BE1"/>
    <w:rsid w:val="00354BCF"/>
    <w:rsid w:val="003559EA"/>
    <w:rsid w:val="00361A39"/>
    <w:rsid w:val="003657DB"/>
    <w:rsid w:val="0036588B"/>
    <w:rsid w:val="003669A4"/>
    <w:rsid w:val="00370326"/>
    <w:rsid w:val="00380792"/>
    <w:rsid w:val="003808E4"/>
    <w:rsid w:val="0038248B"/>
    <w:rsid w:val="00382B2D"/>
    <w:rsid w:val="00386683"/>
    <w:rsid w:val="003873C6"/>
    <w:rsid w:val="00392002"/>
    <w:rsid w:val="00392A85"/>
    <w:rsid w:val="00396AFB"/>
    <w:rsid w:val="003A4E56"/>
    <w:rsid w:val="003A70CE"/>
    <w:rsid w:val="003C0E23"/>
    <w:rsid w:val="003C297A"/>
    <w:rsid w:val="003C540E"/>
    <w:rsid w:val="003C5F0C"/>
    <w:rsid w:val="003C67EA"/>
    <w:rsid w:val="003D17F9"/>
    <w:rsid w:val="003D30A9"/>
    <w:rsid w:val="003D3806"/>
    <w:rsid w:val="003D437B"/>
    <w:rsid w:val="003D4829"/>
    <w:rsid w:val="003E197F"/>
    <w:rsid w:val="003E442B"/>
    <w:rsid w:val="003E6E73"/>
    <w:rsid w:val="003E76C8"/>
    <w:rsid w:val="003F3F0B"/>
    <w:rsid w:val="003F5B62"/>
    <w:rsid w:val="0040152C"/>
    <w:rsid w:val="00402CBA"/>
    <w:rsid w:val="00412E9D"/>
    <w:rsid w:val="00414952"/>
    <w:rsid w:val="0041575D"/>
    <w:rsid w:val="00415F50"/>
    <w:rsid w:val="00420A46"/>
    <w:rsid w:val="00423210"/>
    <w:rsid w:val="00425504"/>
    <w:rsid w:val="0042727E"/>
    <w:rsid w:val="004305D6"/>
    <w:rsid w:val="00430AD0"/>
    <w:rsid w:val="004377EE"/>
    <w:rsid w:val="00440CC0"/>
    <w:rsid w:val="00440D73"/>
    <w:rsid w:val="004437F3"/>
    <w:rsid w:val="00447D31"/>
    <w:rsid w:val="00452849"/>
    <w:rsid w:val="00455560"/>
    <w:rsid w:val="00456385"/>
    <w:rsid w:val="004563FC"/>
    <w:rsid w:val="00465AB0"/>
    <w:rsid w:val="00470AB8"/>
    <w:rsid w:val="00470DD4"/>
    <w:rsid w:val="00475D49"/>
    <w:rsid w:val="00477E9B"/>
    <w:rsid w:val="00482ECA"/>
    <w:rsid w:val="00485776"/>
    <w:rsid w:val="00485794"/>
    <w:rsid w:val="004867E2"/>
    <w:rsid w:val="00486826"/>
    <w:rsid w:val="0048784D"/>
    <w:rsid w:val="00490504"/>
    <w:rsid w:val="00493AA0"/>
    <w:rsid w:val="00494EC4"/>
    <w:rsid w:val="004A0670"/>
    <w:rsid w:val="004A299A"/>
    <w:rsid w:val="004A4851"/>
    <w:rsid w:val="004A5C81"/>
    <w:rsid w:val="004B0417"/>
    <w:rsid w:val="004B2999"/>
    <w:rsid w:val="004C04EB"/>
    <w:rsid w:val="004C1E68"/>
    <w:rsid w:val="004C294E"/>
    <w:rsid w:val="004C3664"/>
    <w:rsid w:val="004C4927"/>
    <w:rsid w:val="004C6833"/>
    <w:rsid w:val="004D448C"/>
    <w:rsid w:val="004D71B0"/>
    <w:rsid w:val="004E067A"/>
    <w:rsid w:val="004E179B"/>
    <w:rsid w:val="004E2389"/>
    <w:rsid w:val="004E50C2"/>
    <w:rsid w:val="004E58C1"/>
    <w:rsid w:val="004F412D"/>
    <w:rsid w:val="004F5CCA"/>
    <w:rsid w:val="00503E52"/>
    <w:rsid w:val="00505824"/>
    <w:rsid w:val="0051563D"/>
    <w:rsid w:val="005179C7"/>
    <w:rsid w:val="00517A8F"/>
    <w:rsid w:val="0052107C"/>
    <w:rsid w:val="005221B7"/>
    <w:rsid w:val="00525F61"/>
    <w:rsid w:val="00530100"/>
    <w:rsid w:val="0053231E"/>
    <w:rsid w:val="00533133"/>
    <w:rsid w:val="00536E0C"/>
    <w:rsid w:val="005408C7"/>
    <w:rsid w:val="005422E7"/>
    <w:rsid w:val="005437FD"/>
    <w:rsid w:val="00544A4E"/>
    <w:rsid w:val="0055205D"/>
    <w:rsid w:val="00552E98"/>
    <w:rsid w:val="0055337E"/>
    <w:rsid w:val="00553E33"/>
    <w:rsid w:val="00555C4C"/>
    <w:rsid w:val="00555D6E"/>
    <w:rsid w:val="00562F72"/>
    <w:rsid w:val="0056304B"/>
    <w:rsid w:val="00565356"/>
    <w:rsid w:val="00566B97"/>
    <w:rsid w:val="00570C6C"/>
    <w:rsid w:val="00584334"/>
    <w:rsid w:val="00591A14"/>
    <w:rsid w:val="0059380A"/>
    <w:rsid w:val="0059724C"/>
    <w:rsid w:val="005A1AA7"/>
    <w:rsid w:val="005A4D0B"/>
    <w:rsid w:val="005A61B4"/>
    <w:rsid w:val="005A65E0"/>
    <w:rsid w:val="005A735B"/>
    <w:rsid w:val="005B04D8"/>
    <w:rsid w:val="005C1265"/>
    <w:rsid w:val="005C1496"/>
    <w:rsid w:val="005C1E07"/>
    <w:rsid w:val="005C5EF4"/>
    <w:rsid w:val="005C6AAE"/>
    <w:rsid w:val="005D1073"/>
    <w:rsid w:val="005D1804"/>
    <w:rsid w:val="005D2770"/>
    <w:rsid w:val="005D5D06"/>
    <w:rsid w:val="005D62B5"/>
    <w:rsid w:val="005E054C"/>
    <w:rsid w:val="005E2614"/>
    <w:rsid w:val="005E2695"/>
    <w:rsid w:val="005E6BDC"/>
    <w:rsid w:val="005E7144"/>
    <w:rsid w:val="005F1E4A"/>
    <w:rsid w:val="00600BF9"/>
    <w:rsid w:val="00607B0B"/>
    <w:rsid w:val="00611870"/>
    <w:rsid w:val="00614E29"/>
    <w:rsid w:val="00621941"/>
    <w:rsid w:val="0062216A"/>
    <w:rsid w:val="006238F4"/>
    <w:rsid w:val="0062531C"/>
    <w:rsid w:val="00625634"/>
    <w:rsid w:val="00625EC1"/>
    <w:rsid w:val="00626F7D"/>
    <w:rsid w:val="00630199"/>
    <w:rsid w:val="006317C9"/>
    <w:rsid w:val="00632475"/>
    <w:rsid w:val="006329C7"/>
    <w:rsid w:val="00632C35"/>
    <w:rsid w:val="006340B0"/>
    <w:rsid w:val="00635905"/>
    <w:rsid w:val="00635A8A"/>
    <w:rsid w:val="00636395"/>
    <w:rsid w:val="00641773"/>
    <w:rsid w:val="00641CB0"/>
    <w:rsid w:val="0064239F"/>
    <w:rsid w:val="006456F1"/>
    <w:rsid w:val="00646AFF"/>
    <w:rsid w:val="006501AE"/>
    <w:rsid w:val="00651F2C"/>
    <w:rsid w:val="006528DA"/>
    <w:rsid w:val="00653E73"/>
    <w:rsid w:val="0065650B"/>
    <w:rsid w:val="00656A90"/>
    <w:rsid w:val="00657DD2"/>
    <w:rsid w:val="00661066"/>
    <w:rsid w:val="00662E5A"/>
    <w:rsid w:val="00664B6D"/>
    <w:rsid w:val="00664F67"/>
    <w:rsid w:val="006655E2"/>
    <w:rsid w:val="00670F54"/>
    <w:rsid w:val="006728F9"/>
    <w:rsid w:val="006746DA"/>
    <w:rsid w:val="006765C3"/>
    <w:rsid w:val="006767BC"/>
    <w:rsid w:val="006803BA"/>
    <w:rsid w:val="00682E97"/>
    <w:rsid w:val="00684FB9"/>
    <w:rsid w:val="006922F5"/>
    <w:rsid w:val="00694113"/>
    <w:rsid w:val="006947D9"/>
    <w:rsid w:val="00694844"/>
    <w:rsid w:val="006A16DD"/>
    <w:rsid w:val="006A2587"/>
    <w:rsid w:val="006A641D"/>
    <w:rsid w:val="006B2EBD"/>
    <w:rsid w:val="006B3CFC"/>
    <w:rsid w:val="006B4AC3"/>
    <w:rsid w:val="006C0CD8"/>
    <w:rsid w:val="006C45E7"/>
    <w:rsid w:val="006C5AEE"/>
    <w:rsid w:val="006C679A"/>
    <w:rsid w:val="006D09FE"/>
    <w:rsid w:val="006D0C40"/>
    <w:rsid w:val="006D15C1"/>
    <w:rsid w:val="006D2783"/>
    <w:rsid w:val="006D4CD4"/>
    <w:rsid w:val="006D72C6"/>
    <w:rsid w:val="006D732F"/>
    <w:rsid w:val="006E110B"/>
    <w:rsid w:val="006E27DA"/>
    <w:rsid w:val="006E4597"/>
    <w:rsid w:val="006E688D"/>
    <w:rsid w:val="006F1432"/>
    <w:rsid w:val="006F618A"/>
    <w:rsid w:val="006F7964"/>
    <w:rsid w:val="007028EC"/>
    <w:rsid w:val="007035D8"/>
    <w:rsid w:val="0070703E"/>
    <w:rsid w:val="00707D22"/>
    <w:rsid w:val="007103BE"/>
    <w:rsid w:val="00711E21"/>
    <w:rsid w:val="00712832"/>
    <w:rsid w:val="00713F05"/>
    <w:rsid w:val="00715168"/>
    <w:rsid w:val="007161F8"/>
    <w:rsid w:val="0071637F"/>
    <w:rsid w:val="00716597"/>
    <w:rsid w:val="00716FED"/>
    <w:rsid w:val="00722691"/>
    <w:rsid w:val="007238E8"/>
    <w:rsid w:val="0072413F"/>
    <w:rsid w:val="00725FB9"/>
    <w:rsid w:val="00730020"/>
    <w:rsid w:val="007333AD"/>
    <w:rsid w:val="007360BF"/>
    <w:rsid w:val="00737D4D"/>
    <w:rsid w:val="007406E6"/>
    <w:rsid w:val="00746CCD"/>
    <w:rsid w:val="00747CE1"/>
    <w:rsid w:val="007517A6"/>
    <w:rsid w:val="007545C7"/>
    <w:rsid w:val="00757768"/>
    <w:rsid w:val="0076005C"/>
    <w:rsid w:val="007601A2"/>
    <w:rsid w:val="00760FA9"/>
    <w:rsid w:val="0076111D"/>
    <w:rsid w:val="007621BD"/>
    <w:rsid w:val="007635C1"/>
    <w:rsid w:val="00766B42"/>
    <w:rsid w:val="0076731D"/>
    <w:rsid w:val="00767650"/>
    <w:rsid w:val="00767A90"/>
    <w:rsid w:val="00770588"/>
    <w:rsid w:val="00770EDE"/>
    <w:rsid w:val="0078070C"/>
    <w:rsid w:val="00784541"/>
    <w:rsid w:val="00784C39"/>
    <w:rsid w:val="00787790"/>
    <w:rsid w:val="00794DF2"/>
    <w:rsid w:val="007950EE"/>
    <w:rsid w:val="007968CC"/>
    <w:rsid w:val="00796FB7"/>
    <w:rsid w:val="0079708B"/>
    <w:rsid w:val="007A4FD1"/>
    <w:rsid w:val="007B04A9"/>
    <w:rsid w:val="007B16AC"/>
    <w:rsid w:val="007B1D5C"/>
    <w:rsid w:val="007B1DDB"/>
    <w:rsid w:val="007B54E0"/>
    <w:rsid w:val="007B5D05"/>
    <w:rsid w:val="007B5D1E"/>
    <w:rsid w:val="007C2217"/>
    <w:rsid w:val="007C2E29"/>
    <w:rsid w:val="007C471C"/>
    <w:rsid w:val="007C52D3"/>
    <w:rsid w:val="007D4258"/>
    <w:rsid w:val="007E000D"/>
    <w:rsid w:val="007E175B"/>
    <w:rsid w:val="007E3F8A"/>
    <w:rsid w:val="007F3645"/>
    <w:rsid w:val="007F37A1"/>
    <w:rsid w:val="007F58DD"/>
    <w:rsid w:val="007F6791"/>
    <w:rsid w:val="00802131"/>
    <w:rsid w:val="00805E44"/>
    <w:rsid w:val="00811C26"/>
    <w:rsid w:val="00812A44"/>
    <w:rsid w:val="00820059"/>
    <w:rsid w:val="00821B96"/>
    <w:rsid w:val="008249CA"/>
    <w:rsid w:val="0082509C"/>
    <w:rsid w:val="008264EB"/>
    <w:rsid w:val="00827924"/>
    <w:rsid w:val="00830756"/>
    <w:rsid w:val="00837A90"/>
    <w:rsid w:val="0084624A"/>
    <w:rsid w:val="00853356"/>
    <w:rsid w:val="00855A49"/>
    <w:rsid w:val="00856DF5"/>
    <w:rsid w:val="00857E76"/>
    <w:rsid w:val="0086059A"/>
    <w:rsid w:val="00863417"/>
    <w:rsid w:val="00865932"/>
    <w:rsid w:val="00872059"/>
    <w:rsid w:val="00873673"/>
    <w:rsid w:val="008803A1"/>
    <w:rsid w:val="0088122A"/>
    <w:rsid w:val="008839CD"/>
    <w:rsid w:val="00892AC8"/>
    <w:rsid w:val="00897E5A"/>
    <w:rsid w:val="008A07AF"/>
    <w:rsid w:val="008A2373"/>
    <w:rsid w:val="008A4580"/>
    <w:rsid w:val="008A4AC8"/>
    <w:rsid w:val="008A4E8B"/>
    <w:rsid w:val="008A58F9"/>
    <w:rsid w:val="008B014E"/>
    <w:rsid w:val="008B2E29"/>
    <w:rsid w:val="008C1853"/>
    <w:rsid w:val="008C3B2E"/>
    <w:rsid w:val="008C51DE"/>
    <w:rsid w:val="008C6FA9"/>
    <w:rsid w:val="008D09DE"/>
    <w:rsid w:val="008D5AFD"/>
    <w:rsid w:val="008D7939"/>
    <w:rsid w:val="008E3658"/>
    <w:rsid w:val="008E59EB"/>
    <w:rsid w:val="008E5D6A"/>
    <w:rsid w:val="008F26C0"/>
    <w:rsid w:val="008F2FE4"/>
    <w:rsid w:val="008F4E74"/>
    <w:rsid w:val="00901462"/>
    <w:rsid w:val="00901D6C"/>
    <w:rsid w:val="00902A76"/>
    <w:rsid w:val="00904474"/>
    <w:rsid w:val="00904D1C"/>
    <w:rsid w:val="0091137C"/>
    <w:rsid w:val="0091384C"/>
    <w:rsid w:val="009155E8"/>
    <w:rsid w:val="0091791A"/>
    <w:rsid w:val="009213F3"/>
    <w:rsid w:val="0092204C"/>
    <w:rsid w:val="00922DEE"/>
    <w:rsid w:val="009238AA"/>
    <w:rsid w:val="009244B8"/>
    <w:rsid w:val="00925748"/>
    <w:rsid w:val="00932407"/>
    <w:rsid w:val="00933B21"/>
    <w:rsid w:val="00933EC2"/>
    <w:rsid w:val="009374DD"/>
    <w:rsid w:val="00941048"/>
    <w:rsid w:val="009424A5"/>
    <w:rsid w:val="00950089"/>
    <w:rsid w:val="00953CFB"/>
    <w:rsid w:val="0095539D"/>
    <w:rsid w:val="00957E88"/>
    <w:rsid w:val="00961B39"/>
    <w:rsid w:val="00961FBE"/>
    <w:rsid w:val="009621C7"/>
    <w:rsid w:val="00962946"/>
    <w:rsid w:val="00964277"/>
    <w:rsid w:val="0097582E"/>
    <w:rsid w:val="00977D26"/>
    <w:rsid w:val="00977E26"/>
    <w:rsid w:val="009805EC"/>
    <w:rsid w:val="00984227"/>
    <w:rsid w:val="009904EA"/>
    <w:rsid w:val="00991AF5"/>
    <w:rsid w:val="0099343F"/>
    <w:rsid w:val="00995094"/>
    <w:rsid w:val="009A007B"/>
    <w:rsid w:val="009A0425"/>
    <w:rsid w:val="009A263C"/>
    <w:rsid w:val="009B053D"/>
    <w:rsid w:val="009B3E5D"/>
    <w:rsid w:val="009B64E3"/>
    <w:rsid w:val="009C5964"/>
    <w:rsid w:val="009C672E"/>
    <w:rsid w:val="009C77A3"/>
    <w:rsid w:val="009D0B90"/>
    <w:rsid w:val="009D1A6C"/>
    <w:rsid w:val="009D3827"/>
    <w:rsid w:val="009D6852"/>
    <w:rsid w:val="009D71BD"/>
    <w:rsid w:val="009E0725"/>
    <w:rsid w:val="009E0D48"/>
    <w:rsid w:val="009E1F38"/>
    <w:rsid w:val="009E4AB3"/>
    <w:rsid w:val="009E5D18"/>
    <w:rsid w:val="009E6B78"/>
    <w:rsid w:val="009E6D37"/>
    <w:rsid w:val="009F1EC9"/>
    <w:rsid w:val="009F33F8"/>
    <w:rsid w:val="009F430A"/>
    <w:rsid w:val="009F4ACF"/>
    <w:rsid w:val="009F5557"/>
    <w:rsid w:val="009F7F37"/>
    <w:rsid w:val="00A0089C"/>
    <w:rsid w:val="00A028AC"/>
    <w:rsid w:val="00A02BFF"/>
    <w:rsid w:val="00A0554C"/>
    <w:rsid w:val="00A07420"/>
    <w:rsid w:val="00A1015B"/>
    <w:rsid w:val="00A12B60"/>
    <w:rsid w:val="00A139AB"/>
    <w:rsid w:val="00A14828"/>
    <w:rsid w:val="00A15082"/>
    <w:rsid w:val="00A16AEE"/>
    <w:rsid w:val="00A25AF1"/>
    <w:rsid w:val="00A36156"/>
    <w:rsid w:val="00A369E8"/>
    <w:rsid w:val="00A4199A"/>
    <w:rsid w:val="00A44515"/>
    <w:rsid w:val="00A4512D"/>
    <w:rsid w:val="00A541E1"/>
    <w:rsid w:val="00A54775"/>
    <w:rsid w:val="00A5502C"/>
    <w:rsid w:val="00A5694A"/>
    <w:rsid w:val="00A62B2E"/>
    <w:rsid w:val="00A65795"/>
    <w:rsid w:val="00A6672E"/>
    <w:rsid w:val="00A705AF"/>
    <w:rsid w:val="00A7126D"/>
    <w:rsid w:val="00A72DA7"/>
    <w:rsid w:val="00A73C2F"/>
    <w:rsid w:val="00A75B58"/>
    <w:rsid w:val="00A77349"/>
    <w:rsid w:val="00A81D72"/>
    <w:rsid w:val="00A931E2"/>
    <w:rsid w:val="00A93A18"/>
    <w:rsid w:val="00A964DB"/>
    <w:rsid w:val="00A96DED"/>
    <w:rsid w:val="00AA0055"/>
    <w:rsid w:val="00AA0A90"/>
    <w:rsid w:val="00AA3A3E"/>
    <w:rsid w:val="00AA603A"/>
    <w:rsid w:val="00AA6DC2"/>
    <w:rsid w:val="00AA7B58"/>
    <w:rsid w:val="00AB05F5"/>
    <w:rsid w:val="00AB0A6E"/>
    <w:rsid w:val="00AB40AB"/>
    <w:rsid w:val="00AB64E5"/>
    <w:rsid w:val="00AB67C9"/>
    <w:rsid w:val="00AB6E76"/>
    <w:rsid w:val="00AB6ED9"/>
    <w:rsid w:val="00AB6F9B"/>
    <w:rsid w:val="00AC6331"/>
    <w:rsid w:val="00AC637F"/>
    <w:rsid w:val="00AD01B4"/>
    <w:rsid w:val="00AD055C"/>
    <w:rsid w:val="00AD52A0"/>
    <w:rsid w:val="00AD5717"/>
    <w:rsid w:val="00AE05BB"/>
    <w:rsid w:val="00AE0BA6"/>
    <w:rsid w:val="00AE3267"/>
    <w:rsid w:val="00AE4196"/>
    <w:rsid w:val="00AE4293"/>
    <w:rsid w:val="00AF328F"/>
    <w:rsid w:val="00AF561B"/>
    <w:rsid w:val="00AF6154"/>
    <w:rsid w:val="00B00182"/>
    <w:rsid w:val="00B004EB"/>
    <w:rsid w:val="00B07615"/>
    <w:rsid w:val="00B163F6"/>
    <w:rsid w:val="00B17FDF"/>
    <w:rsid w:val="00B20701"/>
    <w:rsid w:val="00B213FD"/>
    <w:rsid w:val="00B2338E"/>
    <w:rsid w:val="00B24DF4"/>
    <w:rsid w:val="00B2665E"/>
    <w:rsid w:val="00B30753"/>
    <w:rsid w:val="00B328AF"/>
    <w:rsid w:val="00B32DD1"/>
    <w:rsid w:val="00B349F7"/>
    <w:rsid w:val="00B37148"/>
    <w:rsid w:val="00B3720C"/>
    <w:rsid w:val="00B37974"/>
    <w:rsid w:val="00B41409"/>
    <w:rsid w:val="00B4251C"/>
    <w:rsid w:val="00B42851"/>
    <w:rsid w:val="00B42EA6"/>
    <w:rsid w:val="00B4515D"/>
    <w:rsid w:val="00B456E0"/>
    <w:rsid w:val="00B459E9"/>
    <w:rsid w:val="00B47076"/>
    <w:rsid w:val="00B5113E"/>
    <w:rsid w:val="00B55FCC"/>
    <w:rsid w:val="00B56B37"/>
    <w:rsid w:val="00B57759"/>
    <w:rsid w:val="00B60D44"/>
    <w:rsid w:val="00B60D86"/>
    <w:rsid w:val="00B645AA"/>
    <w:rsid w:val="00B77EBB"/>
    <w:rsid w:val="00B80563"/>
    <w:rsid w:val="00B904EC"/>
    <w:rsid w:val="00B91269"/>
    <w:rsid w:val="00B91454"/>
    <w:rsid w:val="00B92007"/>
    <w:rsid w:val="00B929D9"/>
    <w:rsid w:val="00B93CD5"/>
    <w:rsid w:val="00B9432A"/>
    <w:rsid w:val="00B95A67"/>
    <w:rsid w:val="00B960CA"/>
    <w:rsid w:val="00B96A84"/>
    <w:rsid w:val="00BA0015"/>
    <w:rsid w:val="00BA2A5D"/>
    <w:rsid w:val="00BA2DE8"/>
    <w:rsid w:val="00BA4AEE"/>
    <w:rsid w:val="00BB24E1"/>
    <w:rsid w:val="00BB2D0A"/>
    <w:rsid w:val="00BB6CC2"/>
    <w:rsid w:val="00BC07E4"/>
    <w:rsid w:val="00BC4293"/>
    <w:rsid w:val="00BC4D09"/>
    <w:rsid w:val="00BC635A"/>
    <w:rsid w:val="00BD0B57"/>
    <w:rsid w:val="00BD26C0"/>
    <w:rsid w:val="00BD5F76"/>
    <w:rsid w:val="00BD649D"/>
    <w:rsid w:val="00BD741B"/>
    <w:rsid w:val="00BE0DE7"/>
    <w:rsid w:val="00BE6832"/>
    <w:rsid w:val="00BF2561"/>
    <w:rsid w:val="00BF5905"/>
    <w:rsid w:val="00BF6152"/>
    <w:rsid w:val="00C025A9"/>
    <w:rsid w:val="00C06314"/>
    <w:rsid w:val="00C10135"/>
    <w:rsid w:val="00C123DF"/>
    <w:rsid w:val="00C13512"/>
    <w:rsid w:val="00C206EE"/>
    <w:rsid w:val="00C23604"/>
    <w:rsid w:val="00C261EA"/>
    <w:rsid w:val="00C308FA"/>
    <w:rsid w:val="00C31839"/>
    <w:rsid w:val="00C31A7F"/>
    <w:rsid w:val="00C32280"/>
    <w:rsid w:val="00C33D29"/>
    <w:rsid w:val="00C3520C"/>
    <w:rsid w:val="00C35287"/>
    <w:rsid w:val="00C35DEC"/>
    <w:rsid w:val="00C35F32"/>
    <w:rsid w:val="00C436EE"/>
    <w:rsid w:val="00C477AC"/>
    <w:rsid w:val="00C51BE7"/>
    <w:rsid w:val="00C53C65"/>
    <w:rsid w:val="00C565EF"/>
    <w:rsid w:val="00C57614"/>
    <w:rsid w:val="00C618D7"/>
    <w:rsid w:val="00C624CC"/>
    <w:rsid w:val="00C63431"/>
    <w:rsid w:val="00C63C14"/>
    <w:rsid w:val="00C64AD1"/>
    <w:rsid w:val="00C64BBB"/>
    <w:rsid w:val="00C64D00"/>
    <w:rsid w:val="00C74935"/>
    <w:rsid w:val="00C7543A"/>
    <w:rsid w:val="00C84B06"/>
    <w:rsid w:val="00C85E91"/>
    <w:rsid w:val="00C8757D"/>
    <w:rsid w:val="00C911AD"/>
    <w:rsid w:val="00C91E90"/>
    <w:rsid w:val="00C929AD"/>
    <w:rsid w:val="00CA04C6"/>
    <w:rsid w:val="00CB0684"/>
    <w:rsid w:val="00CB2190"/>
    <w:rsid w:val="00CB5999"/>
    <w:rsid w:val="00CB5B1A"/>
    <w:rsid w:val="00CB733F"/>
    <w:rsid w:val="00CC36EF"/>
    <w:rsid w:val="00CC4B4F"/>
    <w:rsid w:val="00CC4B8E"/>
    <w:rsid w:val="00CC5CD8"/>
    <w:rsid w:val="00CC634C"/>
    <w:rsid w:val="00CC697B"/>
    <w:rsid w:val="00CC7207"/>
    <w:rsid w:val="00CC765D"/>
    <w:rsid w:val="00CD0080"/>
    <w:rsid w:val="00CD237C"/>
    <w:rsid w:val="00CE16CC"/>
    <w:rsid w:val="00CE1712"/>
    <w:rsid w:val="00CE3387"/>
    <w:rsid w:val="00CE3A39"/>
    <w:rsid w:val="00CE7355"/>
    <w:rsid w:val="00CF34D6"/>
    <w:rsid w:val="00CF4118"/>
    <w:rsid w:val="00CF419C"/>
    <w:rsid w:val="00CF702F"/>
    <w:rsid w:val="00D00FD1"/>
    <w:rsid w:val="00D02ED3"/>
    <w:rsid w:val="00D05CB2"/>
    <w:rsid w:val="00D07C0D"/>
    <w:rsid w:val="00D07DDF"/>
    <w:rsid w:val="00D10D90"/>
    <w:rsid w:val="00D116AD"/>
    <w:rsid w:val="00D122B6"/>
    <w:rsid w:val="00D13C42"/>
    <w:rsid w:val="00D16B25"/>
    <w:rsid w:val="00D20AD1"/>
    <w:rsid w:val="00D24922"/>
    <w:rsid w:val="00D301EA"/>
    <w:rsid w:val="00D31DC2"/>
    <w:rsid w:val="00D402E1"/>
    <w:rsid w:val="00D41AE5"/>
    <w:rsid w:val="00D429E0"/>
    <w:rsid w:val="00D42B9A"/>
    <w:rsid w:val="00D443A1"/>
    <w:rsid w:val="00D446AF"/>
    <w:rsid w:val="00D45653"/>
    <w:rsid w:val="00D469E4"/>
    <w:rsid w:val="00D4728F"/>
    <w:rsid w:val="00D505EB"/>
    <w:rsid w:val="00D50BCB"/>
    <w:rsid w:val="00D50F47"/>
    <w:rsid w:val="00D5354B"/>
    <w:rsid w:val="00D563D0"/>
    <w:rsid w:val="00D67A58"/>
    <w:rsid w:val="00D738DB"/>
    <w:rsid w:val="00D73FE2"/>
    <w:rsid w:val="00D7465B"/>
    <w:rsid w:val="00D77741"/>
    <w:rsid w:val="00D81026"/>
    <w:rsid w:val="00D812BD"/>
    <w:rsid w:val="00D84622"/>
    <w:rsid w:val="00D87CBD"/>
    <w:rsid w:val="00D926A0"/>
    <w:rsid w:val="00D9306A"/>
    <w:rsid w:val="00D944BF"/>
    <w:rsid w:val="00D96327"/>
    <w:rsid w:val="00D975CE"/>
    <w:rsid w:val="00DA5C7C"/>
    <w:rsid w:val="00DA77B0"/>
    <w:rsid w:val="00DA7E79"/>
    <w:rsid w:val="00DB07A4"/>
    <w:rsid w:val="00DB138B"/>
    <w:rsid w:val="00DB5454"/>
    <w:rsid w:val="00DB5911"/>
    <w:rsid w:val="00DC0477"/>
    <w:rsid w:val="00DC0D24"/>
    <w:rsid w:val="00DD047B"/>
    <w:rsid w:val="00DD0C85"/>
    <w:rsid w:val="00DD5D99"/>
    <w:rsid w:val="00DD6F15"/>
    <w:rsid w:val="00DE3C4E"/>
    <w:rsid w:val="00DE5442"/>
    <w:rsid w:val="00DE5D9E"/>
    <w:rsid w:val="00DE75D8"/>
    <w:rsid w:val="00DF0B12"/>
    <w:rsid w:val="00DF3751"/>
    <w:rsid w:val="00DF515C"/>
    <w:rsid w:val="00DF5695"/>
    <w:rsid w:val="00E015E6"/>
    <w:rsid w:val="00E02BEB"/>
    <w:rsid w:val="00E05B44"/>
    <w:rsid w:val="00E066B4"/>
    <w:rsid w:val="00E13C5C"/>
    <w:rsid w:val="00E209BF"/>
    <w:rsid w:val="00E2144C"/>
    <w:rsid w:val="00E236C6"/>
    <w:rsid w:val="00E3115C"/>
    <w:rsid w:val="00E345CB"/>
    <w:rsid w:val="00E34F33"/>
    <w:rsid w:val="00E35CBB"/>
    <w:rsid w:val="00E35DC5"/>
    <w:rsid w:val="00E40F95"/>
    <w:rsid w:val="00E41CF8"/>
    <w:rsid w:val="00E4269D"/>
    <w:rsid w:val="00E4312B"/>
    <w:rsid w:val="00E47B8F"/>
    <w:rsid w:val="00E5143B"/>
    <w:rsid w:val="00E5222C"/>
    <w:rsid w:val="00E57576"/>
    <w:rsid w:val="00E604B3"/>
    <w:rsid w:val="00E60650"/>
    <w:rsid w:val="00E60EE1"/>
    <w:rsid w:val="00E6109E"/>
    <w:rsid w:val="00E708F6"/>
    <w:rsid w:val="00E716B4"/>
    <w:rsid w:val="00E7210E"/>
    <w:rsid w:val="00E7512B"/>
    <w:rsid w:val="00E76A7B"/>
    <w:rsid w:val="00E86B67"/>
    <w:rsid w:val="00E9314D"/>
    <w:rsid w:val="00E957BE"/>
    <w:rsid w:val="00E95DFC"/>
    <w:rsid w:val="00EA33D5"/>
    <w:rsid w:val="00EA5C37"/>
    <w:rsid w:val="00EA5E02"/>
    <w:rsid w:val="00EA5FD0"/>
    <w:rsid w:val="00EA63B1"/>
    <w:rsid w:val="00EB0020"/>
    <w:rsid w:val="00EB3985"/>
    <w:rsid w:val="00EC7D3F"/>
    <w:rsid w:val="00ED0468"/>
    <w:rsid w:val="00ED0DD3"/>
    <w:rsid w:val="00ED60E2"/>
    <w:rsid w:val="00ED648B"/>
    <w:rsid w:val="00EE16DD"/>
    <w:rsid w:val="00EE2AE5"/>
    <w:rsid w:val="00EE31B0"/>
    <w:rsid w:val="00EE356F"/>
    <w:rsid w:val="00EE397E"/>
    <w:rsid w:val="00EE552C"/>
    <w:rsid w:val="00EE65B1"/>
    <w:rsid w:val="00EF1C55"/>
    <w:rsid w:val="00EF1C95"/>
    <w:rsid w:val="00EF23C0"/>
    <w:rsid w:val="00EF2774"/>
    <w:rsid w:val="00EF4059"/>
    <w:rsid w:val="00EF5586"/>
    <w:rsid w:val="00F00403"/>
    <w:rsid w:val="00F067A6"/>
    <w:rsid w:val="00F078B7"/>
    <w:rsid w:val="00F07B77"/>
    <w:rsid w:val="00F100D6"/>
    <w:rsid w:val="00F1278D"/>
    <w:rsid w:val="00F14BFD"/>
    <w:rsid w:val="00F17566"/>
    <w:rsid w:val="00F20F84"/>
    <w:rsid w:val="00F238F2"/>
    <w:rsid w:val="00F313EB"/>
    <w:rsid w:val="00F332B3"/>
    <w:rsid w:val="00F34D63"/>
    <w:rsid w:val="00F35F7A"/>
    <w:rsid w:val="00F41C35"/>
    <w:rsid w:val="00F4438C"/>
    <w:rsid w:val="00F46ED7"/>
    <w:rsid w:val="00F534AA"/>
    <w:rsid w:val="00F549D7"/>
    <w:rsid w:val="00F556DB"/>
    <w:rsid w:val="00F55CE2"/>
    <w:rsid w:val="00F560D5"/>
    <w:rsid w:val="00F56325"/>
    <w:rsid w:val="00F7387D"/>
    <w:rsid w:val="00F73D95"/>
    <w:rsid w:val="00F7441E"/>
    <w:rsid w:val="00F77044"/>
    <w:rsid w:val="00F776F9"/>
    <w:rsid w:val="00F8015E"/>
    <w:rsid w:val="00F83598"/>
    <w:rsid w:val="00F85766"/>
    <w:rsid w:val="00F866FA"/>
    <w:rsid w:val="00F87AD4"/>
    <w:rsid w:val="00F91869"/>
    <w:rsid w:val="00F91CCA"/>
    <w:rsid w:val="00F931D3"/>
    <w:rsid w:val="00F9524F"/>
    <w:rsid w:val="00F95769"/>
    <w:rsid w:val="00FA289A"/>
    <w:rsid w:val="00FA3C5E"/>
    <w:rsid w:val="00FA4197"/>
    <w:rsid w:val="00FA60F1"/>
    <w:rsid w:val="00FA73FF"/>
    <w:rsid w:val="00FB2C31"/>
    <w:rsid w:val="00FB375B"/>
    <w:rsid w:val="00FB6425"/>
    <w:rsid w:val="00FB722E"/>
    <w:rsid w:val="00FC3BB9"/>
    <w:rsid w:val="00FC7F5D"/>
    <w:rsid w:val="00FD1BC7"/>
    <w:rsid w:val="00FD1D84"/>
    <w:rsid w:val="00FD4E9C"/>
    <w:rsid w:val="00FD50A4"/>
    <w:rsid w:val="00FD744A"/>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B121DC"/>
  <w15:docId w15:val="{84EBAF05-9354-D04A-80C9-B8BD252E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99" w:qFormat="1"/>
    <w:lsdException w:name="heading 2" w:locked="0" w:uiPriority="99" w:qFormat="1"/>
    <w:lsdException w:name="heading 3" w:locked="0" w:semiHidden="1" w:uiPriority="99"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semiHidden="1" w:uiPriority="0" w:unhideWhenUsed="1"/>
    <w:lsdException w:name="header" w:semiHidden="1" w:uiPriority="99"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99"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22"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style>
  <w:style w:type="paragraph" w:styleId="Heading1">
    <w:name w:val="heading 1"/>
    <w:basedOn w:val="Normal"/>
    <w:next w:val="Normal"/>
    <w:link w:val="Heading1Char"/>
    <w:uiPriority w:val="99"/>
    <w:qFormat/>
    <w:rsid w:val="00D02ED3"/>
    <w:pPr>
      <w:keepNext/>
      <w:keepLines/>
      <w:pageBreakBefore/>
      <w:spacing w:before="0" w:after="400"/>
      <w:outlineLvl w:val="0"/>
    </w:pPr>
    <w:rPr>
      <w:rFonts w:ascii="Arial" w:hAnsi="Arial" w:cs="Arial"/>
      <w:b/>
      <w:bCs/>
      <w:color w:val="005370" w:themeColor="text2"/>
      <w:kern w:val="32"/>
      <w:sz w:val="44"/>
      <w:szCs w:val="32"/>
    </w:rPr>
  </w:style>
  <w:style w:type="paragraph" w:styleId="Heading2">
    <w:name w:val="heading 2"/>
    <w:basedOn w:val="Heading1"/>
    <w:next w:val="Normal"/>
    <w:link w:val="Heading2Char"/>
    <w:uiPriority w:val="99"/>
    <w:qFormat/>
    <w:rsid w:val="00D02ED3"/>
    <w:pPr>
      <w:pageBreakBefore w:val="0"/>
      <w:spacing w:before="300" w:after="240"/>
      <w:outlineLvl w:val="1"/>
    </w:pPr>
    <w:rPr>
      <w:bCs w:val="0"/>
      <w:iCs/>
      <w:sz w:val="32"/>
      <w:szCs w:val="28"/>
    </w:rPr>
  </w:style>
  <w:style w:type="paragraph" w:styleId="Heading3">
    <w:name w:val="heading 3"/>
    <w:basedOn w:val="Heading2"/>
    <w:next w:val="Normal"/>
    <w:link w:val="Heading3Char"/>
    <w:uiPriority w:val="99"/>
    <w:qFormat/>
    <w:rsid w:val="00A81D72"/>
    <w:pPr>
      <w:spacing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2A5442"/>
    <w:pPr>
      <w:keepNext/>
      <w:spacing w:before="240"/>
      <w:outlineLvl w:val="4"/>
    </w:pPr>
    <w:rPr>
      <w:b/>
      <w:bCs/>
      <w:iCs/>
      <w:color w:val="000000" w:themeColor="text1"/>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asciiTheme="majorHAnsi" w:eastAsiaTheme="majorEastAsia" w:hAnsiTheme="majorHAnsi" w:cs="Times New Roman (Headings CS)"/>
      <w:b/>
      <w:iCs/>
      <w:color w:val="1178A0" w:themeColor="background2"/>
      <w:sz w:val="40"/>
    </w:rPr>
  </w:style>
  <w:style w:type="character" w:customStyle="1" w:styleId="SubtitleChar">
    <w:name w:val="Subtitle Char"/>
    <w:basedOn w:val="DefaultParagraphFont"/>
    <w:link w:val="Subtitle"/>
    <w:uiPriority w:val="98"/>
    <w:rsid w:val="00F866FA"/>
    <w:rPr>
      <w:rFonts w:asciiTheme="majorHAnsi" w:eastAsiaTheme="majorEastAsia" w:hAnsiTheme="majorHAnsi" w:cs="Times New Roman (Headings CS)"/>
      <w:b/>
      <w:iCs/>
      <w:color w:val="1178A0" w:themeColor="background2"/>
      <w:sz w:val="40"/>
    </w:rPr>
  </w:style>
  <w:style w:type="paragraph" w:styleId="Title">
    <w:name w:val="Title"/>
    <w:basedOn w:val="Normal"/>
    <w:next w:val="Normal"/>
    <w:link w:val="TitleChar"/>
    <w:uiPriority w:val="10"/>
    <w:qFormat/>
    <w:rsid w:val="00D926A0"/>
    <w:pPr>
      <w:spacing w:before="1080" w:after="0"/>
      <w:ind w:right="2268"/>
      <w:contextualSpacing/>
    </w:pPr>
    <w:rPr>
      <w:rFonts w:ascii="Arial" w:eastAsiaTheme="majorEastAsia" w:hAnsi="Arial" w:cs="Arial"/>
      <w:b/>
      <w:color w:val="FFFFFF" w:themeColor="background1"/>
      <w:spacing w:val="-6"/>
      <w:kern w:val="28"/>
      <w:sz w:val="64"/>
      <w:szCs w:val="64"/>
      <w:lang w:val="en-GB"/>
    </w:rPr>
  </w:style>
  <w:style w:type="character" w:customStyle="1" w:styleId="TitleChar">
    <w:name w:val="Title Char"/>
    <w:basedOn w:val="DefaultParagraphFont"/>
    <w:link w:val="Title"/>
    <w:uiPriority w:val="10"/>
    <w:rsid w:val="00D926A0"/>
    <w:rPr>
      <w:rFonts w:ascii="Arial" w:eastAsiaTheme="majorEastAsia" w:hAnsi="Arial" w:cs="Arial"/>
      <w:b/>
      <w:color w:val="FFFFFF" w:themeColor="background1"/>
      <w:spacing w:val="-6"/>
      <w:kern w:val="28"/>
      <w:sz w:val="64"/>
      <w:szCs w:val="64"/>
      <w:lang w:val="en-GB"/>
    </w:rPr>
  </w:style>
  <w:style w:type="paragraph" w:customStyle="1" w:styleId="PulloutTextHead">
    <w:name w:val="Pullout Text Head"/>
    <w:basedOn w:val="Heading3"/>
    <w:qFormat/>
    <w:rsid w:val="00036AB8"/>
    <w:pPr>
      <w:pBdr>
        <w:left w:val="single" w:sz="48" w:space="8" w:color="1178A0" w:themeColor="background2"/>
      </w:pBdr>
      <w:spacing w:before="180" w:after="120"/>
      <w:ind w:left="284"/>
    </w:pPr>
    <w:rPr>
      <w:caps/>
      <w:sz w:val="22"/>
      <w:lang w:val="en-GB"/>
    </w:rPr>
  </w:style>
  <w:style w:type="paragraph" w:styleId="TOC1">
    <w:name w:val="toc 1"/>
    <w:basedOn w:val="Normal"/>
    <w:next w:val="Normal"/>
    <w:autoRedefine/>
    <w:uiPriority w:val="39"/>
    <w:qFormat/>
    <w:rsid w:val="00DA5C7C"/>
    <w:pPr>
      <w:tabs>
        <w:tab w:val="right" w:leader="dot" w:pos="9638"/>
      </w:tabs>
      <w:spacing w:after="80"/>
    </w:pPr>
    <w:rPr>
      <w:rFonts w:cstheme="minorHAnsi"/>
      <w:b/>
      <w:bCs/>
      <w:noProof/>
      <w:color w:val="005370" w:themeColor="text2"/>
      <w:sz w:val="24"/>
      <w:szCs w:val="20"/>
    </w:rPr>
  </w:style>
  <w:style w:type="paragraph" w:styleId="TOC2">
    <w:name w:val="toc 2"/>
    <w:basedOn w:val="Normal"/>
    <w:next w:val="Normal"/>
    <w:autoRedefine/>
    <w:uiPriority w:val="39"/>
    <w:qFormat/>
    <w:rsid w:val="00CD0080"/>
    <w:pPr>
      <w:tabs>
        <w:tab w:val="right" w:leader="dot" w:pos="9638"/>
      </w:tabs>
      <w:spacing w:before="60" w:after="60"/>
      <w:ind w:left="221"/>
    </w:pPr>
    <w:rPr>
      <w:rFonts w:cstheme="minorHAnsi"/>
      <w:noProof/>
      <w:szCs w:val="20"/>
    </w:rPr>
  </w:style>
  <w:style w:type="paragraph" w:styleId="TOC3">
    <w:name w:val="toc 3"/>
    <w:basedOn w:val="Normal"/>
    <w:next w:val="Normal"/>
    <w:autoRedefine/>
    <w:uiPriority w:val="39"/>
    <w:qFormat/>
    <w:rsid w:val="00CD0080"/>
    <w:pPr>
      <w:tabs>
        <w:tab w:val="right" w:leader="dot" w:pos="9638"/>
      </w:tabs>
      <w:spacing w:before="60" w:after="60"/>
      <w:ind w:left="442"/>
    </w:pPr>
    <w:rPr>
      <w:rFonts w:cs="Arial (Body)"/>
      <w:iCs/>
      <w:noProof/>
      <w:szCs w:val="20"/>
    </w:rPr>
  </w:style>
  <w:style w:type="paragraph" w:customStyle="1" w:styleId="FigureTableTitle">
    <w:name w:val="Figure/Table Title"/>
    <w:basedOn w:val="Heading3"/>
    <w:uiPriority w:val="99"/>
    <w:qFormat/>
    <w:rsid w:val="00E47B8F"/>
    <w:pPr>
      <w:contextualSpacing/>
    </w:pPr>
    <w:rPr>
      <w:bCs w:val="0"/>
      <w:color w:val="000000" w:themeColor="text1"/>
      <w:sz w:val="22"/>
      <w:szCs w:val="22"/>
    </w:rPr>
  </w:style>
  <w:style w:type="paragraph" w:styleId="FootnoteText">
    <w:name w:val="footnote text"/>
    <w:basedOn w:val="Normal"/>
    <w:link w:val="FootnoteTextChar"/>
    <w:uiPriority w:val="99"/>
    <w:rsid w:val="003F5B62"/>
    <w:pPr>
      <w:spacing w:before="0" w:after="20"/>
      <w:ind w:left="142" w:hanging="142"/>
    </w:pPr>
    <w:rPr>
      <w:sz w:val="18"/>
      <w:szCs w:val="20"/>
    </w:rPr>
  </w:style>
  <w:style w:type="character" w:customStyle="1" w:styleId="FootnoteTextChar">
    <w:name w:val="Footnote Text Char"/>
    <w:basedOn w:val="DefaultParagraphFont"/>
    <w:link w:val="FootnoteText"/>
    <w:uiPriority w:val="99"/>
    <w:rsid w:val="003F5B62"/>
    <w:rPr>
      <w:sz w:val="18"/>
      <w:szCs w:val="20"/>
    </w:rPr>
  </w:style>
  <w:style w:type="character" w:styleId="FootnoteReference">
    <w:name w:val="footnote reference"/>
    <w:basedOn w:val="DefaultParagraphFont"/>
    <w:uiPriority w:val="99"/>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000000" w:themeColor="text1"/>
        <w:sz w:val="20"/>
      </w:rPr>
      <w:tblPr/>
      <w:tcPr>
        <w:shd w:val="clear" w:color="auto" w:fill="E6F1F8" w:themeFill="accent2"/>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iPriority w:val="99"/>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9"/>
    <w:rsid w:val="00555D6E"/>
  </w:style>
  <w:style w:type="character" w:styleId="Hyperlink">
    <w:name w:val="Hyperlink"/>
    <w:basedOn w:val="DefaultParagraphFont"/>
    <w:uiPriority w:val="99"/>
    <w:rsid w:val="00307F4B"/>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6E110B"/>
    <w:pPr>
      <w:spacing w:before="480" w:after="0"/>
    </w:pPr>
    <w:rPr>
      <w:color w:val="005370" w:themeColor="text2"/>
      <w:sz w:val="32"/>
      <w:szCs w:val="40"/>
    </w:rPr>
  </w:style>
  <w:style w:type="character" w:customStyle="1" w:styleId="PublicationDateChar">
    <w:name w:val="Publication Date Char"/>
    <w:basedOn w:val="DefaultParagraphFont"/>
    <w:link w:val="PublicationDate"/>
    <w:uiPriority w:val="99"/>
    <w:rsid w:val="006E110B"/>
    <w:rPr>
      <w:color w:val="005370" w:themeColor="text2"/>
      <w:sz w:val="32"/>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RECBanded">
    <w:name w:val="REC Banded"/>
    <w:basedOn w:val="TableNormal"/>
    <w:uiPriority w:val="99"/>
    <w:rsid w:val="00430AD0"/>
    <w:pPr>
      <w:spacing w:after="0"/>
    </w:pPr>
    <w:rPr>
      <w:sz w:val="20"/>
    </w:rPr>
    <w:tblPr>
      <w:tblStyleRowBandSize w:val="1"/>
      <w:tblStyleColBandSize w:val="1"/>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
    <w:tblStylePr w:type="firstRow">
      <w:pPr>
        <w:keepLines/>
        <w:pageBreakBefore w:val="0"/>
        <w:wordWrap/>
        <w:spacing w:line="240" w:lineRule="auto"/>
        <w:jc w:val="left"/>
      </w:pPr>
      <w:rPr>
        <w:b/>
        <w:color w:val="404040" w:themeColor="text1" w:themeTint="BF"/>
      </w:rPr>
      <w:tblPr/>
      <w:trPr>
        <w:cantSplit/>
        <w:tblHeader/>
      </w:trPr>
      <w:tcPr>
        <w:shd w:val="clear" w:color="auto" w:fill="F2F2F2" w:themeFill="background1" w:themeFillShade="F2"/>
        <w:vAlign w:val="bottom"/>
      </w:tcPr>
    </w:tblStylePr>
    <w:tblStylePr w:type="band1Horz">
      <w:tblPr/>
      <w:tcPr>
        <w:shd w:val="clear" w:color="auto" w:fill="FFFCEA"/>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737D4D"/>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000000" w:themeColor="text1"/>
      </w:rPr>
      <w:tblPr/>
      <w:tcPr>
        <w:shd w:val="clear" w:color="auto" w:fill="E6F1F8" w:themeFill="accent2"/>
      </w:tcPr>
    </w:tblStylePr>
    <w:tblStylePr w:type="band2Horz">
      <w:tblPr/>
      <w:tcPr>
        <w:shd w:val="clear" w:color="auto" w:fill="F2F2F2" w:themeFill="background1" w:themeFillShade="F2"/>
      </w:tcPr>
    </w:tblStylePr>
  </w:style>
  <w:style w:type="paragraph" w:customStyle="1" w:styleId="PulloutBoxHeading">
    <w:name w:val="Pullout Box Heading"/>
    <w:basedOn w:val="Heading3"/>
    <w:qFormat/>
    <w:rsid w:val="00036AB8"/>
    <w:pPr>
      <w:spacing w:before="120" w:after="60"/>
    </w:pPr>
  </w:style>
  <w:style w:type="table" w:customStyle="1" w:styleId="PulloutBox">
    <w:name w:val="Pullout Box"/>
    <w:basedOn w:val="TableNormal"/>
    <w:uiPriority w:val="99"/>
    <w:rsid w:val="00F866FA"/>
    <w:pPr>
      <w:spacing w:after="0"/>
    </w:pPr>
    <w:tblPr>
      <w:tblCellMar>
        <w:top w:w="284" w:type="dxa"/>
        <w:left w:w="284" w:type="dxa"/>
        <w:bottom w:w="284" w:type="dxa"/>
        <w:right w:w="284" w:type="dxa"/>
      </w:tblCellMar>
    </w:tblPr>
    <w:tcPr>
      <w:shd w:val="clear" w:color="auto" w:fill="E6F1F8" w:themeFill="accent2"/>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533133"/>
    <w:rPr>
      <w:bCs/>
      <w:color w:val="000000" w:themeColor="text1"/>
      <w:sz w:val="22"/>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503E52"/>
    <w:pPr>
      <w:pBdr>
        <w:left w:val="single" w:sz="48" w:space="8" w:color="1178A0" w:themeColor="background2"/>
      </w:pBdr>
      <w:spacing w:before="180" w:after="0"/>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Heading1a">
    <w:name w:val="Heading 1a"/>
    <w:basedOn w:val="Heading1"/>
    <w:next w:val="Normal"/>
    <w:rsid w:val="008C1853"/>
    <w:pPr>
      <w:spacing w:after="480"/>
      <w:outlineLvl w:val="9"/>
    </w:pPr>
    <w:rPr>
      <w:color w:val="0B6080"/>
    </w:rPr>
  </w:style>
  <w:style w:type="paragraph" w:customStyle="1" w:styleId="ImprintText">
    <w:name w:val="ImprintText"/>
    <w:basedOn w:val="Normal"/>
    <w:rsid w:val="000F6B39"/>
    <w:pPr>
      <w:spacing w:before="0"/>
    </w:pPr>
    <w:rPr>
      <w:rFonts w:ascii="Arial" w:hAnsi="Arial"/>
      <w:color w:val="000000"/>
      <w:szCs w:val="20"/>
    </w:rPr>
  </w:style>
  <w:style w:type="character" w:customStyle="1" w:styleId="DraftingNotesChar">
    <w:name w:val="DraftingNotesChar"/>
    <w:basedOn w:val="DefaultParagraphFont"/>
    <w:uiPriority w:val="1"/>
    <w:rsid w:val="000F6B39"/>
    <w:rPr>
      <w:rFonts w:ascii="Arial" w:hAnsi="Arial"/>
      <w:noProof/>
      <w:color w:val="FF40FF"/>
      <w:sz w:val="22"/>
    </w:rPr>
  </w:style>
  <w:style w:type="paragraph" w:customStyle="1" w:styleId="DraftingNotes">
    <w:name w:val="DraftingNotes"/>
    <w:basedOn w:val="Normal"/>
    <w:rsid w:val="008C1853"/>
    <w:pPr>
      <w:spacing w:before="0" w:after="240"/>
    </w:pPr>
    <w:rPr>
      <w:rFonts w:ascii="Arial" w:hAnsi="Arial"/>
      <w:b/>
      <w:color w:val="FF40FF"/>
      <w:szCs w:val="20"/>
    </w:rPr>
  </w:style>
  <w:style w:type="paragraph" w:customStyle="1" w:styleId="Backpagelogoholder">
    <w:name w:val="Back page logo holder"/>
    <w:basedOn w:val="Normal"/>
    <w:qFormat/>
    <w:rsid w:val="000E15DA"/>
    <w:pPr>
      <w:keepLines/>
      <w:spacing w:before="10920" w:after="240"/>
      <w:ind w:hanging="142"/>
    </w:pPr>
    <w:rPr>
      <w:rFonts w:eastAsiaTheme="majorEastAsia"/>
      <w:noProof/>
    </w:rPr>
  </w:style>
  <w:style w:type="character" w:styleId="LineNumber">
    <w:name w:val="line number"/>
    <w:basedOn w:val="DefaultParagraphFont"/>
    <w:uiPriority w:val="98"/>
    <w:semiHidden/>
    <w:unhideWhenUsed/>
    <w:locked/>
    <w:rsid w:val="006C45E7"/>
  </w:style>
  <w:style w:type="paragraph" w:customStyle="1" w:styleId="SandQwebaddress">
    <w:name w:val="S and Q web address"/>
    <w:basedOn w:val="Normal"/>
    <w:qFormat/>
    <w:rsid w:val="00262327"/>
    <w:pPr>
      <w:spacing w:before="480" w:after="60"/>
    </w:pPr>
  </w:style>
  <w:style w:type="paragraph" w:customStyle="1" w:styleId="CoverPreTitle">
    <w:name w:val="Cover Pre Title"/>
    <w:basedOn w:val="Title"/>
    <w:qFormat/>
    <w:rsid w:val="000406C8"/>
    <w:pPr>
      <w:spacing w:before="10200"/>
    </w:pPr>
    <w:rPr>
      <w:b w:val="0"/>
      <w:sz w:val="40"/>
    </w:rPr>
  </w:style>
  <w:style w:type="paragraph" w:customStyle="1" w:styleId="Figuretitle">
    <w:name w:val="Figure title"/>
    <w:basedOn w:val="Normal"/>
    <w:link w:val="FiguretitleChar"/>
    <w:qFormat/>
    <w:rsid w:val="00DA77B0"/>
    <w:pPr>
      <w:keepLines/>
      <w:contextualSpacing/>
    </w:pPr>
    <w:rPr>
      <w:rFonts w:ascii="Arial" w:hAnsi="Arial"/>
      <w:b/>
      <w:bCs/>
      <w:i/>
      <w:iCs/>
      <w:sz w:val="18"/>
    </w:rPr>
  </w:style>
  <w:style w:type="character" w:customStyle="1" w:styleId="FiguretitleChar">
    <w:name w:val="Figure title Char"/>
    <w:basedOn w:val="DefaultParagraphFont"/>
    <w:link w:val="Figuretitle"/>
    <w:rsid w:val="00DA77B0"/>
    <w:rPr>
      <w:rFonts w:ascii="Arial" w:hAnsi="Arial"/>
      <w:b/>
      <w:bCs/>
      <w:i/>
      <w:iCs/>
      <w:sz w:val="18"/>
    </w:rPr>
  </w:style>
  <w:style w:type="paragraph" w:styleId="Date">
    <w:name w:val="Date"/>
    <w:basedOn w:val="Normal"/>
    <w:next w:val="Normal"/>
    <w:link w:val="DateChar"/>
    <w:uiPriority w:val="98"/>
    <w:unhideWhenUsed/>
    <w:locked/>
    <w:rsid w:val="00D926A0"/>
    <w:pPr>
      <w:spacing w:before="600"/>
    </w:pPr>
    <w:rPr>
      <w:color w:val="FFFFFF" w:themeColor="background1"/>
      <w:sz w:val="32"/>
      <w:szCs w:val="32"/>
    </w:rPr>
  </w:style>
  <w:style w:type="character" w:customStyle="1" w:styleId="DateChar">
    <w:name w:val="Date Char"/>
    <w:basedOn w:val="DefaultParagraphFont"/>
    <w:link w:val="Date"/>
    <w:uiPriority w:val="98"/>
    <w:rsid w:val="00D926A0"/>
    <w:rPr>
      <w:color w:val="FFFFFF" w:themeColor="background1"/>
      <w:sz w:val="32"/>
      <w:szCs w:val="32"/>
    </w:rPr>
  </w:style>
  <w:style w:type="paragraph" w:customStyle="1" w:styleId="NoParagraphStyle">
    <w:name w:val="[No Paragraph Style]"/>
    <w:rsid w:val="009621C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en-GB"/>
      <w14:ligatures w14:val="standardContextual"/>
    </w:rPr>
  </w:style>
  <w:style w:type="character" w:customStyle="1" w:styleId="Heading1Char">
    <w:name w:val="Heading 1 Char"/>
    <w:basedOn w:val="DefaultParagraphFont"/>
    <w:link w:val="Heading1"/>
    <w:uiPriority w:val="99"/>
    <w:rsid w:val="00D02ED3"/>
    <w:rPr>
      <w:rFonts w:ascii="Arial" w:hAnsi="Arial" w:cs="Arial"/>
      <w:b/>
      <w:bCs/>
      <w:color w:val="005370" w:themeColor="text2"/>
      <w:kern w:val="32"/>
      <w:sz w:val="44"/>
      <w:szCs w:val="32"/>
    </w:rPr>
  </w:style>
  <w:style w:type="paragraph" w:customStyle="1" w:styleId="BaseStyleOpenSans">
    <w:name w:val="BaseStyleOpenSans"/>
    <w:basedOn w:val="NoParagraphStyle"/>
    <w:uiPriority w:val="99"/>
    <w:rsid w:val="009621C7"/>
    <w:pPr>
      <w:suppressAutoHyphens/>
      <w:spacing w:line="250" w:lineRule="atLeast"/>
    </w:pPr>
    <w:rPr>
      <w:rFonts w:ascii="Open Sans" w:hAnsi="Open Sans" w:cs="Open Sans"/>
      <w:sz w:val="19"/>
      <w:szCs w:val="19"/>
    </w:rPr>
  </w:style>
  <w:style w:type="paragraph" w:customStyle="1" w:styleId="PulloutNormalPullouts">
    <w:name w:val="Pullout Normal (Pullouts)"/>
    <w:basedOn w:val="BaseStyleOpenSans"/>
    <w:uiPriority w:val="99"/>
    <w:rsid w:val="009621C7"/>
    <w:pPr>
      <w:spacing w:after="170" w:line="280" w:lineRule="atLeast"/>
      <w:ind w:left="340"/>
    </w:pPr>
    <w:rPr>
      <w:rFonts w:ascii="Gotham Medium" w:hAnsi="Gotham Medium" w:cs="Gotham Medium"/>
      <w:sz w:val="20"/>
      <w:szCs w:val="20"/>
    </w:rPr>
  </w:style>
  <w:style w:type="character" w:customStyle="1" w:styleId="Heading2Char">
    <w:name w:val="Heading 2 Char"/>
    <w:basedOn w:val="DefaultParagraphFont"/>
    <w:link w:val="Heading2"/>
    <w:uiPriority w:val="99"/>
    <w:rsid w:val="00D02ED3"/>
    <w:rPr>
      <w:rFonts w:ascii="Arial" w:hAnsi="Arial" w:cs="Arial"/>
      <w:b/>
      <w:iCs/>
      <w:color w:val="005370" w:themeColor="text2"/>
      <w:kern w:val="32"/>
      <w:sz w:val="32"/>
      <w:szCs w:val="28"/>
    </w:rPr>
  </w:style>
  <w:style w:type="paragraph" w:customStyle="1" w:styleId="BPPSubheadingExecSumm1RECBody">
    <w:name w:val="BPP Subheading (Exec Summ) 1 • (REC Body)"/>
    <w:basedOn w:val="Heading2"/>
    <w:uiPriority w:val="99"/>
    <w:rsid w:val="009621C7"/>
    <w:pPr>
      <w:widowControl w:val="0"/>
      <w:shd w:val="clear" w:color="auto" w:fill="3DF400"/>
      <w:autoSpaceDE w:val="0"/>
      <w:autoSpaceDN w:val="0"/>
      <w:adjustRightInd w:val="0"/>
      <w:spacing w:before="113" w:after="198" w:line="280" w:lineRule="atLeast"/>
      <w:ind w:left="227" w:right="113"/>
      <w:textAlignment w:val="center"/>
      <w:outlineLvl w:val="9"/>
    </w:pPr>
    <w:rPr>
      <w:rFonts w:eastAsiaTheme="minorEastAsia"/>
      <w:b w:val="0"/>
      <w:iCs w:val="0"/>
      <w:color w:val="007505"/>
      <w:kern w:val="0"/>
      <w:sz w:val="21"/>
      <w:szCs w:val="21"/>
      <w:lang w:val="en-US" w:eastAsia="en-GB"/>
      <w14:ligatures w14:val="standardContextual"/>
    </w:rPr>
  </w:style>
  <w:style w:type="paragraph" w:customStyle="1" w:styleId="BPPSubheadingExecSumm2RECBody">
    <w:name w:val="BPP Subheading (Exec Summ) 2 (REC Body)"/>
    <w:basedOn w:val="BPPSubheadingExecSumm1RECBody"/>
    <w:uiPriority w:val="99"/>
    <w:rsid w:val="009621C7"/>
    <w:pPr>
      <w:shd w:val="clear" w:color="auto" w:fill="FCF7B2"/>
    </w:pPr>
  </w:style>
  <w:style w:type="character" w:customStyle="1" w:styleId="Heading3Char">
    <w:name w:val="Heading 3 Char"/>
    <w:basedOn w:val="DefaultParagraphFont"/>
    <w:link w:val="Heading3"/>
    <w:uiPriority w:val="99"/>
    <w:rsid w:val="009621C7"/>
    <w:rPr>
      <w:rFonts w:cs="Arial"/>
      <w:b/>
      <w:bCs/>
      <w:iCs/>
      <w:color w:val="005370" w:themeColor="text2"/>
      <w:kern w:val="28"/>
      <w:sz w:val="28"/>
      <w:szCs w:val="26"/>
    </w:rPr>
  </w:style>
  <w:style w:type="paragraph" w:customStyle="1" w:styleId="03tableheader">
    <w:name w:val="03_table header"/>
    <w:basedOn w:val="NoParagraphStyle"/>
    <w:uiPriority w:val="99"/>
    <w:rsid w:val="009621C7"/>
    <w:pPr>
      <w:tabs>
        <w:tab w:val="left" w:pos="283"/>
        <w:tab w:val="left" w:pos="1417"/>
        <w:tab w:val="left" w:pos="1701"/>
        <w:tab w:val="left" w:pos="1984"/>
        <w:tab w:val="left" w:pos="2268"/>
      </w:tabs>
      <w:suppressAutoHyphens/>
      <w:spacing w:after="170" w:line="260" w:lineRule="atLeast"/>
    </w:pPr>
    <w:rPr>
      <w:rFonts w:ascii="Gotham Medium" w:hAnsi="Gotham Medium" w:cs="Gotham Medium"/>
      <w:color w:val="000C16"/>
      <w:sz w:val="20"/>
      <w:szCs w:val="20"/>
    </w:rPr>
  </w:style>
  <w:style w:type="character" w:customStyle="1" w:styleId="DesignerNotes">
    <w:name w:val="Designer Notes"/>
    <w:uiPriority w:val="99"/>
    <w:rsid w:val="009621C7"/>
    <w:rPr>
      <w:color w:val="E500FF"/>
      <w:u w:val="thick" w:color="FFFF00"/>
    </w:rPr>
  </w:style>
  <w:style w:type="character" w:customStyle="1" w:styleId="StrongBold">
    <w:name w:val="Strong Bold"/>
    <w:uiPriority w:val="99"/>
    <w:rsid w:val="009621C7"/>
    <w:rPr>
      <w:rFonts w:ascii="Open Sans" w:hAnsi="Open Sans" w:cs="Open Sans"/>
      <w:b/>
      <w:bCs/>
    </w:rPr>
  </w:style>
  <w:style w:type="character" w:customStyle="1" w:styleId="Cross-reference">
    <w:name w:val="Cross-reference"/>
    <w:basedOn w:val="Hyperlink"/>
    <w:uiPriority w:val="1"/>
    <w:qFormat/>
    <w:rsid w:val="00D45653"/>
    <w:rPr>
      <w:color w:val="1178A0" w:themeColor="background2"/>
      <w:u w:val="single"/>
    </w:rPr>
  </w:style>
  <w:style w:type="character" w:customStyle="1" w:styleId="StrongBoldBlue">
    <w:name w:val="Strong Bold Blue"/>
    <w:basedOn w:val="DefaultParagraphFont"/>
    <w:uiPriority w:val="99"/>
    <w:rsid w:val="00057D6C"/>
    <w:rPr>
      <w:rFonts w:asciiTheme="minorHAnsi" w:hAnsiTheme="minorHAnsi" w:cs="Gotham Bold"/>
      <w:b/>
      <w:bCs/>
      <w:color w:val="005370" w:themeColor="text2"/>
    </w:rPr>
  </w:style>
  <w:style w:type="character" w:customStyle="1" w:styleId="HyperlinkBold">
    <w:name w:val="Hyperlink Bold"/>
    <w:basedOn w:val="Hyperlink"/>
    <w:uiPriority w:val="99"/>
    <w:rsid w:val="00AE4196"/>
    <w:rPr>
      <w:rFonts w:asciiTheme="minorHAnsi" w:hAnsiTheme="minorHAnsi" w:cs="Gotham Bold"/>
      <w:b/>
      <w:bCs/>
      <w:i w:val="0"/>
      <w:color w:val="005370" w:themeColor="text2"/>
      <w:u w:val="single"/>
    </w:rPr>
  </w:style>
  <w:style w:type="character" w:customStyle="1" w:styleId="Hyperlinkitalics">
    <w:name w:val="Hyperlink (italics)"/>
    <w:basedOn w:val="Hyperlink"/>
    <w:uiPriority w:val="99"/>
    <w:rsid w:val="00307F4B"/>
    <w:rPr>
      <w:rFonts w:asciiTheme="minorHAnsi" w:hAnsiTheme="minorHAnsi" w:cs="Gotham Book"/>
      <w:b w:val="0"/>
      <w:i/>
      <w:iCs/>
      <w:color w:val="1178A0" w:themeColor="background2"/>
      <w:u w:val="single"/>
    </w:rPr>
  </w:style>
  <w:style w:type="character" w:customStyle="1" w:styleId="Footerrule">
    <w:name w:val="Footer rule"/>
    <w:uiPriority w:val="99"/>
    <w:rsid w:val="009621C7"/>
    <w:rPr>
      <w:position w:val="-2"/>
      <w:sz w:val="24"/>
      <w:szCs w:val="24"/>
      <w:lang w:val="en-US"/>
    </w:rPr>
  </w:style>
  <w:style w:type="character" w:customStyle="1" w:styleId="a">
    <w:name w:val="µ"/>
    <w:uiPriority w:val="99"/>
    <w:rsid w:val="009621C7"/>
    <w:rPr>
      <w:rFonts w:ascii="Open Sans Light" w:hAnsi="Open Sans Light" w:cs="Open Sans Light"/>
    </w:rPr>
  </w:style>
  <w:style w:type="character" w:customStyle="1" w:styleId="Subscript">
    <w:name w:val="Subscript"/>
    <w:uiPriority w:val="99"/>
    <w:rsid w:val="008C51DE"/>
    <w:rPr>
      <w:position w:val="0"/>
      <w:vertAlign w:val="subscript"/>
    </w:rPr>
  </w:style>
  <w:style w:type="character" w:customStyle="1" w:styleId="BPPNumberExecSumm">
    <w:name w:val="BPP Number (Exec Summ)"/>
    <w:uiPriority w:val="99"/>
    <w:rsid w:val="009621C7"/>
    <w:rPr>
      <w:rFonts w:ascii="Gotham Bold" w:hAnsi="Gotham Bold" w:cs="Gotham Bold"/>
      <w:b/>
      <w:bCs/>
      <w:color w:val="003565"/>
      <w:lang w:val="en-US"/>
    </w:rPr>
  </w:style>
  <w:style w:type="paragraph" w:customStyle="1" w:styleId="BPPSubheading1">
    <w:name w:val="BPP Subheading 1"/>
    <w:basedOn w:val="Normal"/>
    <w:uiPriority w:val="99"/>
    <w:rsid w:val="00DB138B"/>
    <w:pPr>
      <w:widowControl w:val="0"/>
      <w:pBdr>
        <w:top w:val="single" w:sz="36" w:space="8" w:color="FFFFFF" w:themeColor="background1"/>
        <w:left w:val="single" w:sz="36" w:space="8" w:color="FFFFFF" w:themeColor="background1"/>
        <w:bottom w:val="single" w:sz="36" w:space="6" w:color="FFFFFF" w:themeColor="background1"/>
        <w:right w:val="single" w:sz="36" w:space="8" w:color="FFFFFF" w:themeColor="background1"/>
      </w:pBdr>
      <w:shd w:val="clear" w:color="auto" w:fill="E8F1DF"/>
      <w:suppressAutoHyphens/>
      <w:autoSpaceDE w:val="0"/>
      <w:autoSpaceDN w:val="0"/>
      <w:adjustRightInd w:val="0"/>
      <w:spacing w:before="300" w:after="180"/>
      <w:textAlignment w:val="center"/>
    </w:pPr>
    <w:rPr>
      <w:rFonts w:eastAsiaTheme="minorEastAsia" w:cs="Gotham Medium"/>
      <w:b/>
      <w:color w:val="276F4C"/>
      <w:spacing w:val="-2"/>
      <w:szCs w:val="21"/>
      <w:lang w:val="en-GB" w:eastAsia="en-GB"/>
      <w14:ligatures w14:val="standardContextual"/>
    </w:rPr>
  </w:style>
  <w:style w:type="paragraph" w:customStyle="1" w:styleId="BPPSubheading2">
    <w:name w:val="BPP Subheading 2"/>
    <w:basedOn w:val="BPPSubheading1"/>
    <w:uiPriority w:val="99"/>
    <w:rsid w:val="00DB138B"/>
    <w:pPr>
      <w:shd w:val="clear" w:color="auto" w:fill="FFF3C5"/>
    </w:pPr>
  </w:style>
  <w:style w:type="paragraph" w:customStyle="1" w:styleId="ImprintNormalImprint">
    <w:name w:val="Imprint Normal (Imprint)"/>
    <w:basedOn w:val="Normal"/>
    <w:uiPriority w:val="99"/>
    <w:rsid w:val="003357DD"/>
    <w:pPr>
      <w:widowControl w:val="0"/>
      <w:suppressAutoHyphens/>
      <w:autoSpaceDE w:val="0"/>
      <w:autoSpaceDN w:val="0"/>
      <w:adjustRightInd w:val="0"/>
      <w:spacing w:before="0" w:after="170" w:line="240" w:lineRule="atLeast"/>
      <w:textAlignment w:val="center"/>
    </w:pPr>
    <w:rPr>
      <w:rFonts w:ascii="Gotham Light" w:eastAsiaTheme="minorEastAsia" w:hAnsi="Gotham Light" w:cs="Gotham Light"/>
      <w:color w:val="000000"/>
      <w:sz w:val="18"/>
      <w:szCs w:val="18"/>
      <w:lang w:val="en-GB" w:eastAsia="en-GB"/>
      <w14:ligatures w14:val="standardContextual"/>
    </w:rPr>
  </w:style>
  <w:style w:type="paragraph" w:customStyle="1" w:styleId="ImprintNormalnoparafterImprint">
    <w:name w:val="Imprint Normal (no par# after) (Imprint)"/>
    <w:basedOn w:val="Normal"/>
    <w:uiPriority w:val="99"/>
    <w:rsid w:val="003357DD"/>
    <w:pPr>
      <w:widowControl w:val="0"/>
      <w:suppressAutoHyphens/>
      <w:autoSpaceDE w:val="0"/>
      <w:autoSpaceDN w:val="0"/>
      <w:adjustRightInd w:val="0"/>
      <w:spacing w:before="0" w:after="0" w:line="280" w:lineRule="atLeast"/>
      <w:textAlignment w:val="center"/>
    </w:pPr>
    <w:rPr>
      <w:rFonts w:ascii="Gotham Light" w:eastAsiaTheme="minorEastAsia" w:hAnsi="Gotham Light" w:cs="Gotham Light"/>
      <w:color w:val="000000"/>
      <w:sz w:val="20"/>
      <w:szCs w:val="20"/>
      <w:lang w:val="en-GB" w:eastAsia="en-GB"/>
      <w14:ligatures w14:val="standardContextual"/>
    </w:rPr>
  </w:style>
  <w:style w:type="paragraph" w:customStyle="1" w:styleId="TFHolderRECBody">
    <w:name w:val="# TF Holder # • (REC Body)"/>
    <w:basedOn w:val="Normal"/>
    <w:uiPriority w:val="99"/>
    <w:rsid w:val="003357DD"/>
    <w:pPr>
      <w:widowControl w:val="0"/>
      <w:suppressAutoHyphens/>
      <w:autoSpaceDE w:val="0"/>
      <w:autoSpaceDN w:val="0"/>
      <w:adjustRightInd w:val="0"/>
      <w:spacing w:before="113" w:after="283" w:line="288" w:lineRule="auto"/>
      <w:textAlignment w:val="center"/>
    </w:pPr>
    <w:rPr>
      <w:rFonts w:ascii="Gotham Light" w:eastAsiaTheme="minorEastAsia" w:hAnsi="Gotham Light" w:cs="Gotham Light"/>
      <w:color w:val="000000"/>
      <w:sz w:val="20"/>
      <w:szCs w:val="20"/>
      <w:lang w:val="en-GB" w:eastAsia="en-GB"/>
      <w14:ligatures w14:val="standardContextual"/>
    </w:rPr>
  </w:style>
  <w:style w:type="paragraph" w:customStyle="1" w:styleId="ImprintSubheadImprint">
    <w:name w:val="Imprint Subhead (Imprint)"/>
    <w:basedOn w:val="ImprintNormalImprint"/>
    <w:uiPriority w:val="99"/>
    <w:rsid w:val="003357DD"/>
    <w:pPr>
      <w:spacing w:before="113" w:after="57" w:line="220" w:lineRule="atLeast"/>
    </w:pPr>
    <w:rPr>
      <w:rFonts w:ascii="Gotham Book" w:hAnsi="Gotham Book" w:cs="Gotham Book"/>
      <w:color w:val="1987C4"/>
      <w:sz w:val="20"/>
      <w:szCs w:val="20"/>
    </w:rPr>
  </w:style>
  <w:style w:type="paragraph" w:customStyle="1" w:styleId="NormalRECBody">
    <w:name w:val="Normal • (REC Body)"/>
    <w:basedOn w:val="BaseStyleOpenSans"/>
    <w:uiPriority w:val="99"/>
    <w:rsid w:val="00D122B6"/>
    <w:pPr>
      <w:widowControl/>
      <w:spacing w:after="170" w:line="280" w:lineRule="atLeast"/>
    </w:pPr>
    <w:rPr>
      <w:rFonts w:ascii="Gotham Light" w:eastAsia="Times New Roman" w:hAnsi="Gotham Light" w:cs="Gotham Light"/>
      <w:sz w:val="20"/>
      <w:szCs w:val="20"/>
      <w:lang w:eastAsia="en-AU"/>
      <w14:ligatures w14:val="none"/>
    </w:rPr>
  </w:style>
  <w:style w:type="paragraph" w:customStyle="1" w:styleId="Pa5">
    <w:name w:val="Pa5"/>
    <w:basedOn w:val="Default"/>
    <w:next w:val="Default"/>
    <w:uiPriority w:val="99"/>
    <w:rsid w:val="00552E98"/>
    <w:pPr>
      <w:spacing w:line="201" w:lineRule="atLeast"/>
    </w:pPr>
    <w:rPr>
      <w:rFonts w:ascii="Gotham Book" w:hAnsi="Gotham Book" w:cs="Times New Roman"/>
      <w:color w:va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yperlink" Target="https://www.safetyandquality.gov.au/publications-and-resources/resource-library/fact-sheet-safer-insulin-prescribing" TargetMode="External"/><Relationship Id="rId39" Type="http://schemas.openxmlformats.org/officeDocument/2006/relationships/hyperlink" Target="http://www.safetyandquality.gov.au/publications-and-resources/resource-library/fact-sheet-recommendations-safe-use-medicines-terminology" TargetMode="External"/><Relationship Id="rId21" Type="http://schemas.openxmlformats.org/officeDocument/2006/relationships/hyperlink" Target="https://www.digitalhealth.gov.au/initiatives-and-programs/my-health-record" TargetMode="External"/><Relationship Id="rId34" Type="http://schemas.openxmlformats.org/officeDocument/2006/relationships/image" Target="media/image5.png"/><Relationship Id="rId42" Type="http://schemas.openxmlformats.org/officeDocument/2006/relationships/hyperlink" Target="http://www.abs.gov.au/statistics/health/health-conditions-and-risks/national-health-survey-health-literacy/2018" TargetMode="External"/><Relationship Id="rId47" Type="http://schemas.openxmlformats.org/officeDocument/2006/relationships/hyperlink" Target="http://www.ismp.org/recommendations/error-prone-abbreviations-list" TargetMode="External"/><Relationship Id="rId50" Type="http://schemas.openxmlformats.org/officeDocument/2006/relationships/hyperlink" Target="http://www.safetyandquality.gov.au/publications-and-resources/resource-library/principles-safe-selection-and-storage-medicines-guidance-principles-and-survey-tool" TargetMode="External"/><Relationship Id="rId55" Type="http://schemas.openxmlformats.org/officeDocument/2006/relationships/hyperlink" Target="http://www.health.gov.au/our-work/active-ingredient-prescribing/lemi-lmbc/lmbc" TargetMode="External"/><Relationship Id="rId63" Type="http://schemas.openxmlformats.org/officeDocument/2006/relationships/footer" Target="footer2.xml"/><Relationship Id="rId68" Type="http://schemas.openxmlformats.org/officeDocument/2006/relationships/hyperlink" Target="mailto:mail@safetyandquality.gov.au" TargetMode="External"/><Relationship Id="rId7" Type="http://schemas.openxmlformats.org/officeDocument/2006/relationships/settings" Target="settings.xml"/><Relationship Id="rId71"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safetyandquality.gov.au" TargetMode="External"/><Relationship Id="rId29" Type="http://schemas.openxmlformats.org/officeDocument/2006/relationships/hyperlink" Target="https://www.safetyandquality.gov.au/our-work/medication-safety/safer-naming-and-labelling-medicines/national-mixed-case-lettering-list" TargetMode="External"/><Relationship Id="rId11" Type="http://schemas.openxmlformats.org/officeDocument/2006/relationships/image" Target="media/image1.png"/><Relationship Id="rId24" Type="http://schemas.openxmlformats.org/officeDocument/2006/relationships/hyperlink" Target="https://www.health.gov.au/our-work/active-ingredient-prescribing/lemi-lmbc/lemi" TargetMode="External"/><Relationship Id="rId32" Type="http://schemas.openxmlformats.org/officeDocument/2006/relationships/hyperlink" Target="https://www.safetyandquality.gov.au/publications-and-resources/resource-library/national-inpatient-medication-chart-nimc-user-guide" TargetMode="External"/><Relationship Id="rId37" Type="http://schemas.openxmlformats.org/officeDocument/2006/relationships/hyperlink" Target="http://www.safetyandquality.gov.au/publications-and-resources/resource-library/national-guidelines-screen-display-medicines-information" TargetMode="External"/><Relationship Id="rId40" Type="http://schemas.openxmlformats.org/officeDocument/2006/relationships/hyperlink" Target="http://www.health.gov.au/our-work/active-ingredient-prescribing" TargetMode="External"/><Relationship Id="rId45" Type="http://schemas.openxmlformats.org/officeDocument/2006/relationships/hyperlink" Target="http://www.safetyandquality.gov.au/publications-and-resources/resource-library/health-literacy-taking-action-improve-safety-and-quality" TargetMode="External"/><Relationship Id="rId53" Type="http://schemas.openxmlformats.org/officeDocument/2006/relationships/hyperlink" Target="http://www.nccmerp.org/recommendations-enhance-accuracy-prescription-writing" TargetMode="External"/><Relationship Id="rId58" Type="http://schemas.openxmlformats.org/officeDocument/2006/relationships/hyperlink" Target="http://www.safetyandquality.gov.au/publications-and-resources/resource-library/national-mixed-case-lettering-list" TargetMode="External"/><Relationship Id="rId66" Type="http://schemas.openxmlformats.org/officeDocument/2006/relationships/footer" Target="footer4.xm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il%40safetyandquality.gov.au?subject=" TargetMode="External"/><Relationship Id="rId23" Type="http://schemas.openxmlformats.org/officeDocument/2006/relationships/hyperlink" Target="mailto:medsafety@safetyandquality.gov.au" TargetMode="External"/><Relationship Id="rId28" Type="http://schemas.openxmlformats.org/officeDocument/2006/relationships/hyperlink" Target="https://www.health.gov.au/our-work/active-ingredient-prescribing/lemi-lmbc/lemi" TargetMode="External"/><Relationship Id="rId36" Type="http://schemas.openxmlformats.org/officeDocument/2006/relationships/hyperlink" Target="https://onlinelibrary.wiley.com/doi/full/10.1111/j.1445-5994.2011.02697.x" TargetMode="External"/><Relationship Id="rId49" Type="http://schemas.openxmlformats.org/officeDocument/2006/relationships/hyperlink" Target="http://www.victag.org.au/Victorian_Framework_for_Implementation_of_Smart_Infusion_Pumps_June_2023_formatted.pdf" TargetMode="External"/><Relationship Id="rId57" Type="http://schemas.openxmlformats.org/officeDocument/2006/relationships/hyperlink" Target="https://www.cosa.org.au/media/1093/cosa_guidelines_safeprescribingchemo2008.pdf" TargetMode="External"/><Relationship Id="rId61"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communications%40safetyandquality.gov.au?subject=" TargetMode="External"/><Relationship Id="rId31" Type="http://schemas.openxmlformats.org/officeDocument/2006/relationships/hyperlink" Target="https://www.safetyandquality.gov.au/publications-and-resources/resource-library/national-inpatient-medication-chart-nimc-user-guide" TargetMode="External"/><Relationship Id="rId44" Type="http://schemas.openxmlformats.org/officeDocument/2006/relationships/hyperlink" Target="https://pubmed.ncbi.nlm.nih.gov/26899632/" TargetMode="External"/><Relationship Id="rId52" Type="http://schemas.openxmlformats.org/officeDocument/2006/relationships/hyperlink" Target="http://www.safetyandquality.gov.au/our-work/medication-safety/national-standard-medication-chart-nsmc-audit" TargetMode="External"/><Relationship Id="rId60" Type="http://schemas.openxmlformats.org/officeDocument/2006/relationships/hyperlink" Target="http://www.safetyandquality.gov.au/publications-and-resources/resource-library/national-standard-user-applied-labelling-injectable-medicines-fluids-and-lines" TargetMode="External"/><Relationship Id="rId65" Type="http://schemas.openxmlformats.org/officeDocument/2006/relationships/header" Target="header5.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afetyandquality.gov.au/publications-and-resources/resource-library/principles-safe-selection-and-storage-medicines-guidance-principles-and-survey-tool" TargetMode="External"/><Relationship Id="rId27" Type="http://schemas.openxmlformats.org/officeDocument/2006/relationships/hyperlink" Target="https://www.health.gov.au/our-work/active-ingredient-prescribing/lemi-lmbc/lmbc" TargetMode="External"/><Relationship Id="rId30" Type="http://schemas.openxmlformats.org/officeDocument/2006/relationships/image" Target="media/image3.png"/><Relationship Id="rId35" Type="http://schemas.openxmlformats.org/officeDocument/2006/relationships/hyperlink" Target="http://www.safetyandquality.gov.au/publications-and-resources/resource-library/recommendations-terminology-abbreviations-and-symbols-used-medicines-documentation-rapid-literature-review" TargetMode="External"/><Relationship Id="rId43" Type="http://schemas.openxmlformats.org/officeDocument/2006/relationships/hyperlink" Target="https://pubmed.ncbi.nlm.nih.gov/22042745/" TargetMode="External"/><Relationship Id="rId48" Type="http://schemas.openxmlformats.org/officeDocument/2006/relationships/hyperlink" Target="http://www.jointcommission.org/resources/patient-safety/" TargetMode="External"/><Relationship Id="rId56" Type="http://schemas.openxmlformats.org/officeDocument/2006/relationships/hyperlink" Target="http://www.safetyandquality.gov.au/publications-and-resources/resource-library/fact-sheet-safer-insulin-prescribing" TargetMode="External"/><Relationship Id="rId64" Type="http://schemas.openxmlformats.org/officeDocument/2006/relationships/footer" Target="footer3.xml"/><Relationship Id="rId69" Type="http://schemas.openxmlformats.org/officeDocument/2006/relationships/hyperlink" Target="http://www.safetyandquality.gov.au/" TargetMode="External"/><Relationship Id="rId8" Type="http://schemas.openxmlformats.org/officeDocument/2006/relationships/webSettings" Target="webSettings.xml"/><Relationship Id="rId51" Type="http://schemas.openxmlformats.org/officeDocument/2006/relationships/hyperlink" Target="http://www.safetyandquality.gov.au/publications-and-resources/resource-library/national-qum-indicators-2014-complete-set" TargetMode="External"/><Relationship Id="rId72"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reativecommons.org/licenses/by-nc-nd/4.0/" TargetMode="External"/><Relationship Id="rId25" Type="http://schemas.openxmlformats.org/officeDocument/2006/relationships/hyperlink" Target="https://www.health.gov.au/our-work/active-ingredient-prescribing/lemi-lmbc/lmbc" TargetMode="External"/><Relationship Id="rId33" Type="http://schemas.openxmlformats.org/officeDocument/2006/relationships/image" Target="media/image4.png"/><Relationship Id="rId38" Type="http://schemas.openxmlformats.org/officeDocument/2006/relationships/hyperlink" Target="https://www.safetyandquality.gov.au/publications-and-resources/resource-library/national-standard-labelling-dispensed-medicines" TargetMode="External"/><Relationship Id="rId46" Type="http://schemas.openxmlformats.org/officeDocument/2006/relationships/hyperlink" Target="https://c4sportal.safetyandquality.gov.au/communicating-with-patients-and-colleagues" TargetMode="External"/><Relationship Id="rId59" Type="http://schemas.openxmlformats.org/officeDocument/2006/relationships/hyperlink" Target="http://www.safetyandquality.gov.au/sites/default/files/2019-08/nimc_user_guide_2019.pdf" TargetMode="External"/><Relationship Id="rId67" Type="http://schemas.openxmlformats.org/officeDocument/2006/relationships/image" Target="media/image6.jpeg"/><Relationship Id="rId20" Type="http://schemas.openxmlformats.org/officeDocument/2006/relationships/hyperlink" Target="https://www.safetyandquality.gov.au/publications-and-resources/resource-library/fact-sheet-recommendations-safe-use-medicines-terminology" TargetMode="External"/><Relationship Id="rId41" Type="http://schemas.openxmlformats.org/officeDocument/2006/relationships/hyperlink" Target="http://www.ismp.org/resources/patients-low-health-literacy-make-more-errors-interpreting-instructions-and-warnings" TargetMode="External"/><Relationship Id="rId54" Type="http://schemas.openxmlformats.org/officeDocument/2006/relationships/hyperlink" Target="http://www.health.gov.au/our-work/active-ingredient-prescribing/lemi-lmbc/lemi" TargetMode="External"/><Relationship Id="rId62" Type="http://schemas.openxmlformats.org/officeDocument/2006/relationships/header" Target="header4.xml"/><Relationship Id="rId7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stylemanual.gov.au/writing-and-designing-content/clear-language-and-writing-style/plain-language-and-word-choice" TargetMode="External"/><Relationship Id="rId2" Type="http://schemas.openxmlformats.org/officeDocument/2006/relationships/hyperlink" Target="https://www.collinsdictionary.com/dictionary/english/plain-language" TargetMode="External"/><Relationship Id="rId1" Type="http://schemas.openxmlformats.org/officeDocument/2006/relationships/hyperlink" Target="https://www.collinsdictionary.com/dictionary/english/plain-language" TargetMode="External"/><Relationship Id="rId4" Type="http://schemas.openxmlformats.org/officeDocument/2006/relationships/hyperlink" Target="https://www.safetyandquality.gov.au/publications-and-resources/resource-library/national-standard-user-applied-labelling-injectable-medicines-fluids-and-lines"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customXml/itemProps2.xml><?xml version="1.0" encoding="utf-8"?>
<ds:datastoreItem xmlns:ds="http://schemas.openxmlformats.org/officeDocument/2006/customXml" ds:itemID="{10E1C3D3-2B3A-4E54-8A75-513EA6A431F3}">
  <ds:schemaRefs>
    <ds:schemaRef ds:uri="http://schemas.microsoft.com/sharepoint/v3/contenttype/forms"/>
  </ds:schemaRefs>
</ds:datastoreItem>
</file>

<file path=customXml/itemProps3.xml><?xml version="1.0" encoding="utf-8"?>
<ds:datastoreItem xmlns:ds="http://schemas.openxmlformats.org/officeDocument/2006/customXml" ds:itemID="{8110993F-C032-4EB5-B966-AAD7DBE5B118}">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4.xml><?xml version="1.0" encoding="utf-8"?>
<ds:datastoreItem xmlns:ds="http://schemas.openxmlformats.org/officeDocument/2006/customXml" ds:itemID="{559A198C-64D4-493E-89AA-16B6C0921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7212</Words>
  <Characters>50907</Characters>
  <Application>Microsoft Office Word</Application>
  <DocSecurity>4</DocSecurity>
  <Lines>424</Lines>
  <Paragraphs>116</Paragraphs>
  <ScaleCrop>false</ScaleCrop>
  <HeadingPairs>
    <vt:vector size="2" baseType="variant">
      <vt:variant>
        <vt:lpstr>Title</vt:lpstr>
      </vt:variant>
      <vt:variant>
        <vt:i4>1</vt:i4>
      </vt:variant>
    </vt:vector>
  </HeadingPairs>
  <TitlesOfParts>
    <vt:vector size="1" baseType="lpstr">
      <vt:lpstr/>
    </vt:vector>
  </TitlesOfParts>
  <Manager/>
  <Company>Australian Commission on Safety and Quality in Health Care</Company>
  <LinksUpToDate>false</LinksUpToDate>
  <CharactersWithSpaces>58003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for safe use of medicines terminology</dc:title>
  <dc:subject/>
  <dc:creator>HALENA, Stephanie</dc:creator>
  <cp:keywords/>
  <dc:description/>
  <cp:lastModifiedBy>HALENA, Stephanie</cp:lastModifiedBy>
  <cp:revision>2</cp:revision>
  <cp:lastPrinted>2020-03-04T03:32:00Z</cp:lastPrinted>
  <dcterms:created xsi:type="dcterms:W3CDTF">2025-06-13T01:47:00Z</dcterms:created>
  <dcterms:modified xsi:type="dcterms:W3CDTF">2025-06-13T01:47:00Z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y fmtid="{D5CDD505-2E9C-101B-9397-08002B2CF9AE}" pid="3" name="MediaServiceImageTags">
    <vt:lpwstr/>
  </property>
</Properties>
</file>