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2E2C" w14:textId="6C63B577" w:rsidR="002E003F" w:rsidRPr="00204C47" w:rsidRDefault="00501367" w:rsidP="004B2F53">
      <w:pPr>
        <w:pStyle w:val="FactSheetType"/>
      </w:pPr>
      <w:r>
        <w:rPr>
          <w:b/>
          <w:bCs w:val="0"/>
        </w:rPr>
        <w:t>FACT SHEET</w:t>
      </w:r>
      <w:r w:rsidR="002E003F" w:rsidRPr="0056304B">
        <w:br/>
      </w:r>
      <w:r w:rsidR="002E003F" w:rsidRPr="00204C47">
        <w:t xml:space="preserve">for </w:t>
      </w:r>
      <w:r w:rsidR="004B2F53">
        <w:t xml:space="preserve">health service organisations </w:t>
      </w:r>
      <w:r w:rsidR="00884684">
        <w:br/>
      </w:r>
      <w:r w:rsidR="004B2F53">
        <w:t xml:space="preserve">and </w:t>
      </w:r>
      <w:r w:rsidR="008C54E4">
        <w:t>clinicians</w:t>
      </w:r>
    </w:p>
    <w:p w14:paraId="72BDEB06" w14:textId="2DDD465D" w:rsidR="00D27918" w:rsidRPr="000834E1" w:rsidRDefault="006A72C0" w:rsidP="00D27918">
      <w:pPr>
        <w:pStyle w:val="Title"/>
      </w:pPr>
      <w:r>
        <w:t xml:space="preserve">Strategies </w:t>
      </w:r>
      <w:r w:rsidR="00881ED5">
        <w:t>to support</w:t>
      </w:r>
      <w:r>
        <w:t xml:space="preserve"> </w:t>
      </w:r>
      <w:r w:rsidR="008A348F">
        <w:t xml:space="preserve">the </w:t>
      </w:r>
      <w:r>
        <w:t xml:space="preserve">safe use of </w:t>
      </w:r>
      <w:proofErr w:type="spellStart"/>
      <w:r w:rsidR="007E7347">
        <w:t>C</w:t>
      </w:r>
      <w:r w:rsidR="000916F1">
        <w:t>LON</w:t>
      </w:r>
      <w:r w:rsidR="007E7347">
        <w:t>azepam</w:t>
      </w:r>
      <w:proofErr w:type="spellEnd"/>
      <w:r w:rsidR="007E7347">
        <w:t xml:space="preserve"> oral liquid</w:t>
      </w:r>
    </w:p>
    <w:tbl>
      <w:tblPr>
        <w:tblStyle w:val="PulloutBox"/>
        <w:tblW w:w="5184" w:type="pct"/>
        <w:tblInd w:w="-284" w:type="dxa"/>
        <w:tblLook w:val="0020" w:firstRow="1" w:lastRow="0" w:firstColumn="0" w:lastColumn="0" w:noHBand="0" w:noVBand="0"/>
        <w:tblDescription w:val="Box 1"/>
      </w:tblPr>
      <w:tblGrid>
        <w:gridCol w:w="9993"/>
      </w:tblGrid>
      <w:tr w:rsidR="009B4259" w:rsidRPr="00D96760" w14:paraId="1FC4B486" w14:textId="77777777" w:rsidTr="00DE3DE4">
        <w:trPr>
          <w:trHeight w:val="2729"/>
        </w:trPr>
        <w:tc>
          <w:tcPr>
            <w:tcW w:w="5000" w:type="pct"/>
            <w:tcMar>
              <w:bottom w:w="0" w:type="dxa"/>
            </w:tcMar>
          </w:tcPr>
          <w:p w14:paraId="3CB31721" w14:textId="16D43A7D" w:rsidR="009B4259" w:rsidRDefault="009B4259" w:rsidP="006305A3">
            <w:pPr>
              <w:pStyle w:val="PulloutBoxHeading"/>
            </w:pPr>
            <w:r>
              <w:t>What you need to know?</w:t>
            </w:r>
          </w:p>
          <w:p w14:paraId="07FC887F" w14:textId="502FF658" w:rsidR="00B336B7" w:rsidRDefault="00B336B7" w:rsidP="000F3FA9">
            <w:pPr>
              <w:pStyle w:val="ListParagraph"/>
              <w:numPr>
                <w:ilvl w:val="0"/>
                <w:numId w:val="8"/>
              </w:numPr>
            </w:pPr>
            <w:bookmarkStart w:id="0" w:name="_Hlk199228947"/>
            <w:proofErr w:type="spellStart"/>
            <w:r>
              <w:t>CLONazepam</w:t>
            </w:r>
            <w:proofErr w:type="spellEnd"/>
            <w:r>
              <w:t xml:space="preserve"> oral liquid </w:t>
            </w:r>
            <w:r w:rsidR="00D27190">
              <w:t>is to</w:t>
            </w:r>
            <w:r>
              <w:t xml:space="preserve"> be prescribed and administered in drops as per the approved product </w:t>
            </w:r>
            <w:r w:rsidR="0037252E">
              <w:t>information</w:t>
            </w:r>
            <w:r>
              <w:t xml:space="preserve">. </w:t>
            </w:r>
            <w:r w:rsidR="00DE3A8B">
              <w:t>E</w:t>
            </w:r>
            <w:r>
              <w:t>rrors occur when the dose is described in millilitre</w:t>
            </w:r>
            <w:r w:rsidR="00980040">
              <w:t>s</w:t>
            </w:r>
          </w:p>
          <w:bookmarkEnd w:id="0"/>
          <w:p w14:paraId="73772336" w14:textId="35D520FE" w:rsidR="00FD4CB9" w:rsidRDefault="00B336B7" w:rsidP="00B336B7">
            <w:pPr>
              <w:pStyle w:val="ListParagraph"/>
              <w:numPr>
                <w:ilvl w:val="0"/>
                <w:numId w:val="8"/>
              </w:numPr>
            </w:pPr>
            <w:r>
              <w:t>Serious incidents continue to be reported across Australia due to inconsistent</w:t>
            </w:r>
            <w:bookmarkStart w:id="1" w:name="_Hlk198640228"/>
            <w:r>
              <w:t xml:space="preserve"> </w:t>
            </w:r>
            <w:r w:rsidR="00765D8A">
              <w:t xml:space="preserve">prescribing, </w:t>
            </w:r>
            <w:r>
              <w:t xml:space="preserve">dispensing and </w:t>
            </w:r>
            <w:r w:rsidR="00765D8A">
              <w:t xml:space="preserve">administration </w:t>
            </w:r>
            <w:bookmarkEnd w:id="1"/>
            <w:r w:rsidR="00DE3A8B">
              <w:t xml:space="preserve">practices when using </w:t>
            </w:r>
            <w:proofErr w:type="spellStart"/>
            <w:r>
              <w:t>CLON</w:t>
            </w:r>
            <w:r w:rsidRPr="007E7347">
              <w:t>azepam</w:t>
            </w:r>
            <w:proofErr w:type="spellEnd"/>
            <w:r>
              <w:t xml:space="preserve"> oral liquid</w:t>
            </w:r>
          </w:p>
          <w:p w14:paraId="3D8B3032" w14:textId="55BB571B" w:rsidR="009B4259" w:rsidRPr="000F3FA9" w:rsidRDefault="00B336B7" w:rsidP="00B336B7">
            <w:pPr>
              <w:pStyle w:val="ListParagraph"/>
              <w:numPr>
                <w:ilvl w:val="0"/>
                <w:numId w:val="8"/>
              </w:numPr>
            </w:pPr>
            <w:r>
              <w:t>Standard</w:t>
            </w:r>
            <w:r w:rsidR="00E10729">
              <w:t>ised</w:t>
            </w:r>
            <w:r>
              <w:t xml:space="preserve"> prescribing, dispensing and administration practices are essential to support the safe use of </w:t>
            </w:r>
            <w:proofErr w:type="spellStart"/>
            <w:r>
              <w:t>CLONazepam</w:t>
            </w:r>
            <w:proofErr w:type="spellEnd"/>
            <w:r>
              <w:t xml:space="preserve"> oral liquid. </w:t>
            </w:r>
          </w:p>
        </w:tc>
      </w:tr>
    </w:tbl>
    <w:p w14:paraId="781B5181" w14:textId="69DBEF76" w:rsidR="00E209BF" w:rsidRPr="00F005CE" w:rsidRDefault="003071F6" w:rsidP="00EC1D06">
      <w:pPr>
        <w:pStyle w:val="Heading2"/>
        <w:rPr>
          <w:bCs/>
          <w:sz w:val="28"/>
          <w:szCs w:val="24"/>
          <w:lang w:val="en-GB"/>
        </w:rPr>
      </w:pPr>
      <w:r w:rsidRPr="00F005CE">
        <w:rPr>
          <w:bCs/>
          <w:sz w:val="28"/>
          <w:szCs w:val="24"/>
          <w:lang w:val="en-GB"/>
        </w:rPr>
        <w:t>Purpose</w:t>
      </w:r>
    </w:p>
    <w:p w14:paraId="5A197C24" w14:textId="4F975A6E" w:rsidR="00291100" w:rsidRPr="001805EB" w:rsidRDefault="005D3E53" w:rsidP="001805EB">
      <w:pPr>
        <w:pStyle w:val="Captions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3A4F3A">
        <w:rPr>
          <w:sz w:val="22"/>
          <w:szCs w:val="22"/>
        </w:rPr>
        <w:t>fact sheet</w:t>
      </w:r>
      <w:r w:rsidR="00442DCF" w:rsidRPr="001805EB">
        <w:rPr>
          <w:sz w:val="22"/>
          <w:szCs w:val="22"/>
        </w:rPr>
        <w:t xml:space="preserve"> provides practical strategies </w:t>
      </w:r>
      <w:r w:rsidR="003A4F3A">
        <w:rPr>
          <w:sz w:val="22"/>
          <w:szCs w:val="22"/>
        </w:rPr>
        <w:t xml:space="preserve">for the </w:t>
      </w:r>
      <w:r w:rsidR="003A4F3A" w:rsidRPr="001805EB">
        <w:rPr>
          <w:sz w:val="22"/>
          <w:szCs w:val="22"/>
        </w:rPr>
        <w:t xml:space="preserve">safe use of </w:t>
      </w:r>
      <w:proofErr w:type="spellStart"/>
      <w:r w:rsidR="003A4F3A">
        <w:rPr>
          <w:sz w:val="22"/>
          <w:szCs w:val="22"/>
        </w:rPr>
        <w:t>CLON</w:t>
      </w:r>
      <w:r w:rsidR="003A4F3A" w:rsidRPr="001805EB">
        <w:rPr>
          <w:sz w:val="22"/>
          <w:szCs w:val="22"/>
        </w:rPr>
        <w:t>azepam</w:t>
      </w:r>
      <w:proofErr w:type="spellEnd"/>
      <w:r w:rsidR="003A4F3A" w:rsidRPr="001805EB">
        <w:rPr>
          <w:sz w:val="22"/>
          <w:szCs w:val="22"/>
        </w:rPr>
        <w:t xml:space="preserve"> oral liquid in clinical practice</w:t>
      </w:r>
      <w:r w:rsidR="003A4F3A">
        <w:rPr>
          <w:sz w:val="22"/>
          <w:szCs w:val="22"/>
        </w:rPr>
        <w:t xml:space="preserve"> </w:t>
      </w:r>
      <w:r w:rsidR="009F3DC9">
        <w:rPr>
          <w:sz w:val="22"/>
          <w:szCs w:val="22"/>
        </w:rPr>
        <w:t xml:space="preserve">and </w:t>
      </w:r>
      <w:r w:rsidR="003A4F3A">
        <w:rPr>
          <w:sz w:val="22"/>
          <w:szCs w:val="22"/>
        </w:rPr>
        <w:t xml:space="preserve">includes </w:t>
      </w:r>
      <w:r w:rsidR="00AC2897">
        <w:rPr>
          <w:sz w:val="22"/>
          <w:szCs w:val="22"/>
        </w:rPr>
        <w:t>standardised</w:t>
      </w:r>
      <w:r w:rsidR="003A4F3A">
        <w:rPr>
          <w:sz w:val="22"/>
          <w:szCs w:val="22"/>
        </w:rPr>
        <w:t xml:space="preserve"> recommendations for the safe</w:t>
      </w:r>
      <w:r w:rsidR="009F3DC9">
        <w:rPr>
          <w:sz w:val="22"/>
          <w:szCs w:val="22"/>
        </w:rPr>
        <w:t xml:space="preserve"> </w:t>
      </w:r>
      <w:r w:rsidR="00CA4EA8">
        <w:rPr>
          <w:sz w:val="22"/>
          <w:szCs w:val="22"/>
        </w:rPr>
        <w:t>prescribing, dispensing and administration</w:t>
      </w:r>
      <w:r w:rsidR="00AC2897">
        <w:rPr>
          <w:sz w:val="22"/>
          <w:szCs w:val="22"/>
        </w:rPr>
        <w:t xml:space="preserve"> </w:t>
      </w:r>
      <w:r w:rsidR="00501367">
        <w:rPr>
          <w:sz w:val="22"/>
          <w:szCs w:val="22"/>
        </w:rPr>
        <w:t xml:space="preserve">of </w:t>
      </w:r>
      <w:proofErr w:type="spellStart"/>
      <w:r w:rsidR="00501367">
        <w:rPr>
          <w:sz w:val="22"/>
          <w:szCs w:val="22"/>
        </w:rPr>
        <w:t>CLONazepam</w:t>
      </w:r>
      <w:proofErr w:type="spellEnd"/>
      <w:r w:rsidR="00501367">
        <w:rPr>
          <w:sz w:val="22"/>
          <w:szCs w:val="22"/>
        </w:rPr>
        <w:t xml:space="preserve"> oral liquid </w:t>
      </w:r>
      <w:r w:rsidR="00DE3A8B">
        <w:rPr>
          <w:sz w:val="22"/>
          <w:szCs w:val="22"/>
        </w:rPr>
        <w:t xml:space="preserve">for clinicians and </w:t>
      </w:r>
      <w:r w:rsidR="00AC2897">
        <w:rPr>
          <w:sz w:val="22"/>
          <w:szCs w:val="22"/>
        </w:rPr>
        <w:t>health service organisations.</w:t>
      </w:r>
      <w:r w:rsidR="00CA4EA8">
        <w:rPr>
          <w:sz w:val="22"/>
          <w:szCs w:val="22"/>
        </w:rPr>
        <w:t xml:space="preserve"> </w:t>
      </w:r>
    </w:p>
    <w:p w14:paraId="789D175D" w14:textId="3585A2A9" w:rsidR="00EA7822" w:rsidRPr="00EA7822" w:rsidRDefault="008B2EB4" w:rsidP="00EA7822">
      <w:pPr>
        <w:pStyle w:val="Heading3"/>
        <w:rPr>
          <w:lang w:val="en-GB"/>
        </w:rPr>
      </w:pPr>
      <w:r>
        <w:rPr>
          <w:lang w:val="en-GB"/>
        </w:rPr>
        <w:t>Background</w:t>
      </w:r>
    </w:p>
    <w:p w14:paraId="0BAD6DBD" w14:textId="4045EE9E" w:rsidR="008F5278" w:rsidRPr="008F5278" w:rsidRDefault="008F5278" w:rsidP="008F5278">
      <w:proofErr w:type="spellStart"/>
      <w:r w:rsidRPr="008F5278">
        <w:t>CLONazepam</w:t>
      </w:r>
      <w:proofErr w:type="spellEnd"/>
      <w:r w:rsidRPr="008F5278">
        <w:t xml:space="preserve"> oral liquid is a benzodiazepine </w:t>
      </w:r>
      <w:r>
        <w:t>used</w:t>
      </w:r>
      <w:r w:rsidRPr="008F5278">
        <w:t xml:space="preserve"> for the management of most types of epilepsy in infant</w:t>
      </w:r>
      <w:r w:rsidR="006500C2">
        <w:t>s</w:t>
      </w:r>
      <w:r w:rsidRPr="008F5278">
        <w:t xml:space="preserve"> and children, and </w:t>
      </w:r>
      <w:r>
        <w:t>for</w:t>
      </w:r>
      <w:r w:rsidRPr="008F5278">
        <w:t xml:space="preserve"> all varieties of generalised epilepsy and partial epilepsy in adults.</w:t>
      </w:r>
      <w:r w:rsidR="00A83BF4">
        <w:t xml:space="preserve"> </w:t>
      </w:r>
      <w:proofErr w:type="spellStart"/>
      <w:r w:rsidR="00A83BF4">
        <w:t>CLONazepam</w:t>
      </w:r>
      <w:proofErr w:type="spellEnd"/>
      <w:r w:rsidR="00A83BF4">
        <w:t xml:space="preserve"> is high-risk medicine</w:t>
      </w:r>
      <w:r w:rsidR="00980040">
        <w:t xml:space="preserve">. There is </w:t>
      </w:r>
      <w:r w:rsidR="00A83BF4">
        <w:t xml:space="preserve">an increased risk of causing significant patient harm if it is misused or used in error. </w:t>
      </w:r>
    </w:p>
    <w:p w14:paraId="22D717D2" w14:textId="21207073" w:rsidR="008F5278" w:rsidRDefault="008F5278" w:rsidP="00616D99">
      <w:pPr>
        <w:rPr>
          <w:rFonts w:cs="Arial"/>
          <w:lang w:val="en-US"/>
        </w:rPr>
      </w:pPr>
      <w:r w:rsidRPr="003E1C13">
        <w:rPr>
          <w:rFonts w:cs="Arial"/>
        </w:rPr>
        <w:t xml:space="preserve">In Australia, </w:t>
      </w:r>
      <w:proofErr w:type="spellStart"/>
      <w:r w:rsidRPr="003E1C13">
        <w:rPr>
          <w:rFonts w:cs="Arial"/>
        </w:rPr>
        <w:t>Rivotril</w:t>
      </w:r>
      <w:proofErr w:type="spellEnd"/>
      <w:r w:rsidRPr="008F5278">
        <w:rPr>
          <w:rFonts w:cs="Arial"/>
          <w:vertAlign w:val="superscript"/>
        </w:rPr>
        <w:t>®</w:t>
      </w:r>
      <w:r w:rsidRPr="003E1C13">
        <w:rPr>
          <w:rFonts w:cs="Arial"/>
        </w:rPr>
        <w:t xml:space="preserve"> (</w:t>
      </w:r>
      <w:proofErr w:type="spellStart"/>
      <w:r w:rsidRPr="003E1C13">
        <w:rPr>
          <w:rFonts w:cs="Arial"/>
        </w:rPr>
        <w:t>CLONazepam</w:t>
      </w:r>
      <w:proofErr w:type="spellEnd"/>
      <w:r w:rsidRPr="003E1C13">
        <w:rPr>
          <w:rFonts w:cs="Arial"/>
        </w:rPr>
        <w:t xml:space="preserve"> oral drops 2.5 m</w:t>
      </w:r>
      <w:r w:rsidR="00801127">
        <w:rPr>
          <w:rFonts w:cs="Arial"/>
        </w:rPr>
        <w:t>g</w:t>
      </w:r>
      <w:r w:rsidRPr="003E1C13">
        <w:rPr>
          <w:rFonts w:cs="Arial"/>
        </w:rPr>
        <w:t xml:space="preserve">/mL) is </w:t>
      </w:r>
      <w:r>
        <w:rPr>
          <w:rFonts w:cs="Arial"/>
        </w:rPr>
        <w:t>supplied in</w:t>
      </w:r>
      <w:r w:rsidRPr="003E1C13">
        <w:rPr>
          <w:rFonts w:cs="Arial"/>
        </w:rPr>
        <w:t xml:space="preserve"> </w:t>
      </w:r>
      <w:r>
        <w:rPr>
          <w:rFonts w:cs="Arial"/>
        </w:rPr>
        <w:t>a 10</w:t>
      </w:r>
      <w:r w:rsidR="009B5D64">
        <w:rPr>
          <w:rFonts w:cs="Arial"/>
        </w:rPr>
        <w:t xml:space="preserve"> </w:t>
      </w:r>
      <w:r>
        <w:rPr>
          <w:rFonts w:cs="Arial"/>
        </w:rPr>
        <w:t>mL amber glass bottle that includes</w:t>
      </w:r>
      <w:r w:rsidRPr="003E1C13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AF2D96">
        <w:rPr>
          <w:rFonts w:cs="Arial"/>
          <w:lang w:val="en-US"/>
        </w:rPr>
        <w:t>‘</w:t>
      </w:r>
      <w:proofErr w:type="gramStart"/>
      <w:r w:rsidRPr="00AF2D96">
        <w:rPr>
          <w:rFonts w:cs="Arial"/>
          <w:lang w:val="en-US"/>
        </w:rPr>
        <w:t>controlled-release</w:t>
      </w:r>
      <w:proofErr w:type="gramEnd"/>
      <w:r w:rsidRPr="00AF2D96">
        <w:rPr>
          <w:rFonts w:cs="Arial"/>
          <w:lang w:val="en-US"/>
        </w:rPr>
        <w:t>’ dro</w:t>
      </w:r>
      <w:r w:rsidRPr="00F53552">
        <w:rPr>
          <w:rFonts w:cs="Arial"/>
          <w:lang w:val="en-US"/>
        </w:rPr>
        <w:t xml:space="preserve">pper device within the neck of the bottle to allow for dosing in drops (1 drop contains 0.1 mg </w:t>
      </w:r>
      <w:proofErr w:type="spellStart"/>
      <w:r w:rsidRPr="00F53552">
        <w:rPr>
          <w:rFonts w:cs="Arial"/>
          <w:lang w:val="en-US"/>
        </w:rPr>
        <w:t>C</w:t>
      </w:r>
      <w:r>
        <w:rPr>
          <w:rFonts w:cs="Arial"/>
          <w:lang w:val="en-US"/>
        </w:rPr>
        <w:t>LON</w:t>
      </w:r>
      <w:r w:rsidRPr="00F53552">
        <w:rPr>
          <w:rFonts w:cs="Arial"/>
          <w:lang w:val="en-US"/>
        </w:rPr>
        <w:t>azepam</w:t>
      </w:r>
      <w:proofErr w:type="spellEnd"/>
      <w:r w:rsidRPr="00F53552">
        <w:rPr>
          <w:rFonts w:cs="Arial"/>
          <w:lang w:val="en-US"/>
        </w:rPr>
        <w:t>)</w:t>
      </w:r>
      <w:r>
        <w:rPr>
          <w:rFonts w:cs="Arial"/>
          <w:lang w:val="en-US"/>
        </w:rPr>
        <w:t xml:space="preserve">. </w:t>
      </w:r>
      <w:r w:rsidRPr="003E1C13">
        <w:rPr>
          <w:rFonts w:cs="Arial"/>
        </w:rPr>
        <w:t xml:space="preserve">The product information states </w:t>
      </w:r>
      <w:r>
        <w:rPr>
          <w:rFonts w:cs="Arial"/>
        </w:rPr>
        <w:t>to m</w:t>
      </w:r>
      <w:r w:rsidRPr="006C3AB5">
        <w:rPr>
          <w:rFonts w:cs="Arial"/>
        </w:rPr>
        <w:t xml:space="preserve">easure the prescribed dose </w:t>
      </w:r>
      <w:r>
        <w:rPr>
          <w:rFonts w:cs="Arial"/>
        </w:rPr>
        <w:t>in</w:t>
      </w:r>
      <w:r w:rsidRPr="006C3AB5">
        <w:rPr>
          <w:rFonts w:cs="Arial"/>
        </w:rPr>
        <w:t xml:space="preserve"> </w:t>
      </w:r>
      <w:r w:rsidRPr="003E1C13">
        <w:rPr>
          <w:rFonts w:cs="Arial"/>
        </w:rPr>
        <w:t>drops only</w:t>
      </w:r>
      <w:r>
        <w:rPr>
          <w:rFonts w:cs="Arial"/>
        </w:rPr>
        <w:t xml:space="preserve">. </w:t>
      </w:r>
    </w:p>
    <w:p w14:paraId="0F096F4F" w14:textId="2FAF0664" w:rsidR="00E73803" w:rsidRDefault="00DB0A2E" w:rsidP="00616D99">
      <w:pPr>
        <w:rPr>
          <w:lang w:val="en-GB"/>
        </w:rPr>
      </w:pPr>
      <w:bookmarkStart w:id="2" w:name="_Hlk199228926"/>
      <w:r>
        <w:rPr>
          <w:lang w:val="en-GB"/>
        </w:rPr>
        <w:t xml:space="preserve">There is </w:t>
      </w:r>
      <w:r w:rsidR="008F5278">
        <w:rPr>
          <w:lang w:val="en-GB"/>
        </w:rPr>
        <w:t xml:space="preserve">considerable </w:t>
      </w:r>
      <w:r>
        <w:rPr>
          <w:lang w:val="en-GB"/>
        </w:rPr>
        <w:t xml:space="preserve">variation in how </w:t>
      </w:r>
      <w:proofErr w:type="spellStart"/>
      <w:r w:rsidR="00E35D0F">
        <w:rPr>
          <w:lang w:val="en-GB"/>
        </w:rPr>
        <w:t>CLONazepam</w:t>
      </w:r>
      <w:proofErr w:type="spellEnd"/>
      <w:r w:rsidR="00E35D0F">
        <w:rPr>
          <w:lang w:val="en-GB"/>
        </w:rPr>
        <w:t xml:space="preserve"> oral liquid </w:t>
      </w:r>
      <w:r w:rsidR="00E73803">
        <w:rPr>
          <w:lang w:val="en-GB"/>
        </w:rPr>
        <w:t>is prescribed, administered and documented</w:t>
      </w:r>
      <w:r w:rsidR="008F5278">
        <w:rPr>
          <w:lang w:val="en-GB"/>
        </w:rPr>
        <w:t xml:space="preserve"> in Australia, </w:t>
      </w:r>
      <w:r w:rsidR="009B5D64">
        <w:t xml:space="preserve">whether </w:t>
      </w:r>
      <w:r w:rsidR="009B5D64" w:rsidRPr="00027598">
        <w:t>by milligrams, millilitres or number of drops</w:t>
      </w:r>
      <w:r w:rsidR="009B5D64">
        <w:t>, leading to confusion</w:t>
      </w:r>
      <w:r w:rsidR="009B5D64">
        <w:rPr>
          <w:spacing w:val="-1"/>
        </w:rPr>
        <w:t xml:space="preserve"> </w:t>
      </w:r>
      <w:r w:rsidR="009B5D64">
        <w:t>and</w:t>
      </w:r>
      <w:r w:rsidR="009B5D64">
        <w:rPr>
          <w:spacing w:val="-4"/>
        </w:rPr>
        <w:t xml:space="preserve"> </w:t>
      </w:r>
      <w:r w:rsidR="009B5D64">
        <w:t>dosing</w:t>
      </w:r>
      <w:r w:rsidR="009B5D64">
        <w:rPr>
          <w:spacing w:val="-2"/>
        </w:rPr>
        <w:t xml:space="preserve"> </w:t>
      </w:r>
      <w:r w:rsidR="009B5D64">
        <w:t>errors</w:t>
      </w:r>
      <w:r w:rsidR="00E73803">
        <w:rPr>
          <w:lang w:val="en-GB"/>
        </w:rPr>
        <w:t xml:space="preserve">. </w:t>
      </w:r>
      <w:r w:rsidR="00E7728A">
        <w:rPr>
          <w:lang w:val="en-GB"/>
        </w:rPr>
        <w:t>H</w:t>
      </w:r>
      <w:r w:rsidR="00E73803">
        <w:rPr>
          <w:lang w:val="en-GB"/>
        </w:rPr>
        <w:t>ealth service organisation</w:t>
      </w:r>
      <w:r w:rsidR="00E7728A">
        <w:rPr>
          <w:lang w:val="en-GB"/>
        </w:rPr>
        <w:t>s have</w:t>
      </w:r>
      <w:r w:rsidR="00E73803">
        <w:rPr>
          <w:lang w:val="en-GB"/>
        </w:rPr>
        <w:t xml:space="preserve"> repor</w:t>
      </w:r>
      <w:r w:rsidR="0021175C">
        <w:rPr>
          <w:lang w:val="en-GB"/>
        </w:rPr>
        <w:t>t</w:t>
      </w:r>
      <w:r w:rsidR="00E7728A">
        <w:rPr>
          <w:lang w:val="en-GB"/>
        </w:rPr>
        <w:t>ed</w:t>
      </w:r>
      <w:r w:rsidR="00E73803">
        <w:rPr>
          <w:lang w:val="en-GB"/>
        </w:rPr>
        <w:t xml:space="preserve"> errors resulting in patient harm and near misses relating to </w:t>
      </w:r>
      <w:proofErr w:type="spellStart"/>
      <w:r w:rsidR="00E73803">
        <w:rPr>
          <w:lang w:val="en-GB"/>
        </w:rPr>
        <w:t>CLONazepam</w:t>
      </w:r>
      <w:proofErr w:type="spellEnd"/>
      <w:r w:rsidR="00E73803">
        <w:rPr>
          <w:lang w:val="en-GB"/>
        </w:rPr>
        <w:t xml:space="preserve"> oral liquid use. </w:t>
      </w:r>
    </w:p>
    <w:bookmarkEnd w:id="2"/>
    <w:p w14:paraId="03FF6BAD" w14:textId="485ACEC8" w:rsidR="005E4B07" w:rsidRDefault="0044210C" w:rsidP="00884684">
      <w:r>
        <w:t xml:space="preserve">This fact sheet is for use </w:t>
      </w:r>
      <w:r w:rsidRPr="00AE727E">
        <w:t xml:space="preserve">alongside local policies, procedures and guidelines. </w:t>
      </w:r>
      <w:r w:rsidRPr="008C54E4">
        <w:t>In hospitals, prescribers, pharmacists and nurses</w:t>
      </w:r>
      <w:r>
        <w:t xml:space="preserve"> </w:t>
      </w:r>
      <w:r w:rsidR="00E7728A">
        <w:t xml:space="preserve">should </w:t>
      </w:r>
      <w:r w:rsidRPr="00AE727E">
        <w:t>liaise with their local Drug and Therapeutics Committee (DTC) or equivalent for additional advice and guidance. For resident</w:t>
      </w:r>
      <w:r w:rsidR="00E73803">
        <w:t xml:space="preserve">ial </w:t>
      </w:r>
      <w:r w:rsidRPr="00AE727E">
        <w:t xml:space="preserve">aged care facilities, it may be appropriate </w:t>
      </w:r>
      <w:r w:rsidR="00E73803">
        <w:t xml:space="preserve">for </w:t>
      </w:r>
      <w:r w:rsidR="00E7728A">
        <w:t>prescribers and staff who administer medicines</w:t>
      </w:r>
      <w:r w:rsidR="00E73803">
        <w:t xml:space="preserve"> </w:t>
      </w:r>
      <w:r w:rsidRPr="00AE727E">
        <w:t>to liaise with the</w:t>
      </w:r>
      <w:r w:rsidR="00E7728A">
        <w:t>ir</w:t>
      </w:r>
      <w:r w:rsidRPr="00AE727E">
        <w:t xml:space="preserve"> Medicines Advisory Committee (MAC).</w:t>
      </w:r>
      <w:r>
        <w:t xml:space="preserve"> </w:t>
      </w:r>
    </w:p>
    <w:p w14:paraId="3DA64971" w14:textId="7A8C6DD7" w:rsidR="005E4B07" w:rsidRPr="00D04D5E" w:rsidRDefault="005E4B07" w:rsidP="005E4B07">
      <w:pPr>
        <w:pStyle w:val="PulloutBoxHeading"/>
      </w:pPr>
      <w:r>
        <w:lastRenderedPageBreak/>
        <w:t>Safer prescribing, dispensing and administration checklist</w:t>
      </w:r>
    </w:p>
    <w:tbl>
      <w:tblPr>
        <w:tblStyle w:val="PulloutBox"/>
        <w:tblW w:w="5184" w:type="pct"/>
        <w:tblInd w:w="-284" w:type="dxa"/>
        <w:tblLook w:val="0020" w:firstRow="1" w:lastRow="0" w:firstColumn="0" w:lastColumn="0" w:noHBand="0" w:noVBand="0"/>
      </w:tblPr>
      <w:tblGrid>
        <w:gridCol w:w="9993"/>
      </w:tblGrid>
      <w:tr w:rsidR="0044210C" w:rsidRPr="00D96760" w14:paraId="181C3611" w14:textId="77777777" w:rsidTr="00DE3A8B">
        <w:trPr>
          <w:trHeight w:val="454"/>
        </w:trPr>
        <w:tc>
          <w:tcPr>
            <w:tcW w:w="5000" w:type="pct"/>
            <w:tcMar>
              <w:bottom w:w="0" w:type="dxa"/>
            </w:tcMar>
          </w:tcPr>
          <w:p w14:paraId="31D3742A" w14:textId="292A36B1" w:rsidR="0044210C" w:rsidRPr="00D96760" w:rsidRDefault="009857C3" w:rsidP="00DE3A8B">
            <w:pPr>
              <w:pStyle w:val="PulloutBoxHeading"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When prescribing and </w:t>
            </w:r>
            <w:r w:rsidR="00E7728A">
              <w:rPr>
                <w:b w:val="0"/>
                <w:bCs w:val="0"/>
                <w:color w:val="auto"/>
                <w:sz w:val="22"/>
                <w:szCs w:val="22"/>
              </w:rPr>
              <w:t xml:space="preserve">before </w:t>
            </w:r>
            <w:r w:rsidR="00CE2964">
              <w:rPr>
                <w:b w:val="0"/>
                <w:bCs w:val="0"/>
                <w:color w:val="auto"/>
                <w:sz w:val="22"/>
                <w:szCs w:val="22"/>
              </w:rPr>
              <w:t xml:space="preserve">dispensing </w:t>
            </w:r>
            <w:r w:rsidR="006E3899">
              <w:rPr>
                <w:b w:val="0"/>
                <w:bCs w:val="0"/>
                <w:color w:val="auto"/>
                <w:sz w:val="22"/>
                <w:szCs w:val="22"/>
              </w:rPr>
              <w:t>and administering</w:t>
            </w:r>
            <w:r w:rsidR="0044210C" w:rsidRPr="000E5B5B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4210C">
              <w:rPr>
                <w:b w:val="0"/>
                <w:bCs w:val="0"/>
                <w:color w:val="auto"/>
                <w:sz w:val="22"/>
                <w:szCs w:val="22"/>
              </w:rPr>
              <w:t>CLONazepam</w:t>
            </w:r>
            <w:proofErr w:type="spellEnd"/>
            <w:r w:rsidR="0044210C">
              <w:rPr>
                <w:b w:val="0"/>
                <w:bCs w:val="0"/>
                <w:color w:val="auto"/>
                <w:sz w:val="22"/>
                <w:szCs w:val="22"/>
              </w:rPr>
              <w:t xml:space="preserve"> oral liquid</w:t>
            </w:r>
            <w:r w:rsidR="0044210C" w:rsidRPr="000E5B5B">
              <w:rPr>
                <w:b w:val="0"/>
                <w:bCs w:val="0"/>
                <w:color w:val="auto"/>
                <w:sz w:val="22"/>
                <w:szCs w:val="22"/>
              </w:rPr>
              <w:t>, always confirm the following are documented on all prescriptions and medication orders</w:t>
            </w:r>
            <w:r w:rsidR="009723C4">
              <w:rPr>
                <w:b w:val="0"/>
                <w:bCs w:val="0"/>
                <w:color w:val="auto"/>
                <w:sz w:val="22"/>
                <w:szCs w:val="22"/>
              </w:rPr>
              <w:t xml:space="preserve"> (</w:t>
            </w:r>
            <w:r w:rsidR="009723C4" w:rsidRPr="009723C4">
              <w:rPr>
                <w:b w:val="0"/>
                <w:bCs w:val="0"/>
                <w:color w:val="auto"/>
                <w:sz w:val="22"/>
                <w:szCs w:val="22"/>
              </w:rPr>
              <w:t>in accordance with state or territory legislative requirements</w:t>
            </w:r>
            <w:r w:rsidR="009723C4">
              <w:rPr>
                <w:b w:val="0"/>
                <w:bCs w:val="0"/>
                <w:color w:val="auto"/>
                <w:sz w:val="22"/>
                <w:szCs w:val="22"/>
              </w:rPr>
              <w:t>)</w:t>
            </w:r>
            <w:r w:rsidR="0044210C">
              <w:rPr>
                <w:b w:val="0"/>
                <w:bCs w:val="0"/>
                <w:color w:val="auto"/>
                <w:sz w:val="22"/>
                <w:szCs w:val="22"/>
              </w:rPr>
              <w:t>:</w:t>
            </w:r>
            <w:r w:rsidR="0044210C" w:rsidRPr="000E5B5B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44210C" w14:paraId="3312FD21" w14:textId="77777777" w:rsidTr="0059337C">
        <w:trPr>
          <w:trHeight w:val="2645"/>
        </w:trPr>
        <w:tc>
          <w:tcPr>
            <w:tcW w:w="5000" w:type="pct"/>
            <w:tcMar>
              <w:top w:w="0" w:type="dxa"/>
            </w:tcMar>
          </w:tcPr>
          <w:p w14:paraId="0D52F69B" w14:textId="77777777" w:rsidR="0044210C" w:rsidRDefault="0044210C" w:rsidP="00AF60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Arial"/>
                <w:color w:val="000000"/>
                <w:lang w:eastAsia="en-GB"/>
              </w:rPr>
            </w:pPr>
            <w:r w:rsidRPr="00CB5AE8">
              <w:rPr>
                <w:rFonts w:cs="Arial"/>
                <w:color w:val="000000"/>
                <w:lang w:eastAsia="en-GB"/>
              </w:rPr>
              <w:t>Active ingredient nam</w:t>
            </w:r>
            <w:r>
              <w:rPr>
                <w:rFonts w:cs="Arial"/>
                <w:color w:val="000000"/>
                <w:lang w:eastAsia="en-GB"/>
              </w:rPr>
              <w:t>e</w:t>
            </w:r>
          </w:p>
          <w:p w14:paraId="42CB5646" w14:textId="5E635440" w:rsidR="0044210C" w:rsidRDefault="0044210C" w:rsidP="00AF60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Arial"/>
                <w:color w:val="000000"/>
                <w:lang w:eastAsia="en-GB"/>
              </w:rPr>
            </w:pPr>
            <w:r w:rsidRPr="00CB5AE8">
              <w:rPr>
                <w:rFonts w:cs="Arial"/>
                <w:color w:val="000000"/>
                <w:lang w:eastAsia="en-GB"/>
              </w:rPr>
              <w:t>St</w:t>
            </w:r>
            <w:r>
              <w:rPr>
                <w:rFonts w:cs="Arial"/>
                <w:color w:val="000000"/>
                <w:lang w:eastAsia="en-GB"/>
              </w:rPr>
              <w:t>rength or concentration of product (</w:t>
            </w:r>
            <w:r w:rsidR="00F3494B">
              <w:rPr>
                <w:rFonts w:cs="Arial"/>
                <w:color w:val="000000"/>
                <w:lang w:eastAsia="en-GB"/>
              </w:rPr>
              <w:t>2.5</w:t>
            </w:r>
            <w:r>
              <w:rPr>
                <w:rFonts w:cs="Arial"/>
                <w:color w:val="000000"/>
                <w:lang w:eastAsia="en-GB"/>
              </w:rPr>
              <w:t xml:space="preserve"> mg/mL, with </w:t>
            </w:r>
            <w:r w:rsidR="009B5D64">
              <w:rPr>
                <w:rFonts w:cs="Arial"/>
                <w:color w:val="000000"/>
                <w:lang w:eastAsia="en-GB"/>
              </w:rPr>
              <w:t>dose equivalence</w:t>
            </w:r>
            <w:r>
              <w:rPr>
                <w:rFonts w:cs="Arial"/>
                <w:color w:val="000000"/>
                <w:lang w:eastAsia="en-GB"/>
              </w:rPr>
              <w:t xml:space="preserve"> of </w:t>
            </w:r>
            <w:r w:rsidRPr="009158F6">
              <w:rPr>
                <w:rFonts w:cs="Arial"/>
                <w:color w:val="000000"/>
                <w:lang w:eastAsia="en-GB"/>
              </w:rPr>
              <w:t>1 drop = 0.1 mg</w:t>
            </w:r>
            <w:r>
              <w:rPr>
                <w:rFonts w:cs="Arial"/>
                <w:color w:val="000000"/>
                <w:lang w:eastAsia="en-GB"/>
              </w:rPr>
              <w:t>)</w:t>
            </w:r>
          </w:p>
          <w:p w14:paraId="0DB99D97" w14:textId="77777777" w:rsidR="0044210C" w:rsidRDefault="0044210C" w:rsidP="00AF60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Formulation</w:t>
            </w:r>
          </w:p>
          <w:p w14:paraId="15713722" w14:textId="0BBA39D3" w:rsidR="00DB3F94" w:rsidRPr="004E4314" w:rsidRDefault="0044210C" w:rsidP="00DB3F9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Dose in drops </w:t>
            </w:r>
            <w:r w:rsidR="002D6C10">
              <w:rPr>
                <w:rFonts w:cs="Arial"/>
                <w:color w:val="000000"/>
                <w:lang w:eastAsia="en-GB"/>
              </w:rPr>
              <w:t xml:space="preserve">with the </w:t>
            </w:r>
            <w:r w:rsidR="009B5D64">
              <w:rPr>
                <w:rFonts w:cs="Arial"/>
                <w:color w:val="000000"/>
                <w:lang w:eastAsia="en-GB"/>
              </w:rPr>
              <w:t xml:space="preserve">corresponding </w:t>
            </w:r>
            <w:r w:rsidRPr="00A83BF4">
              <w:rPr>
                <w:rFonts w:cs="Arial"/>
                <w:color w:val="000000"/>
                <w:lang w:eastAsia="en-GB"/>
              </w:rPr>
              <w:t>milligram</w:t>
            </w:r>
            <w:r w:rsidR="009B5D64" w:rsidRPr="00A83BF4">
              <w:rPr>
                <w:rFonts w:cs="Arial"/>
                <w:color w:val="000000"/>
                <w:lang w:eastAsia="en-GB"/>
              </w:rPr>
              <w:t>s in the medication</w:t>
            </w:r>
            <w:r w:rsidR="009B5D64">
              <w:rPr>
                <w:rFonts w:cs="Arial"/>
                <w:color w:val="000000"/>
                <w:lang w:eastAsia="en-GB"/>
              </w:rPr>
              <w:t xml:space="preserve"> order</w:t>
            </w:r>
          </w:p>
          <w:p w14:paraId="27C19AEA" w14:textId="77777777" w:rsidR="0044210C" w:rsidRDefault="0044210C" w:rsidP="00AF60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Route</w:t>
            </w:r>
          </w:p>
          <w:p w14:paraId="4960D474" w14:textId="77777777" w:rsidR="0044210C" w:rsidRDefault="0044210C" w:rsidP="00AF60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Dosing frequency </w:t>
            </w:r>
          </w:p>
          <w:p w14:paraId="22C350FE" w14:textId="401F5D99" w:rsidR="0044210C" w:rsidRPr="00922041" w:rsidRDefault="0044210C" w:rsidP="00AF6074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cs="Arial"/>
                <w:color w:val="000000"/>
                <w:lang w:eastAsia="en-GB"/>
              </w:rPr>
              <w:t>Quantity for supply</w:t>
            </w:r>
            <w:r w:rsidR="0059337C">
              <w:rPr>
                <w:rFonts w:cs="Arial"/>
                <w:color w:val="000000"/>
                <w:lang w:eastAsia="en-GB"/>
              </w:rPr>
              <w:t>.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</w:p>
          <w:p w14:paraId="3A06D480" w14:textId="232D518A" w:rsidR="0044210C" w:rsidRDefault="0044210C" w:rsidP="00AF6074">
            <w:pPr>
              <w:spacing w:after="0"/>
            </w:pPr>
            <w:proofErr w:type="spellStart"/>
            <w:r w:rsidRPr="0068269C">
              <w:t>C</w:t>
            </w:r>
            <w:r w:rsidR="00DE3DE4">
              <w:t>LON</w:t>
            </w:r>
            <w:r w:rsidRPr="0068269C">
              <w:t>azepam</w:t>
            </w:r>
            <w:proofErr w:type="spellEnd"/>
            <w:r w:rsidRPr="0068269C">
              <w:t xml:space="preserve"> is included in Appendix D of the </w:t>
            </w:r>
            <w:hyperlink r:id="rId11" w:history="1">
              <w:r w:rsidRPr="007A6BA3">
                <w:rPr>
                  <w:rStyle w:val="Hyperlink"/>
                </w:rPr>
                <w:t>Poisons Standard</w:t>
              </w:r>
            </w:hyperlink>
            <w:r w:rsidRPr="0068269C">
              <w:t>. Appendix D places additional controls on the possession or supply of selected Schedule 4 poisons</w:t>
            </w:r>
            <w:r>
              <w:t xml:space="preserve">. </w:t>
            </w:r>
          </w:p>
        </w:tc>
      </w:tr>
    </w:tbl>
    <w:p w14:paraId="1565740D" w14:textId="269C54E6" w:rsidR="0084682A" w:rsidRDefault="0084682A" w:rsidP="00787466">
      <w:pPr>
        <w:pStyle w:val="Heading4"/>
      </w:pPr>
      <w:r>
        <w:t>Prescribing</w:t>
      </w:r>
    </w:p>
    <w:p w14:paraId="0EEEE496" w14:textId="22868582" w:rsidR="00D3523B" w:rsidRPr="006E3899" w:rsidRDefault="0084682A" w:rsidP="000F3FA9">
      <w:pPr>
        <w:pStyle w:val="ListParagraph"/>
        <w:numPr>
          <w:ilvl w:val="0"/>
          <w:numId w:val="13"/>
        </w:numPr>
      </w:pPr>
      <w:r w:rsidRPr="006E3899">
        <w:t xml:space="preserve">Prescribe doses of </w:t>
      </w:r>
      <w:proofErr w:type="spellStart"/>
      <w:r w:rsidR="00D179DB" w:rsidRPr="006E3899">
        <w:t>CLON</w:t>
      </w:r>
      <w:r w:rsidRPr="006E3899">
        <w:t>azepam</w:t>
      </w:r>
      <w:proofErr w:type="spellEnd"/>
      <w:r w:rsidRPr="006E3899">
        <w:t xml:space="preserve"> oral liquid in </w:t>
      </w:r>
      <w:r w:rsidR="008104F9" w:rsidRPr="006E3899">
        <w:t>number of drops</w:t>
      </w:r>
      <w:r w:rsidRPr="006E3899">
        <w:t xml:space="preserve"> </w:t>
      </w:r>
      <w:r w:rsidR="008104F9" w:rsidRPr="006E3899">
        <w:t xml:space="preserve">in line with </w:t>
      </w:r>
      <w:r w:rsidR="006E3899">
        <w:t xml:space="preserve">the </w:t>
      </w:r>
      <w:r w:rsidR="008104F9" w:rsidRPr="006E3899">
        <w:t xml:space="preserve">product </w:t>
      </w:r>
      <w:r w:rsidR="00837107">
        <w:t>information</w:t>
      </w:r>
      <w:r w:rsidR="00AE727E" w:rsidRPr="006E3899">
        <w:t xml:space="preserve"> </w:t>
      </w:r>
      <w:r w:rsidR="00033B7B" w:rsidRPr="006E3899">
        <w:t>and in accordance with state or territory legislative requirements</w:t>
      </w:r>
      <w:r w:rsidR="00671B6A">
        <w:t>.</w:t>
      </w:r>
    </w:p>
    <w:p w14:paraId="17345F37" w14:textId="1DBC8E64" w:rsidR="00A61897" w:rsidRPr="006E3899" w:rsidRDefault="008104F9" w:rsidP="004E4314">
      <w:pPr>
        <w:pStyle w:val="ListParagraph"/>
        <w:numPr>
          <w:ilvl w:val="0"/>
          <w:numId w:val="13"/>
        </w:numPr>
      </w:pPr>
      <w:r w:rsidRPr="006E3899">
        <w:t>I</w:t>
      </w:r>
      <w:r w:rsidR="00D3523B" w:rsidRPr="006E3899">
        <w:t xml:space="preserve">nclude </w:t>
      </w:r>
      <w:r w:rsidRPr="006E3899">
        <w:t xml:space="preserve">the </w:t>
      </w:r>
      <w:r w:rsidR="00D3523B" w:rsidRPr="006E3899">
        <w:t xml:space="preserve">dose in </w:t>
      </w:r>
      <w:r w:rsidR="0084682A" w:rsidRPr="006E3899">
        <w:t>milligram</w:t>
      </w:r>
      <w:r w:rsidR="00E7728A">
        <w:t>s</w:t>
      </w:r>
      <w:r w:rsidR="0084682A" w:rsidRPr="006E3899">
        <w:t xml:space="preserve"> </w:t>
      </w:r>
      <w:r w:rsidR="009B5D64">
        <w:t>in the medication order</w:t>
      </w:r>
      <w:r w:rsidR="008C54E4" w:rsidRPr="006E3899">
        <w:t xml:space="preserve">. For example, </w:t>
      </w:r>
      <w:r w:rsidR="00E7728A">
        <w:t>“</w:t>
      </w:r>
      <w:r w:rsidRPr="006E3899">
        <w:t>G</w:t>
      </w:r>
      <w:r w:rsidR="00A61897" w:rsidRPr="006E3899">
        <w:t xml:space="preserve">ive 5 </w:t>
      </w:r>
      <w:r w:rsidRPr="006E3899">
        <w:t xml:space="preserve">drops </w:t>
      </w:r>
      <w:r w:rsidR="00A61897" w:rsidRPr="006E3899">
        <w:t>(0.5</w:t>
      </w:r>
      <w:r w:rsidRPr="006E3899">
        <w:t xml:space="preserve"> </w:t>
      </w:r>
      <w:r w:rsidR="00A61897" w:rsidRPr="006E3899">
        <w:t>mg) once in the evening</w:t>
      </w:r>
      <w:r w:rsidR="00E7728A">
        <w:t>”</w:t>
      </w:r>
      <w:r w:rsidR="00671B6A">
        <w:t>.</w:t>
      </w:r>
    </w:p>
    <w:p w14:paraId="01BA0A24" w14:textId="65AF54B6" w:rsidR="00130131" w:rsidRPr="006E3899" w:rsidRDefault="000D3475" w:rsidP="008D79E3">
      <w:pPr>
        <w:pStyle w:val="ListParagraph"/>
        <w:numPr>
          <w:ilvl w:val="0"/>
          <w:numId w:val="13"/>
        </w:numPr>
      </w:pPr>
      <w:r w:rsidRPr="006E3899">
        <w:t>I</w:t>
      </w:r>
      <w:r w:rsidR="008104F9" w:rsidRPr="006E3899">
        <w:t>nclude the strength</w:t>
      </w:r>
      <w:r w:rsidR="0084682A" w:rsidRPr="006E3899">
        <w:t xml:space="preserve"> (2.5</w:t>
      </w:r>
      <w:r w:rsidR="00867AC2" w:rsidRPr="006E3899">
        <w:t xml:space="preserve"> </w:t>
      </w:r>
      <w:r w:rsidR="0084682A" w:rsidRPr="006E3899">
        <w:t xml:space="preserve">mg/mL) </w:t>
      </w:r>
      <w:r w:rsidR="00C64759" w:rsidRPr="006E3899">
        <w:t>of the</w:t>
      </w:r>
      <w:r w:rsidR="0084682A" w:rsidRPr="006E3899">
        <w:t xml:space="preserve"> medicine</w:t>
      </w:r>
      <w:r w:rsidR="002043C7" w:rsidRPr="006E3899">
        <w:t xml:space="preserve"> on the prescription</w:t>
      </w:r>
      <w:r w:rsidR="00867AC2" w:rsidRPr="006E3899">
        <w:t xml:space="preserve"> or </w:t>
      </w:r>
      <w:r w:rsidR="002043C7" w:rsidRPr="006E3899">
        <w:t>medication chart</w:t>
      </w:r>
      <w:r w:rsidR="008104F9" w:rsidRPr="006E3899">
        <w:t xml:space="preserve"> and </w:t>
      </w:r>
      <w:r w:rsidR="009B5D64">
        <w:t xml:space="preserve">document the dose equivalence </w:t>
      </w:r>
      <w:r w:rsidR="0084682A" w:rsidRPr="006E3899">
        <w:t>as 1 drop = 0.1</w:t>
      </w:r>
      <w:r w:rsidR="00867AC2" w:rsidRPr="006E3899">
        <w:t xml:space="preserve"> </w:t>
      </w:r>
      <w:r w:rsidR="0084682A" w:rsidRPr="006E3899">
        <w:t>mg</w:t>
      </w:r>
      <w:r w:rsidR="00671B6A">
        <w:t>.</w:t>
      </w:r>
    </w:p>
    <w:p w14:paraId="0AA11274" w14:textId="1251C7C6" w:rsidR="002D6B12" w:rsidRDefault="00D179DB" w:rsidP="002043C7">
      <w:pPr>
        <w:pStyle w:val="ListParagraph"/>
        <w:numPr>
          <w:ilvl w:val="0"/>
          <w:numId w:val="13"/>
        </w:numPr>
      </w:pPr>
      <w:proofErr w:type="spellStart"/>
      <w:r>
        <w:t>CLON</w:t>
      </w:r>
      <w:r w:rsidR="00115E39" w:rsidRPr="00115E39">
        <w:t>azepam</w:t>
      </w:r>
      <w:proofErr w:type="spellEnd"/>
      <w:r w:rsidR="00115E39" w:rsidRPr="00115E39">
        <w:t xml:space="preserve"> tablets</w:t>
      </w:r>
      <w:r w:rsidR="007A2E92">
        <w:t xml:space="preserve"> </w:t>
      </w:r>
      <w:r w:rsidR="00115E39" w:rsidRPr="00115E39">
        <w:t>can be crushed</w:t>
      </w:r>
      <w:r w:rsidR="00867AC2">
        <w:t xml:space="preserve"> and dispersed in water</w:t>
      </w:r>
      <w:r w:rsidR="00E73803">
        <w:t xml:space="preserve"> and can be </w:t>
      </w:r>
      <w:r w:rsidR="00247A74">
        <w:t xml:space="preserve">prescribed as </w:t>
      </w:r>
      <w:r w:rsidR="00E73803">
        <w:t>an alternative if appropriate</w:t>
      </w:r>
      <w:r w:rsidR="00AF7732">
        <w:t xml:space="preserve">. Refer to </w:t>
      </w:r>
      <w:hyperlink r:id="rId12" w:history="1">
        <w:r w:rsidR="00AF7732" w:rsidRPr="00AF7732">
          <w:rPr>
            <w:color w:val="0000FF"/>
            <w:u w:val="single"/>
          </w:rPr>
          <w:t>Don't Rush to Crush - Advanced Pharmacy Australia</w:t>
        </w:r>
      </w:hyperlink>
      <w:r w:rsidR="00E73803">
        <w:t xml:space="preserve"> for further information</w:t>
      </w:r>
      <w:r w:rsidR="00671B6A">
        <w:t>.</w:t>
      </w:r>
    </w:p>
    <w:p w14:paraId="0C4CB2DE" w14:textId="34D0745F" w:rsidR="007E012E" w:rsidRDefault="007E012E" w:rsidP="002043C7">
      <w:pPr>
        <w:pStyle w:val="ListParagraph"/>
        <w:numPr>
          <w:ilvl w:val="0"/>
          <w:numId w:val="13"/>
        </w:numPr>
      </w:pPr>
      <w:r>
        <w:t xml:space="preserve">Use standardised terminology, abbreviations and symbols when prescribing in </w:t>
      </w:r>
      <w:r w:rsidR="00A83BF4">
        <w:t xml:space="preserve">line </w:t>
      </w:r>
      <w:r>
        <w:t xml:space="preserve">with </w:t>
      </w:r>
      <w:hyperlink r:id="rId13" w:history="1">
        <w:r w:rsidRPr="007E012E">
          <w:rPr>
            <w:rStyle w:val="Hyperlink"/>
          </w:rPr>
          <w:t>Recommendations for safe use of medicines terminology</w:t>
        </w:r>
      </w:hyperlink>
      <w:r>
        <w:t xml:space="preserve">. </w:t>
      </w:r>
    </w:p>
    <w:p w14:paraId="73D45D18" w14:textId="342BC040" w:rsidR="003A429C" w:rsidRDefault="003A429C" w:rsidP="00787466">
      <w:pPr>
        <w:pStyle w:val="Heading4"/>
      </w:pPr>
      <w:r>
        <w:t>Dispensing</w:t>
      </w:r>
    </w:p>
    <w:p w14:paraId="44D10B51" w14:textId="6669C1DB" w:rsidR="000F5FC6" w:rsidRPr="006E3899" w:rsidRDefault="007E7222" w:rsidP="000F3FA9">
      <w:pPr>
        <w:pStyle w:val="ListParagraph"/>
        <w:numPr>
          <w:ilvl w:val="0"/>
          <w:numId w:val="14"/>
        </w:numPr>
      </w:pPr>
      <w:r w:rsidRPr="006E3899">
        <w:t xml:space="preserve">Dispense </w:t>
      </w:r>
      <w:proofErr w:type="spellStart"/>
      <w:r w:rsidR="008104F9" w:rsidRPr="006E3899">
        <w:t>CLONazepam</w:t>
      </w:r>
      <w:proofErr w:type="spellEnd"/>
      <w:r w:rsidR="008104F9" w:rsidRPr="006E3899">
        <w:t xml:space="preserve"> oral liquid </w:t>
      </w:r>
      <w:r w:rsidRPr="006E3899">
        <w:t xml:space="preserve">with </w:t>
      </w:r>
      <w:r w:rsidR="000B343A" w:rsidRPr="006E3899">
        <w:t xml:space="preserve">the </w:t>
      </w:r>
      <w:r w:rsidRPr="006E3899">
        <w:t>original packaging and product-specific dropper</w:t>
      </w:r>
      <w:r w:rsidR="00671B6A">
        <w:t>.</w:t>
      </w:r>
    </w:p>
    <w:p w14:paraId="5CD08A78" w14:textId="023EE0FA" w:rsidR="00217068" w:rsidRPr="006E3899" w:rsidRDefault="002035EF" w:rsidP="00F604F3">
      <w:pPr>
        <w:pStyle w:val="ListParagraph"/>
        <w:numPr>
          <w:ilvl w:val="0"/>
          <w:numId w:val="14"/>
        </w:numPr>
      </w:pPr>
      <w:r w:rsidRPr="006E3899">
        <w:t>Label the dispensed product with explicit dosing instructions</w:t>
      </w:r>
      <w:r w:rsidR="00217068" w:rsidRPr="006E3899">
        <w:t xml:space="preserve"> matching the prescribed dose</w:t>
      </w:r>
      <w:r w:rsidRPr="006E3899">
        <w:t xml:space="preserve"> </w:t>
      </w:r>
      <w:r w:rsidR="003A429C" w:rsidRPr="006E3899">
        <w:t>in</w:t>
      </w:r>
      <w:r w:rsidR="00217068" w:rsidRPr="006E3899">
        <w:t xml:space="preserve"> </w:t>
      </w:r>
      <w:r w:rsidR="000B343A" w:rsidRPr="006E3899">
        <w:t>drops</w:t>
      </w:r>
      <w:r w:rsidR="003A429C" w:rsidRPr="006E3899">
        <w:t xml:space="preserve"> </w:t>
      </w:r>
      <w:r w:rsidR="001972A6">
        <w:t xml:space="preserve">and </w:t>
      </w:r>
      <w:r w:rsidR="00217068" w:rsidRPr="006E3899">
        <w:t>milligrams</w:t>
      </w:r>
      <w:r w:rsidR="00BB6442" w:rsidRPr="006E3899">
        <w:t xml:space="preserve">. </w:t>
      </w:r>
      <w:r w:rsidR="00F604F3" w:rsidRPr="006E3899">
        <w:t>Refer to</w:t>
      </w:r>
      <w:r w:rsidR="001972A6">
        <w:t xml:space="preserve"> the</w:t>
      </w:r>
      <w:r w:rsidR="00F604F3" w:rsidRPr="006E3899">
        <w:t xml:space="preserve"> </w:t>
      </w:r>
      <w:hyperlink r:id="rId14" w:history="1">
        <w:r w:rsidR="00F604F3" w:rsidRPr="006E3899">
          <w:rPr>
            <w:rStyle w:val="Hyperlink"/>
          </w:rPr>
          <w:t>National Standard for Labelling Dispensed Medicines</w:t>
        </w:r>
      </w:hyperlink>
      <w:r w:rsidR="00F604F3" w:rsidRPr="006E3899">
        <w:t xml:space="preserve"> for </w:t>
      </w:r>
      <w:r w:rsidR="00FC3AF2">
        <w:t xml:space="preserve">further </w:t>
      </w:r>
      <w:r w:rsidR="00247A74" w:rsidRPr="006E3899">
        <w:t xml:space="preserve">guidance on </w:t>
      </w:r>
      <w:r w:rsidR="00FC3AF2">
        <w:t>labelling of dispensed medicines</w:t>
      </w:r>
      <w:r w:rsidR="00671B6A">
        <w:t>.</w:t>
      </w:r>
      <w:r w:rsidR="00F604F3" w:rsidRPr="006E3899">
        <w:t xml:space="preserve"> </w:t>
      </w:r>
    </w:p>
    <w:p w14:paraId="6926EF67" w14:textId="4149984F" w:rsidR="00756E5E" w:rsidRPr="006E3899" w:rsidRDefault="00756E5E" w:rsidP="000F3FA9">
      <w:pPr>
        <w:pStyle w:val="ListParagraph"/>
        <w:numPr>
          <w:ilvl w:val="0"/>
          <w:numId w:val="14"/>
        </w:numPr>
      </w:pPr>
      <w:r w:rsidRPr="006E3899">
        <w:t xml:space="preserve">Confirm dosing instructions with the </w:t>
      </w:r>
      <w:r w:rsidR="00F604F3" w:rsidRPr="006E3899">
        <w:t>prescriber,</w:t>
      </w:r>
      <w:r w:rsidRPr="006E3899">
        <w:t xml:space="preserve"> if </w:t>
      </w:r>
      <w:r w:rsidR="00501367" w:rsidRPr="006E3899">
        <w:t>necessary,</w:t>
      </w:r>
      <w:r w:rsidR="002035EF" w:rsidRPr="006E3899">
        <w:t xml:space="preserve"> prior to dispensing</w:t>
      </w:r>
      <w:r w:rsidR="00145E71" w:rsidRPr="006E3899">
        <w:t>, labelling</w:t>
      </w:r>
      <w:r w:rsidR="002035EF" w:rsidRPr="006E3899">
        <w:t xml:space="preserve"> and supplying</w:t>
      </w:r>
      <w:r w:rsidR="00671B6A">
        <w:t>.</w:t>
      </w:r>
    </w:p>
    <w:p w14:paraId="34BFDFA9" w14:textId="3F64DF1A" w:rsidR="00452790" w:rsidRPr="006E3899" w:rsidRDefault="00BE2FD6" w:rsidP="000F3FA9">
      <w:pPr>
        <w:pStyle w:val="ListParagraph"/>
        <w:numPr>
          <w:ilvl w:val="0"/>
          <w:numId w:val="14"/>
        </w:numPr>
      </w:pPr>
      <w:r w:rsidRPr="006E3899">
        <w:t xml:space="preserve">Provide </w:t>
      </w:r>
      <w:r w:rsidR="000B343A" w:rsidRPr="006E3899">
        <w:t>clear</w:t>
      </w:r>
      <w:r w:rsidR="00DD7A21" w:rsidRPr="006E3899">
        <w:t xml:space="preserve"> </w:t>
      </w:r>
      <w:r w:rsidR="00152521" w:rsidRPr="006E3899">
        <w:t>instructions</w:t>
      </w:r>
      <w:r w:rsidR="000B343A" w:rsidRPr="006E3899">
        <w:t xml:space="preserve"> to count the prescribed number of drops onto a spoon </w:t>
      </w:r>
      <w:r w:rsidR="000D3475" w:rsidRPr="006E3899">
        <w:t xml:space="preserve">or a </w:t>
      </w:r>
      <w:r w:rsidR="00B823B0" w:rsidRPr="006E3899">
        <w:t xml:space="preserve">plastic </w:t>
      </w:r>
      <w:r w:rsidR="000D3475" w:rsidRPr="006E3899">
        <w:t xml:space="preserve">medicine cup </w:t>
      </w:r>
      <w:r w:rsidR="000B343A" w:rsidRPr="006E3899">
        <w:t xml:space="preserve">before administration. </w:t>
      </w:r>
      <w:r w:rsidR="00145118" w:rsidRPr="006E3899">
        <w:t>Refer to</w:t>
      </w:r>
      <w:r w:rsidR="00DD7A21" w:rsidRPr="006E3899">
        <w:t xml:space="preserve"> </w:t>
      </w:r>
      <w:hyperlink r:id="rId15" w:history="1">
        <w:r w:rsidR="00E23EC6" w:rsidRPr="006E3899">
          <w:rPr>
            <w:rStyle w:val="Hyperlink"/>
          </w:rPr>
          <w:t>Consumer Medicine Information</w:t>
        </w:r>
      </w:hyperlink>
      <w:r w:rsidR="00145118" w:rsidRPr="006E3899">
        <w:t xml:space="preserve"> for further information</w:t>
      </w:r>
      <w:r w:rsidR="00671B6A">
        <w:t>.</w:t>
      </w:r>
    </w:p>
    <w:p w14:paraId="036EECC4" w14:textId="63EDC887" w:rsidR="00745D32" w:rsidRPr="006E3899" w:rsidRDefault="00824BEB" w:rsidP="00AD5E9E">
      <w:pPr>
        <w:pStyle w:val="ListParagraph"/>
        <w:numPr>
          <w:ilvl w:val="0"/>
          <w:numId w:val="14"/>
        </w:numPr>
      </w:pPr>
      <w:r w:rsidRPr="006E3899">
        <w:t xml:space="preserve">When </w:t>
      </w:r>
      <w:r w:rsidR="00AA2849">
        <w:t xml:space="preserve">storing and </w:t>
      </w:r>
      <w:r w:rsidRPr="006E3899">
        <w:t xml:space="preserve">dispensing </w:t>
      </w:r>
      <w:proofErr w:type="spellStart"/>
      <w:r w:rsidRPr="006E3899">
        <w:t>CLONazepam</w:t>
      </w:r>
      <w:proofErr w:type="spellEnd"/>
      <w:r w:rsidRPr="006E3899">
        <w:t>, a</w:t>
      </w:r>
      <w:r w:rsidR="000B343A" w:rsidRPr="006E3899">
        <w:t>pply</w:t>
      </w:r>
      <w:r w:rsidR="00005E8B" w:rsidRPr="006E3899">
        <w:t xml:space="preserve"> the</w:t>
      </w:r>
      <w:r w:rsidR="000B343A" w:rsidRPr="006E3899">
        <w:t xml:space="preserve"> </w:t>
      </w:r>
      <w:hyperlink r:id="rId16" w:history="1">
        <w:r w:rsidR="00AD5E9E" w:rsidRPr="006E3899">
          <w:rPr>
            <w:rStyle w:val="Hyperlink"/>
          </w:rPr>
          <w:t>Principles for safe selection and storage of medicines</w:t>
        </w:r>
      </w:hyperlink>
      <w:r w:rsidR="00AD5E9E" w:rsidRPr="006E3899">
        <w:t xml:space="preserve"> </w:t>
      </w:r>
      <w:r w:rsidRPr="006E3899">
        <w:t>as this medicine is</w:t>
      </w:r>
      <w:r w:rsidR="000B343A" w:rsidRPr="006E3899">
        <w:t xml:space="preserve"> associated with </w:t>
      </w:r>
      <w:r w:rsidR="00AD5E9E" w:rsidRPr="006E3899">
        <w:t xml:space="preserve">‘look-alike, sound-alike’ (LASA) </w:t>
      </w:r>
      <w:r w:rsidRPr="006E3899">
        <w:t xml:space="preserve">selection </w:t>
      </w:r>
      <w:r w:rsidR="006E3899">
        <w:t>errors</w:t>
      </w:r>
      <w:r w:rsidR="00AD5E9E" w:rsidRPr="006E3899">
        <w:t xml:space="preserve">. </w:t>
      </w:r>
    </w:p>
    <w:p w14:paraId="732D2AA2" w14:textId="1E14AB5B" w:rsidR="003A429C" w:rsidRDefault="003A429C" w:rsidP="00787466">
      <w:pPr>
        <w:pStyle w:val="Heading4"/>
      </w:pPr>
      <w:r>
        <w:t>Administ</w:t>
      </w:r>
      <w:r w:rsidR="00DB3F94">
        <w:t>ration</w:t>
      </w:r>
    </w:p>
    <w:p w14:paraId="7454EE5C" w14:textId="6EF3C96B" w:rsidR="0068269C" w:rsidRPr="006E3899" w:rsidRDefault="0068269C" w:rsidP="0068269C">
      <w:pPr>
        <w:pStyle w:val="ListParagraph"/>
        <w:numPr>
          <w:ilvl w:val="0"/>
          <w:numId w:val="15"/>
        </w:numPr>
      </w:pPr>
      <w:r w:rsidRPr="006E3899">
        <w:t xml:space="preserve">Check the prescribed dose is correct in drops </w:t>
      </w:r>
      <w:r w:rsidR="001972A6">
        <w:t xml:space="preserve">and </w:t>
      </w:r>
      <w:r w:rsidRPr="006E3899">
        <w:t>milligrams</w:t>
      </w:r>
      <w:r w:rsidR="00671B6A">
        <w:t>.</w:t>
      </w:r>
    </w:p>
    <w:p w14:paraId="4F3221BA" w14:textId="1982EED5" w:rsidR="0035067B" w:rsidRPr="006E3899" w:rsidRDefault="0035067B" w:rsidP="000F3FA9">
      <w:pPr>
        <w:pStyle w:val="ListParagraph"/>
        <w:numPr>
          <w:ilvl w:val="0"/>
          <w:numId w:val="15"/>
        </w:numPr>
      </w:pPr>
      <w:r w:rsidRPr="006E3899">
        <w:t xml:space="preserve">If the dose is unclear, always </w:t>
      </w:r>
      <w:r w:rsidR="00B7515F" w:rsidRPr="006E3899">
        <w:t>check with the prescriber</w:t>
      </w:r>
      <w:r w:rsidR="00B823B0" w:rsidRPr="006E3899">
        <w:t xml:space="preserve"> or pharmacist</w:t>
      </w:r>
      <w:r w:rsidR="008D3FF6" w:rsidRPr="006E3899">
        <w:t xml:space="preserve"> before administering</w:t>
      </w:r>
      <w:r w:rsidR="00671B6A">
        <w:t>.</w:t>
      </w:r>
    </w:p>
    <w:p w14:paraId="1A74C531" w14:textId="4F1116A7" w:rsidR="0068269C" w:rsidRPr="006E3899" w:rsidRDefault="0068269C" w:rsidP="000F3FA9">
      <w:pPr>
        <w:pStyle w:val="ListParagraph"/>
        <w:numPr>
          <w:ilvl w:val="0"/>
          <w:numId w:val="15"/>
        </w:numPr>
      </w:pPr>
      <w:r w:rsidRPr="006E3899">
        <w:lastRenderedPageBreak/>
        <w:t xml:space="preserve">Keep </w:t>
      </w:r>
      <w:proofErr w:type="spellStart"/>
      <w:r w:rsidRPr="006E3899">
        <w:t>CLONazepam</w:t>
      </w:r>
      <w:proofErr w:type="spellEnd"/>
      <w:r w:rsidRPr="006E3899">
        <w:t xml:space="preserve"> oral liquid in its original manufacturer’s container and measure </w:t>
      </w:r>
      <w:r w:rsidR="008C74EA">
        <w:t xml:space="preserve">only </w:t>
      </w:r>
      <w:r w:rsidRPr="006E3899">
        <w:t>using the dropper supplied</w:t>
      </w:r>
      <w:r w:rsidR="00671B6A">
        <w:t>.</w:t>
      </w:r>
    </w:p>
    <w:p w14:paraId="69FCA6BB" w14:textId="5D9EE420" w:rsidR="00DE3A8B" w:rsidRPr="006E3899" w:rsidRDefault="00DE3A8B" w:rsidP="00DE3A8B">
      <w:pPr>
        <w:pStyle w:val="ListParagraph"/>
        <w:numPr>
          <w:ilvl w:val="0"/>
          <w:numId w:val="15"/>
        </w:numPr>
      </w:pPr>
      <w:r w:rsidRPr="006E3899">
        <w:t xml:space="preserve">Before measuring every dose, ensure the </w:t>
      </w:r>
      <w:r w:rsidR="006E3899">
        <w:t xml:space="preserve">product-specific </w:t>
      </w:r>
      <w:r w:rsidRPr="006E3899">
        <w:t>dropper is secured within the neck of the bottle</w:t>
      </w:r>
      <w:r w:rsidR="00671B6A">
        <w:t>.</w:t>
      </w:r>
    </w:p>
    <w:p w14:paraId="433004F8" w14:textId="33A28933" w:rsidR="0068269C" w:rsidRPr="006E3899" w:rsidRDefault="0068269C" w:rsidP="0068269C">
      <w:pPr>
        <w:pStyle w:val="ListParagraph"/>
        <w:numPr>
          <w:ilvl w:val="0"/>
          <w:numId w:val="15"/>
        </w:numPr>
      </w:pPr>
      <w:r w:rsidRPr="006E3899">
        <w:t xml:space="preserve">Keep the dropper at </w:t>
      </w:r>
      <w:r w:rsidR="001972A6">
        <w:t xml:space="preserve">a </w:t>
      </w:r>
      <w:r w:rsidRPr="006E3899">
        <w:t>consistent vertical angle to ensure accuracy when measuring drops</w:t>
      </w:r>
      <w:r w:rsidR="00671B6A">
        <w:t>.</w:t>
      </w:r>
    </w:p>
    <w:p w14:paraId="0A5D8B9B" w14:textId="7D7640BE" w:rsidR="00161A57" w:rsidRPr="006E3899" w:rsidRDefault="0068269C" w:rsidP="000F3FA9">
      <w:pPr>
        <w:pStyle w:val="ListParagraph"/>
        <w:numPr>
          <w:ilvl w:val="0"/>
          <w:numId w:val="15"/>
        </w:numPr>
      </w:pPr>
      <w:r w:rsidRPr="006E3899">
        <w:t>M</w:t>
      </w:r>
      <w:r w:rsidR="00161A57" w:rsidRPr="006E3899">
        <w:t>easure the prescribed dose in drops onto a</w:t>
      </w:r>
      <w:r w:rsidRPr="006E3899">
        <w:t xml:space="preserve"> </w:t>
      </w:r>
      <w:r w:rsidR="00387AD6">
        <w:t xml:space="preserve">plastic or metal </w:t>
      </w:r>
      <w:r w:rsidR="00161A57" w:rsidRPr="006E3899">
        <w:t>spoon</w:t>
      </w:r>
      <w:r w:rsidR="00634465" w:rsidRPr="006E3899">
        <w:t xml:space="preserve"> or </w:t>
      </w:r>
      <w:r w:rsidR="00096236">
        <w:t xml:space="preserve">plastic </w:t>
      </w:r>
      <w:r w:rsidR="00634465" w:rsidRPr="006E3899">
        <w:t>medicine cup</w:t>
      </w:r>
      <w:r w:rsidR="00161A57" w:rsidRPr="006E3899">
        <w:t xml:space="preserve"> using the dropper supplied with the product</w:t>
      </w:r>
      <w:r w:rsidRPr="006E3899">
        <w:t xml:space="preserve">. </w:t>
      </w:r>
      <w:r w:rsidR="00634465" w:rsidRPr="006E3899">
        <w:t xml:space="preserve">If required, the measured dose may be </w:t>
      </w:r>
      <w:r w:rsidR="00974305">
        <w:t>mixed</w:t>
      </w:r>
      <w:r w:rsidR="00634465" w:rsidRPr="006E3899">
        <w:t xml:space="preserve"> </w:t>
      </w:r>
      <w:r w:rsidRPr="006E3899">
        <w:t xml:space="preserve">with </w:t>
      </w:r>
      <w:r w:rsidR="00634465" w:rsidRPr="006E3899">
        <w:t xml:space="preserve">a small amount </w:t>
      </w:r>
      <w:r w:rsidRPr="006E3899">
        <w:t>of water</w:t>
      </w:r>
      <w:r w:rsidR="00974305">
        <w:t xml:space="preserve">, tea </w:t>
      </w:r>
      <w:r w:rsidRPr="006E3899">
        <w:t xml:space="preserve">or </w:t>
      </w:r>
      <w:r w:rsidR="00974305">
        <w:t xml:space="preserve">fruit </w:t>
      </w:r>
      <w:r w:rsidRPr="006E3899">
        <w:t>juice</w:t>
      </w:r>
      <w:r w:rsidR="00634465" w:rsidRPr="006E3899">
        <w:t xml:space="preserve"> – refer to </w:t>
      </w:r>
      <w:hyperlink r:id="rId17" w:history="1">
        <w:r w:rsidR="00634465" w:rsidRPr="006E3899">
          <w:rPr>
            <w:color w:val="0000FF"/>
            <w:u w:val="single"/>
          </w:rPr>
          <w:t>Don't Rush to Crush - Advanced Pharmacy Australia</w:t>
        </w:r>
      </w:hyperlink>
      <w:r w:rsidR="00634465" w:rsidRPr="006E3899">
        <w:t xml:space="preserve"> for further information</w:t>
      </w:r>
      <w:r w:rsidR="00D82E72">
        <w:t>, including recommendations for administration via enteral feeding tubes</w:t>
      </w:r>
      <w:r w:rsidR="00671B6A">
        <w:t>.</w:t>
      </w:r>
    </w:p>
    <w:p w14:paraId="5FFB6133" w14:textId="3C9EA359" w:rsidR="00646F0B" w:rsidRPr="006E3899" w:rsidRDefault="00646F0B" w:rsidP="000F3FA9">
      <w:pPr>
        <w:pStyle w:val="ListParagraph"/>
        <w:numPr>
          <w:ilvl w:val="0"/>
          <w:numId w:val="15"/>
        </w:numPr>
      </w:pPr>
      <w:r w:rsidRPr="006E3899">
        <w:t>D</w:t>
      </w:r>
      <w:r w:rsidR="001972A6">
        <w:t>o</w:t>
      </w:r>
      <w:r w:rsidRPr="006E3899">
        <w:t xml:space="preserve"> </w:t>
      </w:r>
      <w:r w:rsidR="001972A6">
        <w:t>not</w:t>
      </w:r>
      <w:r w:rsidRPr="006E3899">
        <w:t xml:space="preserve"> use paper cups or wooden spoons for administration, as they may absorb the dose or leave residue</w:t>
      </w:r>
      <w:r w:rsidR="00671B6A">
        <w:t>.</w:t>
      </w:r>
    </w:p>
    <w:p w14:paraId="3D51D33E" w14:textId="2CED5D95" w:rsidR="00161A57" w:rsidRPr="006E3899" w:rsidRDefault="00455FF2" w:rsidP="000F3FA9">
      <w:pPr>
        <w:pStyle w:val="ListParagraph"/>
        <w:numPr>
          <w:ilvl w:val="0"/>
          <w:numId w:val="15"/>
        </w:numPr>
      </w:pPr>
      <w:r w:rsidRPr="00664AE3">
        <w:t xml:space="preserve">Do </w:t>
      </w:r>
      <w:r>
        <w:t>n</w:t>
      </w:r>
      <w:r w:rsidRPr="00664AE3">
        <w:t xml:space="preserve">ot </w:t>
      </w:r>
      <w:r w:rsidR="00D4100E" w:rsidRPr="00664AE3">
        <w:t xml:space="preserve">administer </w:t>
      </w:r>
      <w:r w:rsidR="002E6866">
        <w:t xml:space="preserve">the dose </w:t>
      </w:r>
      <w:r w:rsidR="00161A57" w:rsidRPr="00664AE3">
        <w:t xml:space="preserve">directly from the dropper into </w:t>
      </w:r>
      <w:r w:rsidR="0050245B" w:rsidRPr="00664AE3">
        <w:t xml:space="preserve">the </w:t>
      </w:r>
      <w:r w:rsidR="00161A57" w:rsidRPr="00664AE3">
        <w:t>mouth</w:t>
      </w:r>
      <w:r w:rsidR="008E7AA7" w:rsidRPr="00664AE3">
        <w:t xml:space="preserve"> as measuring onto a spoon </w:t>
      </w:r>
      <w:r w:rsidR="00096236" w:rsidRPr="00664AE3">
        <w:t xml:space="preserve">or a plastic medicine cup </w:t>
      </w:r>
      <w:r w:rsidR="008E7AA7" w:rsidRPr="00664AE3">
        <w:t>allows for dose verification and reduces risk of accidental overdose. Direct</w:t>
      </w:r>
      <w:r w:rsidR="008E7AA7" w:rsidRPr="006E3899">
        <w:t xml:space="preserve"> administration into the mo</w:t>
      </w:r>
      <w:r w:rsidR="00096236">
        <w:t>u</w:t>
      </w:r>
      <w:r w:rsidR="008E7AA7" w:rsidRPr="006E3899">
        <w:t>th may also increase the risk of contamination of the remaining medicine</w:t>
      </w:r>
      <w:r w:rsidR="00671B6A">
        <w:t>.</w:t>
      </w:r>
      <w:r w:rsidR="008E7AA7" w:rsidRPr="006E3899">
        <w:t xml:space="preserve"> </w:t>
      </w:r>
    </w:p>
    <w:p w14:paraId="276DE96F" w14:textId="292BE536" w:rsidR="00327C2A" w:rsidRDefault="00332046" w:rsidP="000F3FA9">
      <w:pPr>
        <w:pStyle w:val="ListParagraph"/>
        <w:numPr>
          <w:ilvl w:val="0"/>
          <w:numId w:val="15"/>
        </w:numPr>
      </w:pPr>
      <w:r w:rsidRPr="006E3899">
        <w:t>D</w:t>
      </w:r>
      <w:r w:rsidR="00455FF2">
        <w:t>o</w:t>
      </w:r>
      <w:r w:rsidRPr="006E3899">
        <w:t xml:space="preserve"> </w:t>
      </w:r>
      <w:r w:rsidR="00455FF2">
        <w:t>not</w:t>
      </w:r>
      <w:r w:rsidRPr="006E3899">
        <w:t xml:space="preserve"> </w:t>
      </w:r>
      <w:r w:rsidR="00C52FC1" w:rsidRPr="006E3899">
        <w:t>decant or repack</w:t>
      </w:r>
      <w:r w:rsidR="00585868" w:rsidRPr="006E3899">
        <w:t>a</w:t>
      </w:r>
      <w:r w:rsidRPr="006E3899">
        <w:t>ge</w:t>
      </w:r>
      <w:r w:rsidR="00C52FC1" w:rsidRPr="006E3899">
        <w:t xml:space="preserve"> into other containers</w:t>
      </w:r>
      <w:r w:rsidR="00671B6A">
        <w:t>.</w:t>
      </w:r>
    </w:p>
    <w:p w14:paraId="3A21A175" w14:textId="1405186B" w:rsidR="003113FB" w:rsidRPr="006E3899" w:rsidRDefault="00327C2A" w:rsidP="000F3FA9">
      <w:pPr>
        <w:pStyle w:val="ListParagraph"/>
        <w:numPr>
          <w:ilvl w:val="0"/>
          <w:numId w:val="15"/>
        </w:numPr>
      </w:pPr>
      <w:r>
        <w:t xml:space="preserve">Do not </w:t>
      </w:r>
      <w:r w:rsidR="00585868" w:rsidRPr="006E3899">
        <w:t>measur</w:t>
      </w:r>
      <w:r w:rsidR="00332046" w:rsidRPr="006E3899">
        <w:t>e</w:t>
      </w:r>
      <w:r w:rsidR="00585868" w:rsidRPr="006E3899">
        <w:t xml:space="preserve"> the dose </w:t>
      </w:r>
      <w:r w:rsidR="007A1826" w:rsidRPr="006E3899">
        <w:t xml:space="preserve">via alternative </w:t>
      </w:r>
      <w:r w:rsidR="00332046" w:rsidRPr="006E3899">
        <w:t>devices, such as syringes</w:t>
      </w:r>
      <w:r w:rsidR="008C74EA">
        <w:t xml:space="preserve"> or other droppers</w:t>
      </w:r>
      <w:r w:rsidR="00671B6A">
        <w:t>.</w:t>
      </w:r>
      <w:r w:rsidR="00DB3F94" w:rsidRPr="006E3899">
        <w:t xml:space="preserve"> </w:t>
      </w:r>
    </w:p>
    <w:p w14:paraId="36DDD325" w14:textId="709CE439" w:rsidR="00B43BDF" w:rsidRPr="006E3899" w:rsidRDefault="003113FB" w:rsidP="007F5184">
      <w:pPr>
        <w:pStyle w:val="ListParagraph"/>
        <w:numPr>
          <w:ilvl w:val="0"/>
          <w:numId w:val="15"/>
        </w:numPr>
      </w:pPr>
      <w:r w:rsidRPr="006E3899">
        <w:t xml:space="preserve">Record the dose administered in the </w:t>
      </w:r>
      <w:r w:rsidR="00033B7B" w:rsidRPr="006E3899">
        <w:t>drug</w:t>
      </w:r>
      <w:r w:rsidRPr="006E3899">
        <w:t xml:space="preserve"> register as </w:t>
      </w:r>
      <w:r w:rsidR="00EC086E">
        <w:t xml:space="preserve">the number of </w:t>
      </w:r>
      <w:r w:rsidRPr="006E3899">
        <w:t>drops</w:t>
      </w:r>
      <w:r w:rsidR="00033B7B" w:rsidRPr="006E3899">
        <w:t xml:space="preserve"> to ensure accuracy</w:t>
      </w:r>
      <w:r w:rsidR="00DB3F94" w:rsidRPr="006E3899">
        <w:t>.</w:t>
      </w:r>
      <w:r w:rsidRPr="006E3899">
        <w:t xml:space="preserve"> Note </w:t>
      </w:r>
      <w:r w:rsidR="00617DAE" w:rsidRPr="006E3899">
        <w:t xml:space="preserve">each </w:t>
      </w:r>
      <w:r w:rsidRPr="006E3899">
        <w:t xml:space="preserve">bottle of </w:t>
      </w:r>
      <w:proofErr w:type="spellStart"/>
      <w:r w:rsidRPr="006E3899">
        <w:rPr>
          <w:lang w:val="en-GB"/>
        </w:rPr>
        <w:t>CLONazepam</w:t>
      </w:r>
      <w:proofErr w:type="spellEnd"/>
      <w:r w:rsidRPr="006E3899">
        <w:rPr>
          <w:lang w:val="en-GB"/>
        </w:rPr>
        <w:t xml:space="preserve"> oral drops contains 10</w:t>
      </w:r>
      <w:r w:rsidR="00F859F4">
        <w:rPr>
          <w:lang w:val="en-GB"/>
        </w:rPr>
        <w:t xml:space="preserve"> </w:t>
      </w:r>
      <w:r w:rsidRPr="006E3899">
        <w:rPr>
          <w:lang w:val="en-GB"/>
        </w:rPr>
        <w:t>mL of liquid, equivalent to 250 drops</w:t>
      </w:r>
      <w:r w:rsidR="00F859F4">
        <w:rPr>
          <w:lang w:val="en-GB"/>
        </w:rPr>
        <w:t xml:space="preserve"> (25 mg).</w:t>
      </w:r>
    </w:p>
    <w:p w14:paraId="3B8F30A7" w14:textId="6838242F" w:rsidR="003A429C" w:rsidRDefault="00761711" w:rsidP="00761711">
      <w:pPr>
        <w:pStyle w:val="Heading4"/>
      </w:pPr>
      <w:r>
        <w:t xml:space="preserve">Health </w:t>
      </w:r>
      <w:r w:rsidR="00455FF2">
        <w:t>service organisations</w:t>
      </w:r>
    </w:p>
    <w:p w14:paraId="0AC6E73E" w14:textId="248D2D53" w:rsidR="00DB3F94" w:rsidRDefault="00275FE0" w:rsidP="00DB3F94">
      <w:pPr>
        <w:pStyle w:val="ListParagraph"/>
        <w:numPr>
          <w:ilvl w:val="0"/>
          <w:numId w:val="15"/>
        </w:numPr>
      </w:pPr>
      <w:r>
        <w:t>Educate and a</w:t>
      </w:r>
      <w:r w:rsidR="00DB3F94">
        <w:t xml:space="preserve">lert medical, pharmacy and nursing staff </w:t>
      </w:r>
      <w:r w:rsidR="003113FB">
        <w:t>o</w:t>
      </w:r>
      <w:r>
        <w:t xml:space="preserve">n </w:t>
      </w:r>
      <w:r w:rsidR="00DB3F94">
        <w:t xml:space="preserve">safety concerns with </w:t>
      </w:r>
      <w:proofErr w:type="spellStart"/>
      <w:r w:rsidR="00DB3F94">
        <w:t>CLONazepam</w:t>
      </w:r>
      <w:proofErr w:type="spellEnd"/>
      <w:r w:rsidR="00DB3F94">
        <w:t xml:space="preserve"> oral liquid</w:t>
      </w:r>
      <w:r>
        <w:t xml:space="preserve"> and the prescribing, dispensing and administ</w:t>
      </w:r>
      <w:r w:rsidR="00096236">
        <w:t>ration</w:t>
      </w:r>
      <w:r>
        <w:t xml:space="preserve"> requirements</w:t>
      </w:r>
      <w:r w:rsidR="00671B6A">
        <w:t>.</w:t>
      </w:r>
    </w:p>
    <w:p w14:paraId="66293C11" w14:textId="5710859E" w:rsidR="00627E39" w:rsidRPr="002D1667" w:rsidRDefault="008104F9" w:rsidP="008104F9">
      <w:pPr>
        <w:pStyle w:val="ListParagraph"/>
        <w:numPr>
          <w:ilvl w:val="0"/>
          <w:numId w:val="15"/>
        </w:numPr>
      </w:pPr>
      <w:r w:rsidRPr="008104F9">
        <w:t xml:space="preserve">Electronic medication management systems should </w:t>
      </w:r>
      <w:r w:rsidR="00627E39">
        <w:t xml:space="preserve">support safe prescribing by including an order set that </w:t>
      </w:r>
      <w:r w:rsidR="00096236">
        <w:t>enables</w:t>
      </w:r>
      <w:r w:rsidR="00627E39">
        <w:t xml:space="preserve"> prescribing the dose in</w:t>
      </w:r>
      <w:r w:rsidR="0021175C">
        <w:t xml:space="preserve"> </w:t>
      </w:r>
      <w:r w:rsidR="00455FF2">
        <w:t>drops</w:t>
      </w:r>
      <w:r w:rsidR="00627E39">
        <w:t xml:space="preserve">, with the corresponding milligrams </w:t>
      </w:r>
      <w:r w:rsidR="00387AD6">
        <w:t>also displayed in the medication order</w:t>
      </w:r>
      <w:r w:rsidR="002D1667" w:rsidRPr="00CF0605">
        <w:t>.</w:t>
      </w:r>
      <w:r w:rsidR="002D1667">
        <w:t xml:space="preserve"> The order set must also </w:t>
      </w:r>
      <w:r w:rsidR="0066544A">
        <w:t xml:space="preserve">display </w:t>
      </w:r>
      <w:r w:rsidR="002D1667">
        <w:t xml:space="preserve">the strength </w:t>
      </w:r>
      <w:r w:rsidR="0066544A">
        <w:t>as</w:t>
      </w:r>
      <w:r w:rsidR="002D1667">
        <w:t xml:space="preserve"> 1 drop = 0.1 mg</w:t>
      </w:r>
      <w:r w:rsidR="0066544A">
        <w:t xml:space="preserve"> in each order</w:t>
      </w:r>
      <w:r w:rsidR="0059337C">
        <w:t xml:space="preserve">. </w:t>
      </w:r>
      <w:r w:rsidR="0059337C" w:rsidRPr="0059337C">
        <w:t>Where possible, the auto-calculation of volume in millilitres, and the display of this information on the administration screen, should be disabled to minimise confusion and risk of error</w:t>
      </w:r>
      <w:r w:rsidR="00671B6A">
        <w:t>.</w:t>
      </w:r>
    </w:p>
    <w:p w14:paraId="0923E402" w14:textId="2FE2EEA4" w:rsidR="00FA6545" w:rsidRDefault="00D4100E" w:rsidP="007B62D5">
      <w:pPr>
        <w:pStyle w:val="ListParagraph"/>
        <w:numPr>
          <w:ilvl w:val="0"/>
          <w:numId w:val="15"/>
        </w:numPr>
      </w:pPr>
      <w:r>
        <w:t xml:space="preserve">Apply </w:t>
      </w:r>
      <w:r w:rsidR="00D62CA0">
        <w:t xml:space="preserve">a </w:t>
      </w:r>
      <w:r>
        <w:t xml:space="preserve">formulary restriction </w:t>
      </w:r>
      <w:r w:rsidR="00096236">
        <w:t>on</w:t>
      </w:r>
      <w:r>
        <w:t xml:space="preserve"> the</w:t>
      </w:r>
      <w:r w:rsidR="00E5493D" w:rsidRPr="00E5493D">
        <w:t xml:space="preserve"> use of </w:t>
      </w:r>
      <w:proofErr w:type="spellStart"/>
      <w:r w:rsidR="00D62CA0">
        <w:t>CLON</w:t>
      </w:r>
      <w:r w:rsidR="00E5493D" w:rsidRPr="00E5493D">
        <w:t>azepam</w:t>
      </w:r>
      <w:proofErr w:type="spellEnd"/>
      <w:r w:rsidR="00E5493D" w:rsidRPr="00E5493D">
        <w:t xml:space="preserve"> oral liquid</w:t>
      </w:r>
      <w:r w:rsidR="00455FF2">
        <w:t>,</w:t>
      </w:r>
      <w:r w:rsidR="00E5493D" w:rsidRPr="00E5493D">
        <w:t xml:space="preserve"> </w:t>
      </w:r>
      <w:r w:rsidR="00AC2897">
        <w:t>if appropriate</w:t>
      </w:r>
      <w:r w:rsidR="00671B6A">
        <w:t>.</w:t>
      </w:r>
    </w:p>
    <w:p w14:paraId="64DA91C9" w14:textId="2FE9E72A" w:rsidR="00E5493D" w:rsidRDefault="00096236" w:rsidP="007B62D5">
      <w:pPr>
        <w:pStyle w:val="ListParagraph"/>
        <w:numPr>
          <w:ilvl w:val="0"/>
          <w:numId w:val="15"/>
        </w:numPr>
      </w:pPr>
      <w:r>
        <w:t>Consider</w:t>
      </w:r>
      <w:r w:rsidR="00E5493D" w:rsidRPr="00E5493D">
        <w:t xml:space="preserve"> </w:t>
      </w:r>
      <w:r w:rsidR="00FA6545">
        <w:t xml:space="preserve">the </w:t>
      </w:r>
      <w:r w:rsidR="00E5493D" w:rsidRPr="00E5493D">
        <w:t xml:space="preserve">use of </w:t>
      </w:r>
      <w:proofErr w:type="spellStart"/>
      <w:r w:rsidR="00FA6545">
        <w:t>CLONazepam</w:t>
      </w:r>
      <w:proofErr w:type="spellEnd"/>
      <w:r w:rsidR="00FA6545">
        <w:t xml:space="preserve"> </w:t>
      </w:r>
      <w:r w:rsidR="00E5493D" w:rsidRPr="00E5493D">
        <w:t>tablets</w:t>
      </w:r>
      <w:r w:rsidR="00FA6545">
        <w:t xml:space="preserve"> as an alternative</w:t>
      </w:r>
      <w:r w:rsidR="00455FF2">
        <w:t>,</w:t>
      </w:r>
      <w:r w:rsidR="00E5493D" w:rsidRPr="00E5493D">
        <w:t xml:space="preserve"> if appropriate</w:t>
      </w:r>
      <w:r w:rsidR="00671B6A">
        <w:t>.</w:t>
      </w:r>
    </w:p>
    <w:p w14:paraId="226839A6" w14:textId="3B560B14" w:rsidR="006B6E6E" w:rsidRPr="009E6978" w:rsidRDefault="003D2CD2" w:rsidP="006B6E6E">
      <w:pPr>
        <w:pStyle w:val="ListParagraph"/>
        <w:numPr>
          <w:ilvl w:val="0"/>
          <w:numId w:val="15"/>
        </w:numPr>
      </w:pPr>
      <w:r>
        <w:t xml:space="preserve">Consider posting </w:t>
      </w:r>
      <w:r w:rsidR="00332046">
        <w:t>s</w:t>
      </w:r>
      <w:r w:rsidR="006B6E6E" w:rsidRPr="009E6978">
        <w:t xml:space="preserve">afety </w:t>
      </w:r>
      <w:r w:rsidR="00332046">
        <w:t>a</w:t>
      </w:r>
      <w:r w:rsidR="006B6E6E" w:rsidRPr="009E6978">
        <w:t>lert</w:t>
      </w:r>
      <w:r w:rsidR="006B6E6E">
        <w:t>s</w:t>
      </w:r>
      <w:r w:rsidR="00332046">
        <w:t>, such as this</w:t>
      </w:r>
      <w:r w:rsidR="00F751A6">
        <w:t xml:space="preserve"> fact sheet</w:t>
      </w:r>
      <w:r w:rsidR="00DE3A8B">
        <w:t>,</w:t>
      </w:r>
      <w:r>
        <w:t xml:space="preserve"> </w:t>
      </w:r>
      <w:r w:rsidR="00332046">
        <w:t>i</w:t>
      </w:r>
      <w:r w:rsidR="003029A2">
        <w:t xml:space="preserve">n </w:t>
      </w:r>
      <w:r w:rsidR="00332046">
        <w:t>medicine preparation areas</w:t>
      </w:r>
      <w:r w:rsidR="00671B6A">
        <w:t>.</w:t>
      </w:r>
    </w:p>
    <w:p w14:paraId="4D6D65BF" w14:textId="49246370" w:rsidR="007B3F66" w:rsidRPr="00857010" w:rsidRDefault="00D62CA0" w:rsidP="00EC4593">
      <w:pPr>
        <w:pStyle w:val="ListParagraph"/>
        <w:numPr>
          <w:ilvl w:val="0"/>
          <w:numId w:val="15"/>
        </w:numPr>
        <w:spacing w:after="240"/>
        <w:ind w:left="714" w:hanging="357"/>
        <w:rPr>
          <w:lang w:val="en-GB"/>
        </w:rPr>
      </w:pPr>
      <w:r>
        <w:t xml:space="preserve">Ensure </w:t>
      </w:r>
      <w:r w:rsidR="00356E2C">
        <w:t>incident</w:t>
      </w:r>
      <w:r w:rsidR="0044210C">
        <w:t>s</w:t>
      </w:r>
      <w:r>
        <w:t xml:space="preserve"> related to the use of </w:t>
      </w:r>
      <w:proofErr w:type="spellStart"/>
      <w:r>
        <w:t>CLONazepam</w:t>
      </w:r>
      <w:proofErr w:type="spellEnd"/>
      <w:r>
        <w:t xml:space="preserve"> </w:t>
      </w:r>
      <w:r>
        <w:rPr>
          <w:lang w:val="en-GB"/>
        </w:rPr>
        <w:t xml:space="preserve">oral drops </w:t>
      </w:r>
      <w:r>
        <w:t>are reported</w:t>
      </w:r>
      <w:r w:rsidR="00356E2C">
        <w:t xml:space="preserve"> </w:t>
      </w:r>
      <w:r w:rsidR="0044210C">
        <w:t xml:space="preserve">to </w:t>
      </w:r>
      <w:r w:rsidR="00455FF2" w:rsidRPr="00455FF2">
        <w:t xml:space="preserve">the local incident reporting system </w:t>
      </w:r>
      <w:r w:rsidR="00455FF2">
        <w:t xml:space="preserve">and </w:t>
      </w:r>
      <w:r w:rsidR="0044210C">
        <w:t>the Therapeutic Goods Administration</w:t>
      </w:r>
      <w:r w:rsidR="00431F81">
        <w:t>.</w:t>
      </w:r>
      <w:r w:rsidR="00707025" w:rsidRPr="003113FB">
        <w:rPr>
          <w:lang w:val="en-GB"/>
        </w:rPr>
        <w:t xml:space="preserve"> </w:t>
      </w:r>
    </w:p>
    <w:tbl>
      <w:tblPr>
        <w:tblStyle w:val="PulloutBox"/>
        <w:tblW w:w="5000" w:type="pct"/>
        <w:tblLook w:val="0020" w:firstRow="1" w:lastRow="0" w:firstColumn="0" w:lastColumn="0" w:noHBand="0" w:noVBand="0"/>
        <w:tblDescription w:val="Box 1"/>
      </w:tblPr>
      <w:tblGrid>
        <w:gridCol w:w="9638"/>
      </w:tblGrid>
      <w:tr w:rsidR="002D300A" w14:paraId="0F8E7047" w14:textId="77777777" w:rsidTr="00983A4A">
        <w:trPr>
          <w:trHeight w:val="60"/>
        </w:trPr>
        <w:tc>
          <w:tcPr>
            <w:tcW w:w="5000" w:type="pct"/>
            <w:tcMar>
              <w:bottom w:w="0" w:type="dxa"/>
            </w:tcMar>
          </w:tcPr>
          <w:p w14:paraId="6F9A5A7D" w14:textId="403D42D1" w:rsidR="002D300A" w:rsidRPr="00D07F72" w:rsidRDefault="007C6D56" w:rsidP="002D300A">
            <w:pPr>
              <w:pStyle w:val="PulloutBoxHeading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Resources to support safer dosing</w:t>
            </w:r>
          </w:p>
        </w:tc>
      </w:tr>
      <w:tr w:rsidR="002D300A" w14:paraId="4E8C45BC" w14:textId="77777777" w:rsidTr="00983A4A">
        <w:trPr>
          <w:trHeight w:val="60"/>
        </w:trPr>
        <w:tc>
          <w:tcPr>
            <w:tcW w:w="5000" w:type="pct"/>
            <w:tcMar>
              <w:top w:w="0" w:type="dxa"/>
            </w:tcMar>
          </w:tcPr>
          <w:p w14:paraId="21E21BB8" w14:textId="77777777" w:rsidR="002D300A" w:rsidRPr="00772F48" w:rsidRDefault="002D300A" w:rsidP="000F3FA9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  <w:rPr>
                <w:rStyle w:val="Hyperlink"/>
                <w:color w:val="auto"/>
                <w:u w:val="none"/>
              </w:rPr>
            </w:pPr>
            <w:hyperlink r:id="rId18" w:history="1">
              <w:r w:rsidRPr="00820582">
                <w:rPr>
                  <w:rStyle w:val="Hyperlink"/>
                </w:rPr>
                <w:t xml:space="preserve">Australian Medicines Handbook </w:t>
              </w:r>
            </w:hyperlink>
          </w:p>
          <w:p w14:paraId="6A6A423A" w14:textId="159284DE" w:rsidR="00772F48" w:rsidRDefault="00772F48" w:rsidP="000F3FA9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</w:pPr>
            <w:hyperlink r:id="rId19" w:history="1">
              <w:r w:rsidRPr="00772F48">
                <w:rPr>
                  <w:rStyle w:val="Hyperlink"/>
                </w:rPr>
                <w:t>Australian Pharmaceutical Formulary</w:t>
              </w:r>
            </w:hyperlink>
          </w:p>
          <w:p w14:paraId="00570068" w14:textId="12DF12E4" w:rsidR="00365102" w:rsidRDefault="004A3973" w:rsidP="000F3FA9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</w:pPr>
            <w:hyperlink r:id="rId20" w:history="1">
              <w:r w:rsidRPr="004B1949">
                <w:rPr>
                  <w:rStyle w:val="Hyperlink"/>
                </w:rPr>
                <w:t>RIVOTRIL clonazepam 2.5</w:t>
              </w:r>
              <w:r w:rsidR="007D2317">
                <w:rPr>
                  <w:rStyle w:val="Hyperlink"/>
                </w:rPr>
                <w:t xml:space="preserve"> </w:t>
              </w:r>
              <w:r w:rsidRPr="004B1949">
                <w:rPr>
                  <w:rStyle w:val="Hyperlink"/>
                </w:rPr>
                <w:t>mg/mL oral liquid bottle – Product Information</w:t>
              </w:r>
            </w:hyperlink>
          </w:p>
          <w:p w14:paraId="0DC88BE7" w14:textId="12E4744C" w:rsidR="001362DC" w:rsidRDefault="001362DC" w:rsidP="000F3FA9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</w:pPr>
            <w:hyperlink r:id="rId21" w:history="1">
              <w:r w:rsidRPr="00365102">
                <w:rPr>
                  <w:rStyle w:val="Hyperlink"/>
                </w:rPr>
                <w:t>RIVOTRIL clonazepam 2.5</w:t>
              </w:r>
              <w:r w:rsidR="007D2317">
                <w:rPr>
                  <w:rStyle w:val="Hyperlink"/>
                </w:rPr>
                <w:t xml:space="preserve"> </w:t>
              </w:r>
              <w:r w:rsidRPr="00365102">
                <w:rPr>
                  <w:rStyle w:val="Hyperlink"/>
                </w:rPr>
                <w:t>mg/mL oral liquid bottle – Consumer</w:t>
              </w:r>
              <w:r w:rsidR="00365102" w:rsidRPr="00365102">
                <w:rPr>
                  <w:rStyle w:val="Hyperlink"/>
                </w:rPr>
                <w:t xml:space="preserve"> Medicine Information</w:t>
              </w:r>
            </w:hyperlink>
          </w:p>
          <w:p w14:paraId="4FFF355C" w14:textId="1023541D" w:rsidR="000E143E" w:rsidRDefault="000E143E" w:rsidP="000F3FA9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</w:pPr>
            <w:hyperlink r:id="rId22" w:history="1">
              <w:r w:rsidRPr="00AF7732">
                <w:rPr>
                  <w:color w:val="0000FF"/>
                  <w:u w:val="single"/>
                </w:rPr>
                <w:t>Don't Rush to Crush - Advanced Pharmacy Australia</w:t>
              </w:r>
            </w:hyperlink>
          </w:p>
          <w:p w14:paraId="671F76B9" w14:textId="28A2320B" w:rsidR="0044210C" w:rsidRDefault="00B730FF" w:rsidP="000F3FA9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</w:pPr>
            <w:hyperlink r:id="rId23" w:history="1">
              <w:r w:rsidRPr="00B730FF">
                <w:rPr>
                  <w:rStyle w:val="Hyperlink"/>
                </w:rPr>
                <w:t xml:space="preserve">Pharmacy Board </w:t>
              </w:r>
              <w:r w:rsidR="0044210C" w:rsidRPr="00B730FF">
                <w:rPr>
                  <w:rStyle w:val="Hyperlink"/>
                </w:rPr>
                <w:t>Guidelines for dispensing of medicines</w:t>
              </w:r>
            </w:hyperlink>
            <w:r w:rsidR="0044210C">
              <w:t xml:space="preserve"> </w:t>
            </w:r>
          </w:p>
          <w:p w14:paraId="16FC8710" w14:textId="022D391B" w:rsidR="0044210C" w:rsidRDefault="0044210C" w:rsidP="000F3FA9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</w:pPr>
            <w:hyperlink r:id="rId24" w:history="1">
              <w:r w:rsidRPr="00F243EC">
                <w:rPr>
                  <w:rStyle w:val="Hyperlink"/>
                </w:rPr>
                <w:t>National Standard for Labelling Dispensed Medicines</w:t>
              </w:r>
            </w:hyperlink>
          </w:p>
          <w:p w14:paraId="0C164CC8" w14:textId="6D0E31E3" w:rsidR="002D300A" w:rsidRDefault="0044210C" w:rsidP="004E4314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</w:pPr>
            <w:hyperlink r:id="rId25" w:history="1">
              <w:r w:rsidRPr="004F027F">
                <w:rPr>
                  <w:rStyle w:val="Hyperlink"/>
                </w:rPr>
                <w:t>Recommendations for safe use of medicines terminology</w:t>
              </w:r>
            </w:hyperlink>
            <w:r>
              <w:t>.</w:t>
            </w:r>
          </w:p>
        </w:tc>
      </w:tr>
    </w:tbl>
    <w:p w14:paraId="7FAF50DD" w14:textId="1010F820" w:rsidR="006D6070" w:rsidRPr="00511CA6" w:rsidRDefault="0044210C" w:rsidP="004E4314">
      <w:pPr>
        <w:pStyle w:val="PulloutBoxHeading"/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State and territory guidance </w:t>
      </w:r>
    </w:p>
    <w:p w14:paraId="1B7FB744" w14:textId="58D72308" w:rsidR="000E143E" w:rsidRPr="004E4314" w:rsidRDefault="000E143E" w:rsidP="004E4314">
      <w:pPr>
        <w:keepNext/>
        <w:keepLines/>
        <w:outlineLvl w:val="1"/>
        <w:rPr>
          <w:rFonts w:cs="Arial"/>
          <w:iCs/>
          <w:kern w:val="28"/>
          <w:lang w:val="en-US"/>
        </w:rPr>
      </w:pPr>
      <w:hyperlink r:id="rId26" w:history="1">
        <w:r w:rsidRPr="00B75D2C">
          <w:rPr>
            <w:rStyle w:val="Hyperlink"/>
            <w:rFonts w:cs="Arial"/>
            <w:iCs/>
            <w:kern w:val="28"/>
            <w:lang w:val="en-US"/>
          </w:rPr>
          <w:t>SA Health. Clonazepam Oral Liquid – Dose Errors. Medication Safety Alert 01/2018. Government of South Australia; 2018</w:t>
        </w:r>
      </w:hyperlink>
      <w:r w:rsidRPr="004E4314">
        <w:rPr>
          <w:rFonts w:cs="Arial"/>
          <w:iCs/>
          <w:kern w:val="28"/>
          <w:lang w:val="en-US"/>
        </w:rPr>
        <w:t xml:space="preserve"> </w:t>
      </w:r>
    </w:p>
    <w:p w14:paraId="086F0709" w14:textId="1A9DCC23" w:rsidR="004E4314" w:rsidRPr="00593B5C" w:rsidRDefault="00593B5C" w:rsidP="003113FB">
      <w:pPr>
        <w:pStyle w:val="Heading2"/>
        <w:spacing w:before="240" w:after="120"/>
        <w:rPr>
          <w:rStyle w:val="Hyperlink"/>
          <w:b w:val="0"/>
          <w:iCs w:val="0"/>
          <w:sz w:val="22"/>
          <w:szCs w:val="22"/>
          <w:lang w:val="en-US"/>
        </w:rPr>
      </w:pPr>
      <w:r>
        <w:rPr>
          <w:b w:val="0"/>
          <w:iCs w:val="0"/>
          <w:sz w:val="22"/>
          <w:szCs w:val="22"/>
          <w:lang w:val="en-US"/>
        </w:rPr>
        <w:fldChar w:fldCharType="begin"/>
      </w:r>
      <w:r>
        <w:rPr>
          <w:b w:val="0"/>
          <w:iCs w:val="0"/>
          <w:sz w:val="22"/>
          <w:szCs w:val="22"/>
          <w:lang w:val="en-US"/>
        </w:rPr>
        <w:instrText>HYPERLINK "https://www.victag.org.au/members-area/quality-use-of-medicines"</w:instrText>
      </w:r>
      <w:r>
        <w:rPr>
          <w:b w:val="0"/>
          <w:iCs w:val="0"/>
          <w:sz w:val="22"/>
          <w:szCs w:val="22"/>
          <w:lang w:val="en-US"/>
        </w:rPr>
      </w:r>
      <w:r>
        <w:rPr>
          <w:b w:val="0"/>
          <w:iCs w:val="0"/>
          <w:sz w:val="22"/>
          <w:szCs w:val="22"/>
          <w:lang w:val="en-US"/>
        </w:rPr>
        <w:fldChar w:fldCharType="separate"/>
      </w:r>
      <w:r w:rsidR="000E143E" w:rsidRPr="00593B5C">
        <w:rPr>
          <w:rStyle w:val="Hyperlink"/>
          <w:b w:val="0"/>
          <w:iCs w:val="0"/>
          <w:sz w:val="22"/>
          <w:szCs w:val="22"/>
          <w:lang w:val="en-US"/>
        </w:rPr>
        <w:t>Clonazepam oral liquid.</w:t>
      </w:r>
      <w:r w:rsidR="003113FB" w:rsidRPr="00593B5C">
        <w:rPr>
          <w:rStyle w:val="Hyperlink"/>
          <w:iCs w:val="0"/>
          <w:lang w:val="en-US"/>
        </w:rPr>
        <w:t xml:space="preserve"> </w:t>
      </w:r>
      <w:r w:rsidR="003113FB" w:rsidRPr="00593B5C">
        <w:rPr>
          <w:rStyle w:val="Hyperlink"/>
          <w:b w:val="0"/>
          <w:bCs/>
          <w:sz w:val="22"/>
          <w:szCs w:val="22"/>
          <w:lang w:val="en-US"/>
        </w:rPr>
        <w:t xml:space="preserve">Victorian Therapeutics Advisory Group. </w:t>
      </w:r>
      <w:r w:rsidR="000E143E" w:rsidRPr="00593B5C">
        <w:rPr>
          <w:rStyle w:val="Hyperlink"/>
          <w:b w:val="0"/>
          <w:bCs/>
          <w:iCs w:val="0"/>
          <w:sz w:val="22"/>
          <w:szCs w:val="22"/>
          <w:lang w:val="en-US"/>
        </w:rPr>
        <w:t xml:space="preserve"> </w:t>
      </w:r>
      <w:r w:rsidR="000E143E" w:rsidRPr="00593B5C">
        <w:rPr>
          <w:rStyle w:val="Hyperlink"/>
          <w:b w:val="0"/>
          <w:iCs w:val="0"/>
          <w:sz w:val="22"/>
          <w:szCs w:val="22"/>
          <w:lang w:val="en-US"/>
        </w:rPr>
        <w:t>Quality Use of Medicines</w:t>
      </w:r>
      <w:r w:rsidR="0034601D" w:rsidRPr="00593B5C">
        <w:rPr>
          <w:rStyle w:val="Hyperlink"/>
          <w:b w:val="0"/>
          <w:iCs w:val="0"/>
          <w:sz w:val="22"/>
          <w:szCs w:val="22"/>
          <w:lang w:val="en-US"/>
        </w:rPr>
        <w:t xml:space="preserve">; </w:t>
      </w:r>
      <w:r w:rsidR="000E143E" w:rsidRPr="00593B5C">
        <w:rPr>
          <w:rStyle w:val="Hyperlink"/>
          <w:b w:val="0"/>
          <w:iCs w:val="0"/>
          <w:sz w:val="22"/>
          <w:szCs w:val="22"/>
          <w:lang w:val="en-US"/>
        </w:rPr>
        <w:t>2023</w:t>
      </w:r>
    </w:p>
    <w:p w14:paraId="6E719B37" w14:textId="5E3F88B4" w:rsidR="003113FB" w:rsidRDefault="00593B5C" w:rsidP="003113FB">
      <w:pPr>
        <w:pStyle w:val="Heading2"/>
        <w:spacing w:before="240" w:after="120"/>
      </w:pPr>
      <w:r>
        <w:rPr>
          <w:b w:val="0"/>
          <w:iCs w:val="0"/>
          <w:sz w:val="22"/>
          <w:szCs w:val="22"/>
          <w:lang w:val="en-US"/>
        </w:rPr>
        <w:fldChar w:fldCharType="end"/>
      </w:r>
      <w:r w:rsidR="003113FB">
        <w:t>Find out more</w:t>
      </w:r>
    </w:p>
    <w:p w14:paraId="175C8192" w14:textId="77777777" w:rsidR="003113FB" w:rsidRDefault="003113FB" w:rsidP="003113FB">
      <w:pPr>
        <w:keepNext/>
        <w:keepLines/>
        <w:spacing w:before="240"/>
        <w:outlineLvl w:val="1"/>
      </w:pPr>
      <w:r w:rsidRPr="0039209D">
        <w:t xml:space="preserve">For more information, contact the </w:t>
      </w:r>
      <w:r>
        <w:t>Commission</w:t>
      </w:r>
      <w:r w:rsidRPr="0039209D">
        <w:t xml:space="preserve"> at </w:t>
      </w:r>
      <w:hyperlink r:id="rId27" w:history="1">
        <w:r w:rsidRPr="0045236C">
          <w:rPr>
            <w:rStyle w:val="Hyperlink"/>
          </w:rPr>
          <w:t>medsafety@safetyandquality.gov.au</w:t>
        </w:r>
      </w:hyperlink>
      <w:r w:rsidRPr="0039209D">
        <w:t xml:space="preserve"> or call 1800 304 056.</w:t>
      </w:r>
    </w:p>
    <w:p w14:paraId="52E389CA" w14:textId="77777777" w:rsidR="003113FB" w:rsidRPr="00BB1101" w:rsidRDefault="003113FB" w:rsidP="004E4314">
      <w:pPr>
        <w:keepNext/>
        <w:keepLines/>
        <w:outlineLvl w:val="1"/>
      </w:pPr>
      <w:hyperlink r:id="rId28" w:history="1">
        <w:r w:rsidRPr="000811F9">
          <w:rPr>
            <w:rStyle w:val="Hyperlink"/>
            <w:b/>
            <w:bCs/>
            <w:sz w:val="26"/>
            <w:szCs w:val="26"/>
            <w:u w:val="none"/>
          </w:rPr>
          <w:t>safetyandquality.gov.au</w:t>
        </w:r>
      </w:hyperlink>
    </w:p>
    <w:p w14:paraId="21C3A089" w14:textId="4A9A8E3E" w:rsidR="00465AB0" w:rsidRDefault="003113FB" w:rsidP="004E4314">
      <w:pPr>
        <w:pStyle w:val="FootnoteText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1AF14F4" wp14:editId="04C38AE5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840105" cy="297815"/>
            <wp:effectExtent l="0" t="0" r="0" b="0"/>
            <wp:wrapSquare wrapText="bothSides"/>
            <wp:docPr id="541291873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B96">
        <w:rPr>
          <w:rStyle w:val="Roman"/>
          <w:rFonts w:eastAsia="MS Gothic"/>
        </w:rPr>
        <w:t xml:space="preserve">© Australian Commission on Safety </w:t>
      </w:r>
      <w:r w:rsidRPr="00EA0B96">
        <w:rPr>
          <w:rStyle w:val="Roman"/>
          <w:rFonts w:eastAsia="MS Gothic"/>
        </w:rPr>
        <w:br/>
        <w:t xml:space="preserve">and Quality in Health Care </w:t>
      </w:r>
      <w:r w:rsidRPr="00BB1101">
        <w:rPr>
          <w:rStyle w:val="Roman"/>
          <w:rFonts w:eastAsia="MS Gothic"/>
        </w:rPr>
        <w:t>202</w:t>
      </w:r>
      <w:r>
        <w:rPr>
          <w:rStyle w:val="Roman"/>
          <w:rFonts w:eastAsia="MS Gothic"/>
        </w:rPr>
        <w:t>5</w:t>
      </w:r>
      <w:r w:rsidRPr="00BB1101" w:rsidDel="00174535">
        <w:rPr>
          <w:rStyle w:val="Roman"/>
          <w:rFonts w:eastAsia="MS Gothic"/>
        </w:rPr>
        <w:t xml:space="preserve"> </w:t>
      </w:r>
    </w:p>
    <w:sectPr w:rsidR="00465AB0" w:rsidSect="00F93D70">
      <w:headerReference w:type="default" r:id="rId30"/>
      <w:footerReference w:type="default" r:id="rId31"/>
      <w:pgSz w:w="11906" w:h="16838"/>
      <w:pgMar w:top="2126" w:right="1134" w:bottom="1276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303F" w14:textId="77777777" w:rsidR="00701C88" w:rsidRDefault="00701C88" w:rsidP="000B0274">
      <w:r>
        <w:separator/>
      </w:r>
    </w:p>
    <w:p w14:paraId="429EA5E5" w14:textId="77777777" w:rsidR="00701C88" w:rsidRDefault="00701C88"/>
    <w:p w14:paraId="5B4F2732" w14:textId="77777777" w:rsidR="00701C88" w:rsidRDefault="00701C88"/>
    <w:p w14:paraId="069F7D50" w14:textId="77777777" w:rsidR="00701C88" w:rsidRDefault="00701C88"/>
    <w:p w14:paraId="2F9718DD" w14:textId="77777777" w:rsidR="00701C88" w:rsidRDefault="00701C88"/>
  </w:endnote>
  <w:endnote w:type="continuationSeparator" w:id="0">
    <w:p w14:paraId="20CEC336" w14:textId="77777777" w:rsidR="00701C88" w:rsidRDefault="00701C88" w:rsidP="000B0274">
      <w:r>
        <w:continuationSeparator/>
      </w:r>
    </w:p>
    <w:p w14:paraId="3723B979" w14:textId="77777777" w:rsidR="00701C88" w:rsidRDefault="00701C88"/>
    <w:p w14:paraId="708F1C0A" w14:textId="77777777" w:rsidR="00701C88" w:rsidRDefault="00701C88"/>
    <w:p w14:paraId="3D33979B" w14:textId="77777777" w:rsidR="00701C88" w:rsidRDefault="00701C88"/>
    <w:p w14:paraId="7F4BE567" w14:textId="77777777" w:rsidR="00701C88" w:rsidRDefault="00701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189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9B2A0" w14:textId="4AC4A127" w:rsidR="00884684" w:rsidRDefault="008846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C25E4" w14:textId="6E3BD27B" w:rsidR="00884684" w:rsidRPr="00884684" w:rsidRDefault="00884684">
    <w:pPr>
      <w:pStyle w:val="Footer"/>
      <w:rPr>
        <w:color w:val="000000" w:themeColor="text1"/>
      </w:rPr>
    </w:pPr>
    <w:r w:rsidRPr="00062B8C">
      <w:rPr>
        <w:color w:val="000000" w:themeColor="text1"/>
      </w:rPr>
      <w:t xml:space="preserve">Fact Sheet – Strategies to support the safe use of </w:t>
    </w:r>
    <w:proofErr w:type="spellStart"/>
    <w:r w:rsidRPr="00062B8C">
      <w:rPr>
        <w:color w:val="000000" w:themeColor="text1"/>
      </w:rPr>
      <w:t>CLONazepam</w:t>
    </w:r>
    <w:proofErr w:type="spellEnd"/>
    <w:r w:rsidRPr="00062B8C">
      <w:rPr>
        <w:color w:val="000000" w:themeColor="text1"/>
      </w:rPr>
      <w:t xml:space="preserve"> oral liquid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6081" w14:textId="77777777" w:rsidR="00701C88" w:rsidRDefault="00701C88" w:rsidP="000B0274">
      <w:r>
        <w:separator/>
      </w:r>
    </w:p>
    <w:p w14:paraId="2359F8E6" w14:textId="77777777" w:rsidR="00701C88" w:rsidRDefault="00701C88"/>
    <w:p w14:paraId="4DAE66B2" w14:textId="77777777" w:rsidR="00701C88" w:rsidRDefault="00701C88"/>
    <w:p w14:paraId="36A69E05" w14:textId="77777777" w:rsidR="00701C88" w:rsidRDefault="00701C88"/>
    <w:p w14:paraId="3108FA1D" w14:textId="77777777" w:rsidR="00701C88" w:rsidRDefault="00701C88"/>
  </w:footnote>
  <w:footnote w:type="continuationSeparator" w:id="0">
    <w:p w14:paraId="20A1B3E0" w14:textId="77777777" w:rsidR="00701C88" w:rsidRDefault="00701C88" w:rsidP="000B0274">
      <w:r>
        <w:continuationSeparator/>
      </w:r>
    </w:p>
    <w:p w14:paraId="767E4AE0" w14:textId="77777777" w:rsidR="00701C88" w:rsidRDefault="00701C88"/>
    <w:p w14:paraId="660B5D8C" w14:textId="77777777" w:rsidR="00701C88" w:rsidRDefault="00701C88"/>
    <w:p w14:paraId="5D10AC88" w14:textId="77777777" w:rsidR="00701C88" w:rsidRDefault="00701C88"/>
    <w:p w14:paraId="63B7D417" w14:textId="77777777" w:rsidR="00701C88" w:rsidRDefault="00701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59B4" w14:textId="1BC61040" w:rsidR="00501367" w:rsidRDefault="00501367">
    <w:pPr>
      <w:pStyle w:val="Header"/>
    </w:pPr>
    <w:r w:rsidRPr="00EA0B96">
      <w:rPr>
        <w:rFonts w:eastAsia="MS Gothic"/>
        <w:noProof/>
        <w:lang w:val="en-US" w:eastAsia="en-US"/>
      </w:rPr>
      <w:drawing>
        <wp:inline distT="0" distB="0" distL="0" distR="0" wp14:anchorId="177E104A" wp14:editId="5A43B808">
          <wp:extent cx="4304665" cy="544830"/>
          <wp:effectExtent l="0" t="0" r="0" b="0"/>
          <wp:docPr id="2040127394" name="Picture 10" descr="Australian Commission on Safety and Quality in Health Care logo 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ustralian Commission on Safety and Quality in Health Care logo 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>
                    <a:fillRect/>
                  </a:stretch>
                </pic:blipFill>
                <pic:spPr bwMode="auto">
                  <a:xfrm>
                    <a:off x="0" y="0"/>
                    <a:ext cx="43046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2901415E"/>
    <w:multiLevelType w:val="hybridMultilevel"/>
    <w:tmpl w:val="CFA4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77A94"/>
    <w:multiLevelType w:val="hybridMultilevel"/>
    <w:tmpl w:val="380A20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0D0B"/>
    <w:multiLevelType w:val="hybridMultilevel"/>
    <w:tmpl w:val="1866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93EBA"/>
    <w:multiLevelType w:val="hybridMultilevel"/>
    <w:tmpl w:val="34C6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4B6A"/>
    <w:multiLevelType w:val="hybridMultilevel"/>
    <w:tmpl w:val="A8DCB4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504CD1"/>
    <w:multiLevelType w:val="hybridMultilevel"/>
    <w:tmpl w:val="78FA8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CB73DA"/>
    <w:multiLevelType w:val="hybridMultilevel"/>
    <w:tmpl w:val="803A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21AF1"/>
    <w:multiLevelType w:val="hybridMultilevel"/>
    <w:tmpl w:val="6EC27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110EF"/>
    <w:multiLevelType w:val="hybridMultilevel"/>
    <w:tmpl w:val="99B07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785F81"/>
    <w:multiLevelType w:val="hybridMultilevel"/>
    <w:tmpl w:val="6B74A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06DF9"/>
    <w:multiLevelType w:val="hybridMultilevel"/>
    <w:tmpl w:val="1F30B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8780">
    <w:abstractNumId w:val="0"/>
  </w:num>
  <w:num w:numId="2" w16cid:durableId="1112822231">
    <w:abstractNumId w:val="1"/>
  </w:num>
  <w:num w:numId="3" w16cid:durableId="2010399634">
    <w:abstractNumId w:val="2"/>
  </w:num>
  <w:num w:numId="4" w16cid:durableId="1896118276">
    <w:abstractNumId w:val="9"/>
  </w:num>
  <w:num w:numId="5" w16cid:durableId="1959675322">
    <w:abstractNumId w:val="13"/>
  </w:num>
  <w:num w:numId="6" w16cid:durableId="754011956">
    <w:abstractNumId w:val="7"/>
  </w:num>
  <w:num w:numId="7" w16cid:durableId="459618952">
    <w:abstractNumId w:val="8"/>
  </w:num>
  <w:num w:numId="8" w16cid:durableId="556626023">
    <w:abstractNumId w:val="11"/>
  </w:num>
  <w:num w:numId="9" w16cid:durableId="1872068305">
    <w:abstractNumId w:val="15"/>
  </w:num>
  <w:num w:numId="10" w16cid:durableId="971256014">
    <w:abstractNumId w:val="4"/>
  </w:num>
  <w:num w:numId="11" w16cid:durableId="441145269">
    <w:abstractNumId w:val="5"/>
  </w:num>
  <w:num w:numId="12" w16cid:durableId="981736025">
    <w:abstractNumId w:val="14"/>
  </w:num>
  <w:num w:numId="13" w16cid:durableId="1633050497">
    <w:abstractNumId w:val="3"/>
  </w:num>
  <w:num w:numId="14" w16cid:durableId="504902704">
    <w:abstractNumId w:val="12"/>
  </w:num>
  <w:num w:numId="15" w16cid:durableId="964194313">
    <w:abstractNumId w:val="10"/>
  </w:num>
  <w:num w:numId="16" w16cid:durableId="20277122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A5"/>
    <w:rsid w:val="00002668"/>
    <w:rsid w:val="00003743"/>
    <w:rsid w:val="00005E8B"/>
    <w:rsid w:val="000077FA"/>
    <w:rsid w:val="0001053B"/>
    <w:rsid w:val="00011096"/>
    <w:rsid w:val="0001116E"/>
    <w:rsid w:val="00012782"/>
    <w:rsid w:val="00013AF4"/>
    <w:rsid w:val="000158DE"/>
    <w:rsid w:val="00020054"/>
    <w:rsid w:val="0002027C"/>
    <w:rsid w:val="00020DBD"/>
    <w:rsid w:val="00025A92"/>
    <w:rsid w:val="0003162D"/>
    <w:rsid w:val="00033B7B"/>
    <w:rsid w:val="00036AB7"/>
    <w:rsid w:val="00036F5E"/>
    <w:rsid w:val="000406F8"/>
    <w:rsid w:val="00041E16"/>
    <w:rsid w:val="00041E69"/>
    <w:rsid w:val="0004200D"/>
    <w:rsid w:val="00043671"/>
    <w:rsid w:val="000463F4"/>
    <w:rsid w:val="00050775"/>
    <w:rsid w:val="00051624"/>
    <w:rsid w:val="00054B74"/>
    <w:rsid w:val="000621E5"/>
    <w:rsid w:val="000650CD"/>
    <w:rsid w:val="00067456"/>
    <w:rsid w:val="00067CE9"/>
    <w:rsid w:val="00070812"/>
    <w:rsid w:val="0007089B"/>
    <w:rsid w:val="00072883"/>
    <w:rsid w:val="000750CC"/>
    <w:rsid w:val="00077E51"/>
    <w:rsid w:val="0008065C"/>
    <w:rsid w:val="00080D62"/>
    <w:rsid w:val="000811F9"/>
    <w:rsid w:val="00083231"/>
    <w:rsid w:val="000843DD"/>
    <w:rsid w:val="0008508A"/>
    <w:rsid w:val="00090EFF"/>
    <w:rsid w:val="000916F1"/>
    <w:rsid w:val="00091FC5"/>
    <w:rsid w:val="00092229"/>
    <w:rsid w:val="000935A6"/>
    <w:rsid w:val="00095B1D"/>
    <w:rsid w:val="00095DA6"/>
    <w:rsid w:val="00095DC5"/>
    <w:rsid w:val="00096236"/>
    <w:rsid w:val="000963D9"/>
    <w:rsid w:val="00097B6A"/>
    <w:rsid w:val="000A1EF1"/>
    <w:rsid w:val="000A332B"/>
    <w:rsid w:val="000A3F0D"/>
    <w:rsid w:val="000A4C01"/>
    <w:rsid w:val="000B0274"/>
    <w:rsid w:val="000B0BFE"/>
    <w:rsid w:val="000B3415"/>
    <w:rsid w:val="000B343A"/>
    <w:rsid w:val="000B4610"/>
    <w:rsid w:val="000B79D3"/>
    <w:rsid w:val="000C1722"/>
    <w:rsid w:val="000C1DD4"/>
    <w:rsid w:val="000C3726"/>
    <w:rsid w:val="000C41E3"/>
    <w:rsid w:val="000C5B0F"/>
    <w:rsid w:val="000C7A69"/>
    <w:rsid w:val="000D017D"/>
    <w:rsid w:val="000D262E"/>
    <w:rsid w:val="000D3475"/>
    <w:rsid w:val="000D36B4"/>
    <w:rsid w:val="000D4AD0"/>
    <w:rsid w:val="000D6405"/>
    <w:rsid w:val="000E143E"/>
    <w:rsid w:val="000E15CC"/>
    <w:rsid w:val="000E2F2E"/>
    <w:rsid w:val="000E4FFD"/>
    <w:rsid w:val="000E559D"/>
    <w:rsid w:val="000E5B5B"/>
    <w:rsid w:val="000F01DF"/>
    <w:rsid w:val="000F0D77"/>
    <w:rsid w:val="000F29C7"/>
    <w:rsid w:val="000F3E1A"/>
    <w:rsid w:val="000F3FA9"/>
    <w:rsid w:val="000F5FC6"/>
    <w:rsid w:val="000F7B9B"/>
    <w:rsid w:val="00102971"/>
    <w:rsid w:val="00103D17"/>
    <w:rsid w:val="0010657A"/>
    <w:rsid w:val="0010673D"/>
    <w:rsid w:val="00106CF5"/>
    <w:rsid w:val="00111DB6"/>
    <w:rsid w:val="00112F3B"/>
    <w:rsid w:val="00113A7C"/>
    <w:rsid w:val="00113F51"/>
    <w:rsid w:val="00114D4D"/>
    <w:rsid w:val="00114EF6"/>
    <w:rsid w:val="00115298"/>
    <w:rsid w:val="00115403"/>
    <w:rsid w:val="00115E39"/>
    <w:rsid w:val="00115E61"/>
    <w:rsid w:val="00120FCB"/>
    <w:rsid w:val="00121C90"/>
    <w:rsid w:val="00127985"/>
    <w:rsid w:val="00130131"/>
    <w:rsid w:val="00131E52"/>
    <w:rsid w:val="0013212C"/>
    <w:rsid w:val="001362DC"/>
    <w:rsid w:val="00137210"/>
    <w:rsid w:val="001379AC"/>
    <w:rsid w:val="00140002"/>
    <w:rsid w:val="00141CBE"/>
    <w:rsid w:val="00143A76"/>
    <w:rsid w:val="00145118"/>
    <w:rsid w:val="00145BE3"/>
    <w:rsid w:val="00145E71"/>
    <w:rsid w:val="00146A66"/>
    <w:rsid w:val="00147169"/>
    <w:rsid w:val="001507C6"/>
    <w:rsid w:val="00152521"/>
    <w:rsid w:val="00153149"/>
    <w:rsid w:val="00157A76"/>
    <w:rsid w:val="00157B31"/>
    <w:rsid w:val="00160453"/>
    <w:rsid w:val="00161A57"/>
    <w:rsid w:val="00161CF7"/>
    <w:rsid w:val="00162B34"/>
    <w:rsid w:val="0016378E"/>
    <w:rsid w:val="00164E7D"/>
    <w:rsid w:val="001652A9"/>
    <w:rsid w:val="001666E9"/>
    <w:rsid w:val="00174141"/>
    <w:rsid w:val="00174535"/>
    <w:rsid w:val="00175089"/>
    <w:rsid w:val="0017675C"/>
    <w:rsid w:val="00176C8D"/>
    <w:rsid w:val="001805EB"/>
    <w:rsid w:val="00183675"/>
    <w:rsid w:val="00184C86"/>
    <w:rsid w:val="001852DE"/>
    <w:rsid w:val="001859B5"/>
    <w:rsid w:val="001860B2"/>
    <w:rsid w:val="001908E8"/>
    <w:rsid w:val="00190C81"/>
    <w:rsid w:val="001918F7"/>
    <w:rsid w:val="00191E8C"/>
    <w:rsid w:val="001921ED"/>
    <w:rsid w:val="00194F9A"/>
    <w:rsid w:val="00195458"/>
    <w:rsid w:val="0019579A"/>
    <w:rsid w:val="001962DE"/>
    <w:rsid w:val="00196AC8"/>
    <w:rsid w:val="00196F29"/>
    <w:rsid w:val="001972A6"/>
    <w:rsid w:val="001A052F"/>
    <w:rsid w:val="001A11A5"/>
    <w:rsid w:val="001A1EBD"/>
    <w:rsid w:val="001A4A68"/>
    <w:rsid w:val="001A53CB"/>
    <w:rsid w:val="001B15D1"/>
    <w:rsid w:val="001B3099"/>
    <w:rsid w:val="001B3443"/>
    <w:rsid w:val="001B64B7"/>
    <w:rsid w:val="001B759C"/>
    <w:rsid w:val="001B7C8B"/>
    <w:rsid w:val="001C0011"/>
    <w:rsid w:val="001C67A0"/>
    <w:rsid w:val="001D04B0"/>
    <w:rsid w:val="001D0D87"/>
    <w:rsid w:val="001D2694"/>
    <w:rsid w:val="001D41E6"/>
    <w:rsid w:val="001D5244"/>
    <w:rsid w:val="001D5B50"/>
    <w:rsid w:val="001D5B67"/>
    <w:rsid w:val="001E1042"/>
    <w:rsid w:val="001E38B8"/>
    <w:rsid w:val="001E3D80"/>
    <w:rsid w:val="001E3DF1"/>
    <w:rsid w:val="001E48CD"/>
    <w:rsid w:val="001E77C4"/>
    <w:rsid w:val="001F01B7"/>
    <w:rsid w:val="001F2EB7"/>
    <w:rsid w:val="001F6D10"/>
    <w:rsid w:val="001F7642"/>
    <w:rsid w:val="002006BD"/>
    <w:rsid w:val="00200B2A"/>
    <w:rsid w:val="002035EF"/>
    <w:rsid w:val="002043C7"/>
    <w:rsid w:val="00204C47"/>
    <w:rsid w:val="0020592F"/>
    <w:rsid w:val="00205F77"/>
    <w:rsid w:val="002061A0"/>
    <w:rsid w:val="002076FD"/>
    <w:rsid w:val="00211447"/>
    <w:rsid w:val="0021175C"/>
    <w:rsid w:val="002150F2"/>
    <w:rsid w:val="00217068"/>
    <w:rsid w:val="00220E78"/>
    <w:rsid w:val="00221A66"/>
    <w:rsid w:val="002255F7"/>
    <w:rsid w:val="00227CAF"/>
    <w:rsid w:val="0023112B"/>
    <w:rsid w:val="0023231A"/>
    <w:rsid w:val="00234E07"/>
    <w:rsid w:val="002352B6"/>
    <w:rsid w:val="0023567E"/>
    <w:rsid w:val="00237ADF"/>
    <w:rsid w:val="00241BE9"/>
    <w:rsid w:val="00242F9E"/>
    <w:rsid w:val="00245D81"/>
    <w:rsid w:val="0024767D"/>
    <w:rsid w:val="0024781E"/>
    <w:rsid w:val="00247A74"/>
    <w:rsid w:val="002503C3"/>
    <w:rsid w:val="00250542"/>
    <w:rsid w:val="002507CE"/>
    <w:rsid w:val="00251167"/>
    <w:rsid w:val="002550A7"/>
    <w:rsid w:val="00255596"/>
    <w:rsid w:val="00255DCB"/>
    <w:rsid w:val="00255EB0"/>
    <w:rsid w:val="00261F43"/>
    <w:rsid w:val="002625FB"/>
    <w:rsid w:val="00263A63"/>
    <w:rsid w:val="00264387"/>
    <w:rsid w:val="00264A5A"/>
    <w:rsid w:val="002662B4"/>
    <w:rsid w:val="0026675D"/>
    <w:rsid w:val="00267635"/>
    <w:rsid w:val="00267F16"/>
    <w:rsid w:val="00273120"/>
    <w:rsid w:val="0027329B"/>
    <w:rsid w:val="00275FE0"/>
    <w:rsid w:val="00277A59"/>
    <w:rsid w:val="0028150E"/>
    <w:rsid w:val="00281FD4"/>
    <w:rsid w:val="002821A2"/>
    <w:rsid w:val="002851F2"/>
    <w:rsid w:val="00285857"/>
    <w:rsid w:val="00291100"/>
    <w:rsid w:val="0029140C"/>
    <w:rsid w:val="00291EBD"/>
    <w:rsid w:val="00292DAC"/>
    <w:rsid w:val="0029365A"/>
    <w:rsid w:val="00293CDE"/>
    <w:rsid w:val="00296DAE"/>
    <w:rsid w:val="002A4E57"/>
    <w:rsid w:val="002A7A44"/>
    <w:rsid w:val="002A7F79"/>
    <w:rsid w:val="002B0C78"/>
    <w:rsid w:val="002B1527"/>
    <w:rsid w:val="002B37B6"/>
    <w:rsid w:val="002B6D45"/>
    <w:rsid w:val="002C1CA0"/>
    <w:rsid w:val="002C43F9"/>
    <w:rsid w:val="002C6AF0"/>
    <w:rsid w:val="002C6E07"/>
    <w:rsid w:val="002D0EB0"/>
    <w:rsid w:val="002D1667"/>
    <w:rsid w:val="002D19B2"/>
    <w:rsid w:val="002D2039"/>
    <w:rsid w:val="002D247E"/>
    <w:rsid w:val="002D300A"/>
    <w:rsid w:val="002D35CA"/>
    <w:rsid w:val="002D61D2"/>
    <w:rsid w:val="002D6B12"/>
    <w:rsid w:val="002D6C10"/>
    <w:rsid w:val="002E003F"/>
    <w:rsid w:val="002E1638"/>
    <w:rsid w:val="002E186D"/>
    <w:rsid w:val="002E195D"/>
    <w:rsid w:val="002E2DBA"/>
    <w:rsid w:val="002E3986"/>
    <w:rsid w:val="002E6866"/>
    <w:rsid w:val="002E6A48"/>
    <w:rsid w:val="002E7082"/>
    <w:rsid w:val="002F3AE3"/>
    <w:rsid w:val="002F7E6F"/>
    <w:rsid w:val="003009E4"/>
    <w:rsid w:val="00301D75"/>
    <w:rsid w:val="003029A2"/>
    <w:rsid w:val="003033FE"/>
    <w:rsid w:val="00304D91"/>
    <w:rsid w:val="003068EB"/>
    <w:rsid w:val="003071F6"/>
    <w:rsid w:val="0030786C"/>
    <w:rsid w:val="003113FB"/>
    <w:rsid w:val="00311B62"/>
    <w:rsid w:val="00312A62"/>
    <w:rsid w:val="00316683"/>
    <w:rsid w:val="00320650"/>
    <w:rsid w:val="003257E8"/>
    <w:rsid w:val="00327C2A"/>
    <w:rsid w:val="00330D93"/>
    <w:rsid w:val="00332046"/>
    <w:rsid w:val="0033233B"/>
    <w:rsid w:val="00336787"/>
    <w:rsid w:val="00341202"/>
    <w:rsid w:val="00341A36"/>
    <w:rsid w:val="00341BEE"/>
    <w:rsid w:val="00343286"/>
    <w:rsid w:val="00345F94"/>
    <w:rsid w:val="0034601D"/>
    <w:rsid w:val="0034680F"/>
    <w:rsid w:val="00346E43"/>
    <w:rsid w:val="00350364"/>
    <w:rsid w:val="0035066E"/>
    <w:rsid w:val="0035067B"/>
    <w:rsid w:val="00350BE1"/>
    <w:rsid w:val="00350DBE"/>
    <w:rsid w:val="00351454"/>
    <w:rsid w:val="003527D6"/>
    <w:rsid w:val="00356E2C"/>
    <w:rsid w:val="00360BF8"/>
    <w:rsid w:val="003612FE"/>
    <w:rsid w:val="00365102"/>
    <w:rsid w:val="003657DB"/>
    <w:rsid w:val="0036588B"/>
    <w:rsid w:val="00367F8B"/>
    <w:rsid w:val="00370326"/>
    <w:rsid w:val="00372392"/>
    <w:rsid w:val="0037252E"/>
    <w:rsid w:val="00372A3C"/>
    <w:rsid w:val="00375843"/>
    <w:rsid w:val="0037593B"/>
    <w:rsid w:val="00375B08"/>
    <w:rsid w:val="00377646"/>
    <w:rsid w:val="00380792"/>
    <w:rsid w:val="003808E4"/>
    <w:rsid w:val="00381A7F"/>
    <w:rsid w:val="0038248B"/>
    <w:rsid w:val="00386683"/>
    <w:rsid w:val="003873C6"/>
    <w:rsid w:val="00387AD6"/>
    <w:rsid w:val="00392002"/>
    <w:rsid w:val="0039246C"/>
    <w:rsid w:val="00392A85"/>
    <w:rsid w:val="00392CA0"/>
    <w:rsid w:val="0039426B"/>
    <w:rsid w:val="00394AE9"/>
    <w:rsid w:val="00396AFB"/>
    <w:rsid w:val="00397058"/>
    <w:rsid w:val="003A2C98"/>
    <w:rsid w:val="003A429C"/>
    <w:rsid w:val="003A4F3A"/>
    <w:rsid w:val="003A64B6"/>
    <w:rsid w:val="003A70CE"/>
    <w:rsid w:val="003B5C50"/>
    <w:rsid w:val="003B6CE1"/>
    <w:rsid w:val="003B782C"/>
    <w:rsid w:val="003C297A"/>
    <w:rsid w:val="003C540E"/>
    <w:rsid w:val="003C59AF"/>
    <w:rsid w:val="003C5F0C"/>
    <w:rsid w:val="003C627E"/>
    <w:rsid w:val="003D17F9"/>
    <w:rsid w:val="003D2CD2"/>
    <w:rsid w:val="003D2EAA"/>
    <w:rsid w:val="003D3806"/>
    <w:rsid w:val="003D437B"/>
    <w:rsid w:val="003D4829"/>
    <w:rsid w:val="003D71A8"/>
    <w:rsid w:val="003D73AF"/>
    <w:rsid w:val="003D7CB2"/>
    <w:rsid w:val="003E197F"/>
    <w:rsid w:val="003E5544"/>
    <w:rsid w:val="003E5ED7"/>
    <w:rsid w:val="003E6E73"/>
    <w:rsid w:val="003E76C8"/>
    <w:rsid w:val="003F0B7B"/>
    <w:rsid w:val="003F3F0B"/>
    <w:rsid w:val="003F5668"/>
    <w:rsid w:val="00400A15"/>
    <w:rsid w:val="0040152C"/>
    <w:rsid w:val="00402CBA"/>
    <w:rsid w:val="00405336"/>
    <w:rsid w:val="0040604F"/>
    <w:rsid w:val="00406DC3"/>
    <w:rsid w:val="00412810"/>
    <w:rsid w:val="00412E9D"/>
    <w:rsid w:val="00414952"/>
    <w:rsid w:val="004168BA"/>
    <w:rsid w:val="00416C29"/>
    <w:rsid w:val="004171EC"/>
    <w:rsid w:val="0042137E"/>
    <w:rsid w:val="00423210"/>
    <w:rsid w:val="00425504"/>
    <w:rsid w:val="0042727E"/>
    <w:rsid w:val="00427E72"/>
    <w:rsid w:val="00430387"/>
    <w:rsid w:val="004305D6"/>
    <w:rsid w:val="00431F81"/>
    <w:rsid w:val="00433D19"/>
    <w:rsid w:val="004377EE"/>
    <w:rsid w:val="00440CC0"/>
    <w:rsid w:val="00440D73"/>
    <w:rsid w:val="0044210C"/>
    <w:rsid w:val="00442A72"/>
    <w:rsid w:val="00442DCF"/>
    <w:rsid w:val="004437F3"/>
    <w:rsid w:val="004444C1"/>
    <w:rsid w:val="004460F4"/>
    <w:rsid w:val="00447D31"/>
    <w:rsid w:val="00452790"/>
    <w:rsid w:val="00452849"/>
    <w:rsid w:val="00455560"/>
    <w:rsid w:val="00455C32"/>
    <w:rsid w:val="00455FF2"/>
    <w:rsid w:val="00456385"/>
    <w:rsid w:val="00457050"/>
    <w:rsid w:val="00457C8A"/>
    <w:rsid w:val="00465AB0"/>
    <w:rsid w:val="00466474"/>
    <w:rsid w:val="00470AB8"/>
    <w:rsid w:val="00472F54"/>
    <w:rsid w:val="00477E9B"/>
    <w:rsid w:val="0048093D"/>
    <w:rsid w:val="00480D10"/>
    <w:rsid w:val="00482ECA"/>
    <w:rsid w:val="004831BB"/>
    <w:rsid w:val="00484EA7"/>
    <w:rsid w:val="0048551B"/>
    <w:rsid w:val="00485776"/>
    <w:rsid w:val="00485794"/>
    <w:rsid w:val="00485ED9"/>
    <w:rsid w:val="004867E2"/>
    <w:rsid w:val="00486826"/>
    <w:rsid w:val="0048784D"/>
    <w:rsid w:val="0049246E"/>
    <w:rsid w:val="00493AA0"/>
    <w:rsid w:val="004944EF"/>
    <w:rsid w:val="004952B3"/>
    <w:rsid w:val="0049700E"/>
    <w:rsid w:val="004A0670"/>
    <w:rsid w:val="004A3973"/>
    <w:rsid w:val="004A4851"/>
    <w:rsid w:val="004A49DE"/>
    <w:rsid w:val="004A575B"/>
    <w:rsid w:val="004A5C81"/>
    <w:rsid w:val="004A7409"/>
    <w:rsid w:val="004B0417"/>
    <w:rsid w:val="004B1949"/>
    <w:rsid w:val="004B2999"/>
    <w:rsid w:val="004B2F53"/>
    <w:rsid w:val="004B346F"/>
    <w:rsid w:val="004C04EB"/>
    <w:rsid w:val="004C31BD"/>
    <w:rsid w:val="004C3664"/>
    <w:rsid w:val="004C4927"/>
    <w:rsid w:val="004C6833"/>
    <w:rsid w:val="004D082A"/>
    <w:rsid w:val="004D2F9A"/>
    <w:rsid w:val="004D3899"/>
    <w:rsid w:val="004D5724"/>
    <w:rsid w:val="004D5E77"/>
    <w:rsid w:val="004D6FF0"/>
    <w:rsid w:val="004E026C"/>
    <w:rsid w:val="004E067A"/>
    <w:rsid w:val="004E179B"/>
    <w:rsid w:val="004E2389"/>
    <w:rsid w:val="004E4314"/>
    <w:rsid w:val="004E481F"/>
    <w:rsid w:val="004E50C2"/>
    <w:rsid w:val="004E58C1"/>
    <w:rsid w:val="004F027F"/>
    <w:rsid w:val="004F0ADD"/>
    <w:rsid w:val="004F0DB8"/>
    <w:rsid w:val="004F412D"/>
    <w:rsid w:val="004F71A6"/>
    <w:rsid w:val="00500C87"/>
    <w:rsid w:val="00501367"/>
    <w:rsid w:val="0050245B"/>
    <w:rsid w:val="00503897"/>
    <w:rsid w:val="00505824"/>
    <w:rsid w:val="005067B0"/>
    <w:rsid w:val="005106AE"/>
    <w:rsid w:val="00511408"/>
    <w:rsid w:val="00511CA6"/>
    <w:rsid w:val="00513C4F"/>
    <w:rsid w:val="005140B8"/>
    <w:rsid w:val="005141B6"/>
    <w:rsid w:val="0051563D"/>
    <w:rsid w:val="00515F66"/>
    <w:rsid w:val="005170B1"/>
    <w:rsid w:val="005179C7"/>
    <w:rsid w:val="0052107C"/>
    <w:rsid w:val="00521538"/>
    <w:rsid w:val="005221B7"/>
    <w:rsid w:val="005256DC"/>
    <w:rsid w:val="00530100"/>
    <w:rsid w:val="00532241"/>
    <w:rsid w:val="00533DEF"/>
    <w:rsid w:val="0053586B"/>
    <w:rsid w:val="00536E0C"/>
    <w:rsid w:val="00537E57"/>
    <w:rsid w:val="005408C7"/>
    <w:rsid w:val="005422E7"/>
    <w:rsid w:val="005437FD"/>
    <w:rsid w:val="00544A4E"/>
    <w:rsid w:val="00546FF9"/>
    <w:rsid w:val="00551F71"/>
    <w:rsid w:val="00552A92"/>
    <w:rsid w:val="00553732"/>
    <w:rsid w:val="00553E33"/>
    <w:rsid w:val="00555C4C"/>
    <w:rsid w:val="00555D6E"/>
    <w:rsid w:val="00562F72"/>
    <w:rsid w:val="0056304B"/>
    <w:rsid w:val="00565356"/>
    <w:rsid w:val="00566B97"/>
    <w:rsid w:val="00570C6C"/>
    <w:rsid w:val="005718DB"/>
    <w:rsid w:val="00577EE4"/>
    <w:rsid w:val="00584242"/>
    <w:rsid w:val="00584334"/>
    <w:rsid w:val="00585868"/>
    <w:rsid w:val="00591A14"/>
    <w:rsid w:val="00592062"/>
    <w:rsid w:val="0059337C"/>
    <w:rsid w:val="0059380A"/>
    <w:rsid w:val="00593B5C"/>
    <w:rsid w:val="00595259"/>
    <w:rsid w:val="0059724C"/>
    <w:rsid w:val="005A1AA7"/>
    <w:rsid w:val="005A22D4"/>
    <w:rsid w:val="005A3E1C"/>
    <w:rsid w:val="005A4D0B"/>
    <w:rsid w:val="005A61B4"/>
    <w:rsid w:val="005A61EF"/>
    <w:rsid w:val="005A65E0"/>
    <w:rsid w:val="005A735B"/>
    <w:rsid w:val="005B01BE"/>
    <w:rsid w:val="005B04D8"/>
    <w:rsid w:val="005C0739"/>
    <w:rsid w:val="005C1496"/>
    <w:rsid w:val="005C3831"/>
    <w:rsid w:val="005C5EF4"/>
    <w:rsid w:val="005C6AAE"/>
    <w:rsid w:val="005D1073"/>
    <w:rsid w:val="005D1804"/>
    <w:rsid w:val="005D1E2E"/>
    <w:rsid w:val="005D2770"/>
    <w:rsid w:val="005D3E53"/>
    <w:rsid w:val="005D5D06"/>
    <w:rsid w:val="005D62B5"/>
    <w:rsid w:val="005E2614"/>
    <w:rsid w:val="005E4456"/>
    <w:rsid w:val="005E4B07"/>
    <w:rsid w:val="005E7144"/>
    <w:rsid w:val="005F0053"/>
    <w:rsid w:val="005F1E4A"/>
    <w:rsid w:val="005F2571"/>
    <w:rsid w:val="005F2B37"/>
    <w:rsid w:val="005F7535"/>
    <w:rsid w:val="00604AAF"/>
    <w:rsid w:val="00607B0B"/>
    <w:rsid w:val="006102D4"/>
    <w:rsid w:val="00611870"/>
    <w:rsid w:val="00614E29"/>
    <w:rsid w:val="00615DC5"/>
    <w:rsid w:val="00616D99"/>
    <w:rsid w:val="00617DAE"/>
    <w:rsid w:val="00620B62"/>
    <w:rsid w:val="0062216A"/>
    <w:rsid w:val="00625634"/>
    <w:rsid w:val="00625741"/>
    <w:rsid w:val="00625EC1"/>
    <w:rsid w:val="00626F7D"/>
    <w:rsid w:val="00627E39"/>
    <w:rsid w:val="00630199"/>
    <w:rsid w:val="006317C9"/>
    <w:rsid w:val="00632475"/>
    <w:rsid w:val="00632C35"/>
    <w:rsid w:val="006340B0"/>
    <w:rsid w:val="00634465"/>
    <w:rsid w:val="00641773"/>
    <w:rsid w:val="00641CB0"/>
    <w:rsid w:val="0064239F"/>
    <w:rsid w:val="006456F1"/>
    <w:rsid w:val="00646F0B"/>
    <w:rsid w:val="006500C2"/>
    <w:rsid w:val="006528A8"/>
    <w:rsid w:val="006542E7"/>
    <w:rsid w:val="00656A90"/>
    <w:rsid w:val="00657DD2"/>
    <w:rsid w:val="006641E2"/>
    <w:rsid w:val="00664AE3"/>
    <w:rsid w:val="00664B6D"/>
    <w:rsid w:val="00664F67"/>
    <w:rsid w:val="00665005"/>
    <w:rsid w:val="0066544A"/>
    <w:rsid w:val="006655E2"/>
    <w:rsid w:val="00667658"/>
    <w:rsid w:val="00670B50"/>
    <w:rsid w:val="00670F54"/>
    <w:rsid w:val="00671B6A"/>
    <w:rsid w:val="006728F9"/>
    <w:rsid w:val="006742E3"/>
    <w:rsid w:val="00674318"/>
    <w:rsid w:val="006746DA"/>
    <w:rsid w:val="00674797"/>
    <w:rsid w:val="006765C3"/>
    <w:rsid w:val="006767BC"/>
    <w:rsid w:val="006779B6"/>
    <w:rsid w:val="00677C61"/>
    <w:rsid w:val="006803BA"/>
    <w:rsid w:val="0068269C"/>
    <w:rsid w:val="006922F5"/>
    <w:rsid w:val="00692D90"/>
    <w:rsid w:val="00693539"/>
    <w:rsid w:val="006947D9"/>
    <w:rsid w:val="00696A33"/>
    <w:rsid w:val="00697421"/>
    <w:rsid w:val="006A16DD"/>
    <w:rsid w:val="006A2587"/>
    <w:rsid w:val="006A2D22"/>
    <w:rsid w:val="006A72C0"/>
    <w:rsid w:val="006B216B"/>
    <w:rsid w:val="006B3CFC"/>
    <w:rsid w:val="006B3E72"/>
    <w:rsid w:val="006B6E6E"/>
    <w:rsid w:val="006C0CD8"/>
    <w:rsid w:val="006C136B"/>
    <w:rsid w:val="006C314B"/>
    <w:rsid w:val="006C4746"/>
    <w:rsid w:val="006C5AEE"/>
    <w:rsid w:val="006C679A"/>
    <w:rsid w:val="006D09C1"/>
    <w:rsid w:val="006D09FE"/>
    <w:rsid w:val="006D0C40"/>
    <w:rsid w:val="006D15C1"/>
    <w:rsid w:val="006D168B"/>
    <w:rsid w:val="006D5719"/>
    <w:rsid w:val="006D5AEE"/>
    <w:rsid w:val="006D6070"/>
    <w:rsid w:val="006D641A"/>
    <w:rsid w:val="006D723B"/>
    <w:rsid w:val="006D732F"/>
    <w:rsid w:val="006E3899"/>
    <w:rsid w:val="006E40BF"/>
    <w:rsid w:val="006E4597"/>
    <w:rsid w:val="006E507C"/>
    <w:rsid w:val="006E6723"/>
    <w:rsid w:val="006E688D"/>
    <w:rsid w:val="006F1432"/>
    <w:rsid w:val="006F762E"/>
    <w:rsid w:val="006F7964"/>
    <w:rsid w:val="00700814"/>
    <w:rsid w:val="00701C88"/>
    <w:rsid w:val="007028EC"/>
    <w:rsid w:val="007030CB"/>
    <w:rsid w:val="007035D8"/>
    <w:rsid w:val="007050C5"/>
    <w:rsid w:val="00707025"/>
    <w:rsid w:val="0070703E"/>
    <w:rsid w:val="00707D22"/>
    <w:rsid w:val="007103BE"/>
    <w:rsid w:val="00710AA4"/>
    <w:rsid w:val="00711E21"/>
    <w:rsid w:val="00712832"/>
    <w:rsid w:val="00713F05"/>
    <w:rsid w:val="00714DA5"/>
    <w:rsid w:val="00715168"/>
    <w:rsid w:val="0071583E"/>
    <w:rsid w:val="0071637F"/>
    <w:rsid w:val="00716597"/>
    <w:rsid w:val="00716DF0"/>
    <w:rsid w:val="00716FED"/>
    <w:rsid w:val="00722691"/>
    <w:rsid w:val="007238E8"/>
    <w:rsid w:val="0072413F"/>
    <w:rsid w:val="0072555E"/>
    <w:rsid w:val="00725FB9"/>
    <w:rsid w:val="007267BD"/>
    <w:rsid w:val="00727042"/>
    <w:rsid w:val="007274F3"/>
    <w:rsid w:val="00730020"/>
    <w:rsid w:val="00730ECC"/>
    <w:rsid w:val="00731774"/>
    <w:rsid w:val="007333AD"/>
    <w:rsid w:val="00733536"/>
    <w:rsid w:val="00733BD1"/>
    <w:rsid w:val="007360BF"/>
    <w:rsid w:val="00737D4D"/>
    <w:rsid w:val="007406E6"/>
    <w:rsid w:val="00740E55"/>
    <w:rsid w:val="00745D32"/>
    <w:rsid w:val="00746443"/>
    <w:rsid w:val="00746CCD"/>
    <w:rsid w:val="00747CE1"/>
    <w:rsid w:val="007517A6"/>
    <w:rsid w:val="007526D1"/>
    <w:rsid w:val="007528A9"/>
    <w:rsid w:val="00753ACE"/>
    <w:rsid w:val="00753CAA"/>
    <w:rsid w:val="007545C7"/>
    <w:rsid w:val="00756E5E"/>
    <w:rsid w:val="0076005C"/>
    <w:rsid w:val="0076111D"/>
    <w:rsid w:val="00761711"/>
    <w:rsid w:val="007635C1"/>
    <w:rsid w:val="00765D8A"/>
    <w:rsid w:val="00766B42"/>
    <w:rsid w:val="0076731D"/>
    <w:rsid w:val="00767650"/>
    <w:rsid w:val="00767A90"/>
    <w:rsid w:val="00770588"/>
    <w:rsid w:val="00770EDE"/>
    <w:rsid w:val="00772F42"/>
    <w:rsid w:val="00772F48"/>
    <w:rsid w:val="0077624B"/>
    <w:rsid w:val="0078070C"/>
    <w:rsid w:val="00780D74"/>
    <w:rsid w:val="00784541"/>
    <w:rsid w:val="007871C5"/>
    <w:rsid w:val="00787466"/>
    <w:rsid w:val="00787790"/>
    <w:rsid w:val="007907DF"/>
    <w:rsid w:val="00794DF2"/>
    <w:rsid w:val="00796873"/>
    <w:rsid w:val="007968CC"/>
    <w:rsid w:val="00796FB7"/>
    <w:rsid w:val="0079708B"/>
    <w:rsid w:val="00797229"/>
    <w:rsid w:val="007A0FFD"/>
    <w:rsid w:val="007A1826"/>
    <w:rsid w:val="007A2D59"/>
    <w:rsid w:val="007A2E92"/>
    <w:rsid w:val="007A3562"/>
    <w:rsid w:val="007A557C"/>
    <w:rsid w:val="007A6BA3"/>
    <w:rsid w:val="007B04A9"/>
    <w:rsid w:val="007B16AC"/>
    <w:rsid w:val="007B1D5C"/>
    <w:rsid w:val="007B3F66"/>
    <w:rsid w:val="007B473A"/>
    <w:rsid w:val="007B56E4"/>
    <w:rsid w:val="007B5D05"/>
    <w:rsid w:val="007B5D1E"/>
    <w:rsid w:val="007B62D5"/>
    <w:rsid w:val="007B6913"/>
    <w:rsid w:val="007C1DBB"/>
    <w:rsid w:val="007C2217"/>
    <w:rsid w:val="007C26F7"/>
    <w:rsid w:val="007C2E29"/>
    <w:rsid w:val="007C471C"/>
    <w:rsid w:val="007C5151"/>
    <w:rsid w:val="007C52D3"/>
    <w:rsid w:val="007C6D56"/>
    <w:rsid w:val="007D2317"/>
    <w:rsid w:val="007D4258"/>
    <w:rsid w:val="007E000D"/>
    <w:rsid w:val="007E012E"/>
    <w:rsid w:val="007E175B"/>
    <w:rsid w:val="007E2E42"/>
    <w:rsid w:val="007E3497"/>
    <w:rsid w:val="007E3F8A"/>
    <w:rsid w:val="007E4321"/>
    <w:rsid w:val="007E5291"/>
    <w:rsid w:val="007E7222"/>
    <w:rsid w:val="007E7347"/>
    <w:rsid w:val="007F10D3"/>
    <w:rsid w:val="007F3645"/>
    <w:rsid w:val="007F5184"/>
    <w:rsid w:val="007F58DD"/>
    <w:rsid w:val="007F6791"/>
    <w:rsid w:val="00801127"/>
    <w:rsid w:val="00801CA4"/>
    <w:rsid w:val="00802131"/>
    <w:rsid w:val="0080562F"/>
    <w:rsid w:val="00805E44"/>
    <w:rsid w:val="00806FF0"/>
    <w:rsid w:val="008104F9"/>
    <w:rsid w:val="00811C26"/>
    <w:rsid w:val="00812029"/>
    <w:rsid w:val="00812A44"/>
    <w:rsid w:val="00814D02"/>
    <w:rsid w:val="00815FC5"/>
    <w:rsid w:val="0081716B"/>
    <w:rsid w:val="00820059"/>
    <w:rsid w:val="00823106"/>
    <w:rsid w:val="00824BEB"/>
    <w:rsid w:val="008264EB"/>
    <w:rsid w:val="00826E6F"/>
    <w:rsid w:val="00827924"/>
    <w:rsid w:val="00827A33"/>
    <w:rsid w:val="00830756"/>
    <w:rsid w:val="0083276F"/>
    <w:rsid w:val="00835766"/>
    <w:rsid w:val="00837107"/>
    <w:rsid w:val="00837A90"/>
    <w:rsid w:val="0084511D"/>
    <w:rsid w:val="0084682A"/>
    <w:rsid w:val="008470FC"/>
    <w:rsid w:val="0084740A"/>
    <w:rsid w:val="00855386"/>
    <w:rsid w:val="00855A49"/>
    <w:rsid w:val="00856BC0"/>
    <w:rsid w:val="00856DF5"/>
    <w:rsid w:val="00856FBC"/>
    <w:rsid w:val="00857010"/>
    <w:rsid w:val="008573F5"/>
    <w:rsid w:val="00857E76"/>
    <w:rsid w:val="0086059A"/>
    <w:rsid w:val="00861EA6"/>
    <w:rsid w:val="00865932"/>
    <w:rsid w:val="008674EC"/>
    <w:rsid w:val="00867AC2"/>
    <w:rsid w:val="00870D9C"/>
    <w:rsid w:val="00872059"/>
    <w:rsid w:val="008724DB"/>
    <w:rsid w:val="008735F8"/>
    <w:rsid w:val="00873673"/>
    <w:rsid w:val="00874BC8"/>
    <w:rsid w:val="00875723"/>
    <w:rsid w:val="008803A1"/>
    <w:rsid w:val="00880A91"/>
    <w:rsid w:val="0088122A"/>
    <w:rsid w:val="00881ED5"/>
    <w:rsid w:val="008822F7"/>
    <w:rsid w:val="008839CD"/>
    <w:rsid w:val="00884602"/>
    <w:rsid w:val="00884684"/>
    <w:rsid w:val="0089195B"/>
    <w:rsid w:val="008928C1"/>
    <w:rsid w:val="00892AC8"/>
    <w:rsid w:val="00897E5A"/>
    <w:rsid w:val="008A07AF"/>
    <w:rsid w:val="008A348F"/>
    <w:rsid w:val="008A429F"/>
    <w:rsid w:val="008A4580"/>
    <w:rsid w:val="008A4AC8"/>
    <w:rsid w:val="008A4E8B"/>
    <w:rsid w:val="008A58F9"/>
    <w:rsid w:val="008B014E"/>
    <w:rsid w:val="008B15C1"/>
    <w:rsid w:val="008B2EB4"/>
    <w:rsid w:val="008B3B64"/>
    <w:rsid w:val="008B445E"/>
    <w:rsid w:val="008B6FE3"/>
    <w:rsid w:val="008C1A82"/>
    <w:rsid w:val="008C1F45"/>
    <w:rsid w:val="008C4123"/>
    <w:rsid w:val="008C4855"/>
    <w:rsid w:val="008C54E4"/>
    <w:rsid w:val="008C74EA"/>
    <w:rsid w:val="008D043F"/>
    <w:rsid w:val="008D09DE"/>
    <w:rsid w:val="008D1726"/>
    <w:rsid w:val="008D2D67"/>
    <w:rsid w:val="008D3FF6"/>
    <w:rsid w:val="008D5AFD"/>
    <w:rsid w:val="008D77AC"/>
    <w:rsid w:val="008D79E3"/>
    <w:rsid w:val="008E1C05"/>
    <w:rsid w:val="008E3489"/>
    <w:rsid w:val="008E3658"/>
    <w:rsid w:val="008E59EB"/>
    <w:rsid w:val="008E5D6A"/>
    <w:rsid w:val="008E66AF"/>
    <w:rsid w:val="008E7AA7"/>
    <w:rsid w:val="008F16C4"/>
    <w:rsid w:val="008F26C0"/>
    <w:rsid w:val="008F5278"/>
    <w:rsid w:val="008F6684"/>
    <w:rsid w:val="008F6AD9"/>
    <w:rsid w:val="008F6BE7"/>
    <w:rsid w:val="00900457"/>
    <w:rsid w:val="00901462"/>
    <w:rsid w:val="009017CF"/>
    <w:rsid w:val="00901D6C"/>
    <w:rsid w:val="00902A76"/>
    <w:rsid w:val="00904474"/>
    <w:rsid w:val="009076C1"/>
    <w:rsid w:val="0091137C"/>
    <w:rsid w:val="009127BC"/>
    <w:rsid w:val="0091384C"/>
    <w:rsid w:val="009158F6"/>
    <w:rsid w:val="009213F3"/>
    <w:rsid w:val="009216E0"/>
    <w:rsid w:val="0092204C"/>
    <w:rsid w:val="00922DEE"/>
    <w:rsid w:val="009238AA"/>
    <w:rsid w:val="009244B8"/>
    <w:rsid w:val="00925748"/>
    <w:rsid w:val="00927D50"/>
    <w:rsid w:val="00932407"/>
    <w:rsid w:val="00933B21"/>
    <w:rsid w:val="00933EC2"/>
    <w:rsid w:val="00934635"/>
    <w:rsid w:val="00940369"/>
    <w:rsid w:val="00941048"/>
    <w:rsid w:val="009412F5"/>
    <w:rsid w:val="00941728"/>
    <w:rsid w:val="009424A5"/>
    <w:rsid w:val="00943BBA"/>
    <w:rsid w:val="00944857"/>
    <w:rsid w:val="0094522A"/>
    <w:rsid w:val="00950089"/>
    <w:rsid w:val="0095134C"/>
    <w:rsid w:val="00952709"/>
    <w:rsid w:val="00955284"/>
    <w:rsid w:val="0095539D"/>
    <w:rsid w:val="00957E40"/>
    <w:rsid w:val="00957E88"/>
    <w:rsid w:val="00961B39"/>
    <w:rsid w:val="00961FBE"/>
    <w:rsid w:val="009635FF"/>
    <w:rsid w:val="00964277"/>
    <w:rsid w:val="0096474D"/>
    <w:rsid w:val="00966E59"/>
    <w:rsid w:val="009723C4"/>
    <w:rsid w:val="00974305"/>
    <w:rsid w:val="0097582E"/>
    <w:rsid w:val="00977D26"/>
    <w:rsid w:val="00977E26"/>
    <w:rsid w:val="00980040"/>
    <w:rsid w:val="009805EC"/>
    <w:rsid w:val="00980E29"/>
    <w:rsid w:val="00981320"/>
    <w:rsid w:val="00983FA6"/>
    <w:rsid w:val="00984227"/>
    <w:rsid w:val="009857C3"/>
    <w:rsid w:val="009904EA"/>
    <w:rsid w:val="009907D7"/>
    <w:rsid w:val="00991AF5"/>
    <w:rsid w:val="0099343F"/>
    <w:rsid w:val="0099486B"/>
    <w:rsid w:val="00995094"/>
    <w:rsid w:val="009A007B"/>
    <w:rsid w:val="009A0425"/>
    <w:rsid w:val="009A263C"/>
    <w:rsid w:val="009B0459"/>
    <w:rsid w:val="009B053D"/>
    <w:rsid w:val="009B121E"/>
    <w:rsid w:val="009B3E5D"/>
    <w:rsid w:val="009B4259"/>
    <w:rsid w:val="009B5D64"/>
    <w:rsid w:val="009B64E3"/>
    <w:rsid w:val="009C1A15"/>
    <w:rsid w:val="009C5964"/>
    <w:rsid w:val="009C672E"/>
    <w:rsid w:val="009C77A3"/>
    <w:rsid w:val="009D0B90"/>
    <w:rsid w:val="009D0BF2"/>
    <w:rsid w:val="009D3827"/>
    <w:rsid w:val="009D6852"/>
    <w:rsid w:val="009E0725"/>
    <w:rsid w:val="009E0D48"/>
    <w:rsid w:val="009E1F38"/>
    <w:rsid w:val="009E2DDB"/>
    <w:rsid w:val="009E4389"/>
    <w:rsid w:val="009E5D18"/>
    <w:rsid w:val="009E6978"/>
    <w:rsid w:val="009E6B78"/>
    <w:rsid w:val="009E6D37"/>
    <w:rsid w:val="009F1EC9"/>
    <w:rsid w:val="009F306E"/>
    <w:rsid w:val="009F33F8"/>
    <w:rsid w:val="009F3DC9"/>
    <w:rsid w:val="009F4ACF"/>
    <w:rsid w:val="009F5002"/>
    <w:rsid w:val="009F5557"/>
    <w:rsid w:val="00A02BFF"/>
    <w:rsid w:val="00A02E7D"/>
    <w:rsid w:val="00A0554C"/>
    <w:rsid w:val="00A063AF"/>
    <w:rsid w:val="00A0768B"/>
    <w:rsid w:val="00A1015B"/>
    <w:rsid w:val="00A11A25"/>
    <w:rsid w:val="00A11BFC"/>
    <w:rsid w:val="00A139AB"/>
    <w:rsid w:val="00A15082"/>
    <w:rsid w:val="00A15B82"/>
    <w:rsid w:val="00A167E4"/>
    <w:rsid w:val="00A16AEE"/>
    <w:rsid w:val="00A172E1"/>
    <w:rsid w:val="00A206A2"/>
    <w:rsid w:val="00A21CEE"/>
    <w:rsid w:val="00A30425"/>
    <w:rsid w:val="00A369E8"/>
    <w:rsid w:val="00A371E3"/>
    <w:rsid w:val="00A4199A"/>
    <w:rsid w:val="00A41D39"/>
    <w:rsid w:val="00A43BBB"/>
    <w:rsid w:val="00A4512D"/>
    <w:rsid w:val="00A46092"/>
    <w:rsid w:val="00A52E36"/>
    <w:rsid w:val="00A541E1"/>
    <w:rsid w:val="00A54775"/>
    <w:rsid w:val="00A54931"/>
    <w:rsid w:val="00A5502C"/>
    <w:rsid w:val="00A55ADD"/>
    <w:rsid w:val="00A5694A"/>
    <w:rsid w:val="00A56D8D"/>
    <w:rsid w:val="00A57736"/>
    <w:rsid w:val="00A61897"/>
    <w:rsid w:val="00A62C11"/>
    <w:rsid w:val="00A65795"/>
    <w:rsid w:val="00A65AD0"/>
    <w:rsid w:val="00A6672E"/>
    <w:rsid w:val="00A6730A"/>
    <w:rsid w:val="00A67D0E"/>
    <w:rsid w:val="00A705AF"/>
    <w:rsid w:val="00A7126D"/>
    <w:rsid w:val="00A72DD1"/>
    <w:rsid w:val="00A73C2F"/>
    <w:rsid w:val="00A75B58"/>
    <w:rsid w:val="00A76BE9"/>
    <w:rsid w:val="00A77349"/>
    <w:rsid w:val="00A77698"/>
    <w:rsid w:val="00A77CDB"/>
    <w:rsid w:val="00A81D72"/>
    <w:rsid w:val="00A82412"/>
    <w:rsid w:val="00A83BF4"/>
    <w:rsid w:val="00A84120"/>
    <w:rsid w:val="00A86BF6"/>
    <w:rsid w:val="00A931E2"/>
    <w:rsid w:val="00A9348E"/>
    <w:rsid w:val="00A93A18"/>
    <w:rsid w:val="00A93FB4"/>
    <w:rsid w:val="00A964DB"/>
    <w:rsid w:val="00A96DED"/>
    <w:rsid w:val="00AA0055"/>
    <w:rsid w:val="00AA0A90"/>
    <w:rsid w:val="00AA1445"/>
    <w:rsid w:val="00AA21E7"/>
    <w:rsid w:val="00AA22FD"/>
    <w:rsid w:val="00AA2849"/>
    <w:rsid w:val="00AA3A3E"/>
    <w:rsid w:val="00AA3A96"/>
    <w:rsid w:val="00AA603A"/>
    <w:rsid w:val="00AA6DC2"/>
    <w:rsid w:val="00AA6E06"/>
    <w:rsid w:val="00AA7B58"/>
    <w:rsid w:val="00AB0A6E"/>
    <w:rsid w:val="00AB0DD2"/>
    <w:rsid w:val="00AB221C"/>
    <w:rsid w:val="00AB40AB"/>
    <w:rsid w:val="00AB58E3"/>
    <w:rsid w:val="00AB64E5"/>
    <w:rsid w:val="00AB6E76"/>
    <w:rsid w:val="00AB6ED9"/>
    <w:rsid w:val="00AB6F9B"/>
    <w:rsid w:val="00AB77FC"/>
    <w:rsid w:val="00AC0FC4"/>
    <w:rsid w:val="00AC1B3C"/>
    <w:rsid w:val="00AC2897"/>
    <w:rsid w:val="00AC637F"/>
    <w:rsid w:val="00AC66F5"/>
    <w:rsid w:val="00AC7C97"/>
    <w:rsid w:val="00AD01B4"/>
    <w:rsid w:val="00AD055C"/>
    <w:rsid w:val="00AD2883"/>
    <w:rsid w:val="00AD4C46"/>
    <w:rsid w:val="00AD52A0"/>
    <w:rsid w:val="00AD5717"/>
    <w:rsid w:val="00AD5E9E"/>
    <w:rsid w:val="00AE02FF"/>
    <w:rsid w:val="00AE0368"/>
    <w:rsid w:val="00AE05BB"/>
    <w:rsid w:val="00AE0BA6"/>
    <w:rsid w:val="00AE3267"/>
    <w:rsid w:val="00AE727E"/>
    <w:rsid w:val="00AF6154"/>
    <w:rsid w:val="00AF7732"/>
    <w:rsid w:val="00B01CD2"/>
    <w:rsid w:val="00B03485"/>
    <w:rsid w:val="00B04D13"/>
    <w:rsid w:val="00B05DC3"/>
    <w:rsid w:val="00B06AE8"/>
    <w:rsid w:val="00B07615"/>
    <w:rsid w:val="00B1218D"/>
    <w:rsid w:val="00B14F00"/>
    <w:rsid w:val="00B163F6"/>
    <w:rsid w:val="00B20074"/>
    <w:rsid w:val="00B20145"/>
    <w:rsid w:val="00B2029C"/>
    <w:rsid w:val="00B20701"/>
    <w:rsid w:val="00B213FD"/>
    <w:rsid w:val="00B24DF4"/>
    <w:rsid w:val="00B2665E"/>
    <w:rsid w:val="00B3029A"/>
    <w:rsid w:val="00B30753"/>
    <w:rsid w:val="00B30E15"/>
    <w:rsid w:val="00B328AF"/>
    <w:rsid w:val="00B32C79"/>
    <w:rsid w:val="00B32DD1"/>
    <w:rsid w:val="00B336B7"/>
    <w:rsid w:val="00B33910"/>
    <w:rsid w:val="00B37148"/>
    <w:rsid w:val="00B3720C"/>
    <w:rsid w:val="00B37974"/>
    <w:rsid w:val="00B37ABB"/>
    <w:rsid w:val="00B41409"/>
    <w:rsid w:val="00B41627"/>
    <w:rsid w:val="00B42851"/>
    <w:rsid w:val="00B42F62"/>
    <w:rsid w:val="00B43BDF"/>
    <w:rsid w:val="00B43E8D"/>
    <w:rsid w:val="00B456E0"/>
    <w:rsid w:val="00B459E9"/>
    <w:rsid w:val="00B47076"/>
    <w:rsid w:val="00B50E3B"/>
    <w:rsid w:val="00B510E1"/>
    <w:rsid w:val="00B5113E"/>
    <w:rsid w:val="00B51F42"/>
    <w:rsid w:val="00B51F5C"/>
    <w:rsid w:val="00B52699"/>
    <w:rsid w:val="00B54B42"/>
    <w:rsid w:val="00B555FD"/>
    <w:rsid w:val="00B56B37"/>
    <w:rsid w:val="00B57759"/>
    <w:rsid w:val="00B60D44"/>
    <w:rsid w:val="00B60D86"/>
    <w:rsid w:val="00B66EE8"/>
    <w:rsid w:val="00B67F09"/>
    <w:rsid w:val="00B717A2"/>
    <w:rsid w:val="00B7235E"/>
    <w:rsid w:val="00B72840"/>
    <w:rsid w:val="00B730FF"/>
    <w:rsid w:val="00B732F1"/>
    <w:rsid w:val="00B737E6"/>
    <w:rsid w:val="00B7515F"/>
    <w:rsid w:val="00B75D2C"/>
    <w:rsid w:val="00B823B0"/>
    <w:rsid w:val="00B86EE8"/>
    <w:rsid w:val="00B904EC"/>
    <w:rsid w:val="00B91269"/>
    <w:rsid w:val="00B91454"/>
    <w:rsid w:val="00B93CD5"/>
    <w:rsid w:val="00B9432A"/>
    <w:rsid w:val="00B94F69"/>
    <w:rsid w:val="00B95A67"/>
    <w:rsid w:val="00B96A84"/>
    <w:rsid w:val="00B97758"/>
    <w:rsid w:val="00BA0015"/>
    <w:rsid w:val="00BA2A5D"/>
    <w:rsid w:val="00BA2DE8"/>
    <w:rsid w:val="00BA3BA5"/>
    <w:rsid w:val="00BA3BC1"/>
    <w:rsid w:val="00BA4AEE"/>
    <w:rsid w:val="00BB0A63"/>
    <w:rsid w:val="00BB1101"/>
    <w:rsid w:val="00BB2D0A"/>
    <w:rsid w:val="00BB31A6"/>
    <w:rsid w:val="00BB6442"/>
    <w:rsid w:val="00BB7D28"/>
    <w:rsid w:val="00BC0011"/>
    <w:rsid w:val="00BC07E4"/>
    <w:rsid w:val="00BC4293"/>
    <w:rsid w:val="00BC4D09"/>
    <w:rsid w:val="00BC678B"/>
    <w:rsid w:val="00BC7D01"/>
    <w:rsid w:val="00BD04E2"/>
    <w:rsid w:val="00BD0B57"/>
    <w:rsid w:val="00BD2CC1"/>
    <w:rsid w:val="00BD5F76"/>
    <w:rsid w:val="00BD649D"/>
    <w:rsid w:val="00BE0DE7"/>
    <w:rsid w:val="00BE2388"/>
    <w:rsid w:val="00BE2FD6"/>
    <w:rsid w:val="00BE33D7"/>
    <w:rsid w:val="00BE4635"/>
    <w:rsid w:val="00BE6015"/>
    <w:rsid w:val="00BE67C0"/>
    <w:rsid w:val="00BE6832"/>
    <w:rsid w:val="00BF2561"/>
    <w:rsid w:val="00BF5905"/>
    <w:rsid w:val="00BF6152"/>
    <w:rsid w:val="00C01327"/>
    <w:rsid w:val="00C01A83"/>
    <w:rsid w:val="00C025A9"/>
    <w:rsid w:val="00C03176"/>
    <w:rsid w:val="00C06314"/>
    <w:rsid w:val="00C10135"/>
    <w:rsid w:val="00C11D09"/>
    <w:rsid w:val="00C123DF"/>
    <w:rsid w:val="00C12685"/>
    <w:rsid w:val="00C12706"/>
    <w:rsid w:val="00C206EE"/>
    <w:rsid w:val="00C230B2"/>
    <w:rsid w:val="00C23604"/>
    <w:rsid w:val="00C268AC"/>
    <w:rsid w:val="00C308FA"/>
    <w:rsid w:val="00C3148E"/>
    <w:rsid w:val="00C31839"/>
    <w:rsid w:val="00C31A7F"/>
    <w:rsid w:val="00C32280"/>
    <w:rsid w:val="00C33D29"/>
    <w:rsid w:val="00C34AD6"/>
    <w:rsid w:val="00C35287"/>
    <w:rsid w:val="00C35DEC"/>
    <w:rsid w:val="00C35F32"/>
    <w:rsid w:val="00C37866"/>
    <w:rsid w:val="00C379C7"/>
    <w:rsid w:val="00C37F28"/>
    <w:rsid w:val="00C37FF9"/>
    <w:rsid w:val="00C436EE"/>
    <w:rsid w:val="00C44239"/>
    <w:rsid w:val="00C477AC"/>
    <w:rsid w:val="00C479D5"/>
    <w:rsid w:val="00C51081"/>
    <w:rsid w:val="00C51BE7"/>
    <w:rsid w:val="00C52FC1"/>
    <w:rsid w:val="00C533B8"/>
    <w:rsid w:val="00C53C65"/>
    <w:rsid w:val="00C565EF"/>
    <w:rsid w:val="00C57614"/>
    <w:rsid w:val="00C57EC0"/>
    <w:rsid w:val="00C618D7"/>
    <w:rsid w:val="00C624CC"/>
    <w:rsid w:val="00C625E7"/>
    <w:rsid w:val="00C628B6"/>
    <w:rsid w:val="00C63431"/>
    <w:rsid w:val="00C63C14"/>
    <w:rsid w:val="00C6423C"/>
    <w:rsid w:val="00C64759"/>
    <w:rsid w:val="00C64AE4"/>
    <w:rsid w:val="00C64BBB"/>
    <w:rsid w:val="00C64D00"/>
    <w:rsid w:val="00C66A41"/>
    <w:rsid w:val="00C71A9F"/>
    <w:rsid w:val="00C74935"/>
    <w:rsid w:val="00C7543A"/>
    <w:rsid w:val="00C76AE0"/>
    <w:rsid w:val="00C82E56"/>
    <w:rsid w:val="00C84B06"/>
    <w:rsid w:val="00C85E91"/>
    <w:rsid w:val="00C911AD"/>
    <w:rsid w:val="00C92CF1"/>
    <w:rsid w:val="00C9343C"/>
    <w:rsid w:val="00C9589D"/>
    <w:rsid w:val="00C95A53"/>
    <w:rsid w:val="00CA04C6"/>
    <w:rsid w:val="00CA146C"/>
    <w:rsid w:val="00CA1D29"/>
    <w:rsid w:val="00CA3B3C"/>
    <w:rsid w:val="00CA3FE5"/>
    <w:rsid w:val="00CA4C16"/>
    <w:rsid w:val="00CA4EA8"/>
    <w:rsid w:val="00CB0684"/>
    <w:rsid w:val="00CB2190"/>
    <w:rsid w:val="00CB2787"/>
    <w:rsid w:val="00CB320A"/>
    <w:rsid w:val="00CB3454"/>
    <w:rsid w:val="00CB3B83"/>
    <w:rsid w:val="00CB5999"/>
    <w:rsid w:val="00CB5B1A"/>
    <w:rsid w:val="00CB71E2"/>
    <w:rsid w:val="00CB733F"/>
    <w:rsid w:val="00CC1D4C"/>
    <w:rsid w:val="00CC36EF"/>
    <w:rsid w:val="00CC4B4F"/>
    <w:rsid w:val="00CC4B8E"/>
    <w:rsid w:val="00CC5DD9"/>
    <w:rsid w:val="00CC697B"/>
    <w:rsid w:val="00CC7207"/>
    <w:rsid w:val="00CD2BB7"/>
    <w:rsid w:val="00CD3AF4"/>
    <w:rsid w:val="00CD3C15"/>
    <w:rsid w:val="00CE16CC"/>
    <w:rsid w:val="00CE1712"/>
    <w:rsid w:val="00CE19C4"/>
    <w:rsid w:val="00CE2964"/>
    <w:rsid w:val="00CE3387"/>
    <w:rsid w:val="00CE3A39"/>
    <w:rsid w:val="00CE63A6"/>
    <w:rsid w:val="00CE70B4"/>
    <w:rsid w:val="00CE7355"/>
    <w:rsid w:val="00CF0605"/>
    <w:rsid w:val="00CF157B"/>
    <w:rsid w:val="00CF2556"/>
    <w:rsid w:val="00CF26B2"/>
    <w:rsid w:val="00CF3753"/>
    <w:rsid w:val="00CF4118"/>
    <w:rsid w:val="00CF6318"/>
    <w:rsid w:val="00CF6DF7"/>
    <w:rsid w:val="00CF6E82"/>
    <w:rsid w:val="00CF702F"/>
    <w:rsid w:val="00D03694"/>
    <w:rsid w:val="00D04D5E"/>
    <w:rsid w:val="00D05BDA"/>
    <w:rsid w:val="00D05CB2"/>
    <w:rsid w:val="00D07C0D"/>
    <w:rsid w:val="00D07F72"/>
    <w:rsid w:val="00D10D90"/>
    <w:rsid w:val="00D116AD"/>
    <w:rsid w:val="00D138DA"/>
    <w:rsid w:val="00D13C42"/>
    <w:rsid w:val="00D16B25"/>
    <w:rsid w:val="00D177B3"/>
    <w:rsid w:val="00D179DB"/>
    <w:rsid w:val="00D20AD1"/>
    <w:rsid w:val="00D21A33"/>
    <w:rsid w:val="00D21B09"/>
    <w:rsid w:val="00D24922"/>
    <w:rsid w:val="00D25054"/>
    <w:rsid w:val="00D26F70"/>
    <w:rsid w:val="00D27190"/>
    <w:rsid w:val="00D27918"/>
    <w:rsid w:val="00D301EA"/>
    <w:rsid w:val="00D31DC2"/>
    <w:rsid w:val="00D3523B"/>
    <w:rsid w:val="00D4100E"/>
    <w:rsid w:val="00D41AE5"/>
    <w:rsid w:val="00D429E0"/>
    <w:rsid w:val="00D42B9A"/>
    <w:rsid w:val="00D42C87"/>
    <w:rsid w:val="00D446AF"/>
    <w:rsid w:val="00D44E0B"/>
    <w:rsid w:val="00D469E4"/>
    <w:rsid w:val="00D4728F"/>
    <w:rsid w:val="00D50F47"/>
    <w:rsid w:val="00D528E2"/>
    <w:rsid w:val="00D5318D"/>
    <w:rsid w:val="00D5354B"/>
    <w:rsid w:val="00D55A62"/>
    <w:rsid w:val="00D563D0"/>
    <w:rsid w:val="00D62CA0"/>
    <w:rsid w:val="00D646BC"/>
    <w:rsid w:val="00D738DB"/>
    <w:rsid w:val="00D73FE2"/>
    <w:rsid w:val="00D7465B"/>
    <w:rsid w:val="00D75BEB"/>
    <w:rsid w:val="00D77741"/>
    <w:rsid w:val="00D808C7"/>
    <w:rsid w:val="00D81026"/>
    <w:rsid w:val="00D812BD"/>
    <w:rsid w:val="00D82E72"/>
    <w:rsid w:val="00D83907"/>
    <w:rsid w:val="00D84622"/>
    <w:rsid w:val="00D85E91"/>
    <w:rsid w:val="00D87CBD"/>
    <w:rsid w:val="00D9306A"/>
    <w:rsid w:val="00D944BF"/>
    <w:rsid w:val="00D953AB"/>
    <w:rsid w:val="00D96327"/>
    <w:rsid w:val="00D96578"/>
    <w:rsid w:val="00DA1211"/>
    <w:rsid w:val="00DA13A2"/>
    <w:rsid w:val="00DA19BE"/>
    <w:rsid w:val="00DA3492"/>
    <w:rsid w:val="00DA357D"/>
    <w:rsid w:val="00DA3C7F"/>
    <w:rsid w:val="00DA5AD6"/>
    <w:rsid w:val="00DB07A4"/>
    <w:rsid w:val="00DB0A2E"/>
    <w:rsid w:val="00DB3F94"/>
    <w:rsid w:val="00DB5454"/>
    <w:rsid w:val="00DB5911"/>
    <w:rsid w:val="00DB59C2"/>
    <w:rsid w:val="00DC0477"/>
    <w:rsid w:val="00DC0D24"/>
    <w:rsid w:val="00DC28B7"/>
    <w:rsid w:val="00DC741A"/>
    <w:rsid w:val="00DD047B"/>
    <w:rsid w:val="00DD3BE3"/>
    <w:rsid w:val="00DD5D99"/>
    <w:rsid w:val="00DD6F15"/>
    <w:rsid w:val="00DD71BA"/>
    <w:rsid w:val="00DD7A21"/>
    <w:rsid w:val="00DE0FAD"/>
    <w:rsid w:val="00DE3020"/>
    <w:rsid w:val="00DE3A8B"/>
    <w:rsid w:val="00DE3C4E"/>
    <w:rsid w:val="00DE3DB8"/>
    <w:rsid w:val="00DE3DE4"/>
    <w:rsid w:val="00DE52E3"/>
    <w:rsid w:val="00DE5D9E"/>
    <w:rsid w:val="00DE75D8"/>
    <w:rsid w:val="00DF0B12"/>
    <w:rsid w:val="00DF3751"/>
    <w:rsid w:val="00DF515C"/>
    <w:rsid w:val="00DF5695"/>
    <w:rsid w:val="00DF7660"/>
    <w:rsid w:val="00E00651"/>
    <w:rsid w:val="00E015E6"/>
    <w:rsid w:val="00E03339"/>
    <w:rsid w:val="00E05B44"/>
    <w:rsid w:val="00E06258"/>
    <w:rsid w:val="00E066B4"/>
    <w:rsid w:val="00E10729"/>
    <w:rsid w:val="00E1173B"/>
    <w:rsid w:val="00E13C5C"/>
    <w:rsid w:val="00E209BF"/>
    <w:rsid w:val="00E230E1"/>
    <w:rsid w:val="00E236C6"/>
    <w:rsid w:val="00E23EC6"/>
    <w:rsid w:val="00E27338"/>
    <w:rsid w:val="00E3115C"/>
    <w:rsid w:val="00E317F0"/>
    <w:rsid w:val="00E33D5F"/>
    <w:rsid w:val="00E34876"/>
    <w:rsid w:val="00E34F33"/>
    <w:rsid w:val="00E35CBB"/>
    <w:rsid w:val="00E35D0F"/>
    <w:rsid w:val="00E35DC5"/>
    <w:rsid w:val="00E40F95"/>
    <w:rsid w:val="00E41CF8"/>
    <w:rsid w:val="00E4269D"/>
    <w:rsid w:val="00E4312B"/>
    <w:rsid w:val="00E44602"/>
    <w:rsid w:val="00E44F9A"/>
    <w:rsid w:val="00E50C0F"/>
    <w:rsid w:val="00E5493D"/>
    <w:rsid w:val="00E57576"/>
    <w:rsid w:val="00E604B3"/>
    <w:rsid w:val="00E60650"/>
    <w:rsid w:val="00E60EDB"/>
    <w:rsid w:val="00E60EE1"/>
    <w:rsid w:val="00E6109E"/>
    <w:rsid w:val="00E64256"/>
    <w:rsid w:val="00E663FC"/>
    <w:rsid w:val="00E708F6"/>
    <w:rsid w:val="00E716B4"/>
    <w:rsid w:val="00E7210E"/>
    <w:rsid w:val="00E73803"/>
    <w:rsid w:val="00E740C1"/>
    <w:rsid w:val="00E74798"/>
    <w:rsid w:val="00E765BF"/>
    <w:rsid w:val="00E7728A"/>
    <w:rsid w:val="00E82A66"/>
    <w:rsid w:val="00E830D8"/>
    <w:rsid w:val="00E86B67"/>
    <w:rsid w:val="00E9022A"/>
    <w:rsid w:val="00E9314D"/>
    <w:rsid w:val="00E95DFC"/>
    <w:rsid w:val="00E96048"/>
    <w:rsid w:val="00E97461"/>
    <w:rsid w:val="00EA0B96"/>
    <w:rsid w:val="00EA0FE0"/>
    <w:rsid w:val="00EA33D5"/>
    <w:rsid w:val="00EA45BD"/>
    <w:rsid w:val="00EA5E02"/>
    <w:rsid w:val="00EA5FD0"/>
    <w:rsid w:val="00EA63B1"/>
    <w:rsid w:val="00EA7822"/>
    <w:rsid w:val="00EB0020"/>
    <w:rsid w:val="00EB068A"/>
    <w:rsid w:val="00EB2152"/>
    <w:rsid w:val="00EB243C"/>
    <w:rsid w:val="00EB3184"/>
    <w:rsid w:val="00EC086E"/>
    <w:rsid w:val="00EC1D06"/>
    <w:rsid w:val="00EC2E6A"/>
    <w:rsid w:val="00EC4593"/>
    <w:rsid w:val="00EC7D3F"/>
    <w:rsid w:val="00ED0468"/>
    <w:rsid w:val="00ED0DD3"/>
    <w:rsid w:val="00ED17C8"/>
    <w:rsid w:val="00ED3AB7"/>
    <w:rsid w:val="00ED648B"/>
    <w:rsid w:val="00EE16DD"/>
    <w:rsid w:val="00EE2AE5"/>
    <w:rsid w:val="00EE31B0"/>
    <w:rsid w:val="00EE356F"/>
    <w:rsid w:val="00EE397E"/>
    <w:rsid w:val="00EE5B68"/>
    <w:rsid w:val="00EE65B1"/>
    <w:rsid w:val="00EF1A62"/>
    <w:rsid w:val="00EF1C55"/>
    <w:rsid w:val="00EF1C95"/>
    <w:rsid w:val="00EF23C0"/>
    <w:rsid w:val="00EF2774"/>
    <w:rsid w:val="00EF2D0D"/>
    <w:rsid w:val="00EF3163"/>
    <w:rsid w:val="00EF4059"/>
    <w:rsid w:val="00EF5586"/>
    <w:rsid w:val="00EF6C88"/>
    <w:rsid w:val="00F00403"/>
    <w:rsid w:val="00F005CE"/>
    <w:rsid w:val="00F01A18"/>
    <w:rsid w:val="00F040DF"/>
    <w:rsid w:val="00F05174"/>
    <w:rsid w:val="00F05832"/>
    <w:rsid w:val="00F067A6"/>
    <w:rsid w:val="00F078B7"/>
    <w:rsid w:val="00F07B77"/>
    <w:rsid w:val="00F100D6"/>
    <w:rsid w:val="00F1278D"/>
    <w:rsid w:val="00F14BFD"/>
    <w:rsid w:val="00F15D39"/>
    <w:rsid w:val="00F17566"/>
    <w:rsid w:val="00F20F84"/>
    <w:rsid w:val="00F238F2"/>
    <w:rsid w:val="00F23B0D"/>
    <w:rsid w:val="00F243EC"/>
    <w:rsid w:val="00F27B49"/>
    <w:rsid w:val="00F332B3"/>
    <w:rsid w:val="00F337D1"/>
    <w:rsid w:val="00F33CAB"/>
    <w:rsid w:val="00F340C9"/>
    <w:rsid w:val="00F3494B"/>
    <w:rsid w:val="00F34D63"/>
    <w:rsid w:val="00F35F7A"/>
    <w:rsid w:val="00F36349"/>
    <w:rsid w:val="00F41C35"/>
    <w:rsid w:val="00F4438C"/>
    <w:rsid w:val="00F46ED7"/>
    <w:rsid w:val="00F4716D"/>
    <w:rsid w:val="00F51D50"/>
    <w:rsid w:val="00F549D7"/>
    <w:rsid w:val="00F551FA"/>
    <w:rsid w:val="00F556DB"/>
    <w:rsid w:val="00F55911"/>
    <w:rsid w:val="00F560D5"/>
    <w:rsid w:val="00F56325"/>
    <w:rsid w:val="00F6045C"/>
    <w:rsid w:val="00F604F3"/>
    <w:rsid w:val="00F63247"/>
    <w:rsid w:val="00F64638"/>
    <w:rsid w:val="00F65331"/>
    <w:rsid w:val="00F6714D"/>
    <w:rsid w:val="00F73D95"/>
    <w:rsid w:val="00F74824"/>
    <w:rsid w:val="00F751A6"/>
    <w:rsid w:val="00F77044"/>
    <w:rsid w:val="00F8015E"/>
    <w:rsid w:val="00F83598"/>
    <w:rsid w:val="00F84399"/>
    <w:rsid w:val="00F852A1"/>
    <w:rsid w:val="00F85766"/>
    <w:rsid w:val="00F859F4"/>
    <w:rsid w:val="00F866FA"/>
    <w:rsid w:val="00F90167"/>
    <w:rsid w:val="00F90D88"/>
    <w:rsid w:val="00F91869"/>
    <w:rsid w:val="00F91CCA"/>
    <w:rsid w:val="00F9206E"/>
    <w:rsid w:val="00F931D3"/>
    <w:rsid w:val="00F93D70"/>
    <w:rsid w:val="00F95769"/>
    <w:rsid w:val="00F96BA0"/>
    <w:rsid w:val="00FA289A"/>
    <w:rsid w:val="00FA3C5E"/>
    <w:rsid w:val="00FA4197"/>
    <w:rsid w:val="00FA6545"/>
    <w:rsid w:val="00FB0609"/>
    <w:rsid w:val="00FB17A0"/>
    <w:rsid w:val="00FB375B"/>
    <w:rsid w:val="00FB6425"/>
    <w:rsid w:val="00FB722E"/>
    <w:rsid w:val="00FC3AF2"/>
    <w:rsid w:val="00FC519C"/>
    <w:rsid w:val="00FC56B4"/>
    <w:rsid w:val="00FC615C"/>
    <w:rsid w:val="00FC7F5D"/>
    <w:rsid w:val="00FD1BC7"/>
    <w:rsid w:val="00FD1D84"/>
    <w:rsid w:val="00FD1F7D"/>
    <w:rsid w:val="00FD4CB9"/>
    <w:rsid w:val="00FD4E9C"/>
    <w:rsid w:val="00FD50A4"/>
    <w:rsid w:val="00FD69C6"/>
    <w:rsid w:val="00FD744A"/>
    <w:rsid w:val="00FE3AAB"/>
    <w:rsid w:val="00FE4538"/>
    <w:rsid w:val="00FE58D5"/>
    <w:rsid w:val="00FE5CA3"/>
    <w:rsid w:val="00FF08C3"/>
    <w:rsid w:val="00FF1E5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3992E8"/>
  <w15:docId w15:val="{D173A0CD-6A74-43A8-A09B-84CB6CA9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7148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uiPriority w:val="99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uiPriority w:val="99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99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character" w:styleId="CommentReference">
    <w:name w:val="annotation reference"/>
    <w:basedOn w:val="DefaultParagraphFont"/>
    <w:semiHidden/>
    <w:unhideWhenUsed/>
    <w:locked/>
    <w:rsid w:val="00C37F2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C37F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7F28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41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4171EC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yandquality.gov.au/publications-and-resources/resource-library/recommendations-safe-use-medicines-terminology" TargetMode="External"/><Relationship Id="rId18" Type="http://schemas.openxmlformats.org/officeDocument/2006/relationships/hyperlink" Target="https://amhonline.amh.net.au/" TargetMode="External"/><Relationship Id="rId26" Type="http://schemas.openxmlformats.org/officeDocument/2006/relationships/hyperlink" Target="https://www.sahealth.sa.gov.au/wps/wcm/connect/public+content/sa+health+internet/public+health/alerts/medication+alerts/medication+alerts?mr-sort=date-desc&amp;mr-pghttps://www.sahealth.sa.gov.au/wps/wcm/connect/public+content/sa+health+internet/public+health/alerts/medication+alerts/medication+alerts?mr-sort=date-desc&amp;mr-pg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bs.tga.gov.au/ebs/picmi/picmirepository.nsf/pdf?OpenAgent=&amp;id=CP-2022-CMI-01126-1&amp;d=2025041117231010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dpha.au/publications-resources/drtc" TargetMode="External"/><Relationship Id="rId17" Type="http://schemas.openxmlformats.org/officeDocument/2006/relationships/hyperlink" Target="https://adpha.au/publications-resources/drtc" TargetMode="External"/><Relationship Id="rId25" Type="http://schemas.openxmlformats.org/officeDocument/2006/relationships/hyperlink" Target="https://www.safetyandquality.gov.au/our-work/medication-safety/safer-naming-and-labelling-medicines/recommendations-safe-use-medicines-terminology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tyandquality.gov.au/publications-and-resources/resource-library/principles-safe-selection-and-storage-medicines-guidance-principles-and-survey-tool" TargetMode="External"/><Relationship Id="rId20" Type="http://schemas.openxmlformats.org/officeDocument/2006/relationships/hyperlink" Target="https://www.ebs.tga.gov.au/ebs/picmi/picmirepository.nsf/pdf?OpenAgent=&amp;id=CP-2022-PI-02199-1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F2025L00599/asmade/text" TargetMode="External"/><Relationship Id="rId24" Type="http://schemas.openxmlformats.org/officeDocument/2006/relationships/hyperlink" Target="https://www.safetyandquality.gov.au/publications-and-resources/resource-library/national-standard-labelling-dispensed-medicines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bs.tga.gov.au/ebs/picmi/picmirepository.nsf/pdf?OpenAgent=&amp;id=CP-2022-CMI-01126-1&amp;d=20250411172310101" TargetMode="External"/><Relationship Id="rId23" Type="http://schemas.openxmlformats.org/officeDocument/2006/relationships/hyperlink" Target="https://www.pharmacyboard.gov.au/codes-guidelines.aspx" TargetMode="External"/><Relationship Id="rId28" Type="http://schemas.openxmlformats.org/officeDocument/2006/relationships/hyperlink" Target="http://www.safetyandquality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sa.org.au/media-publications/australian-pharmaceutical-formulary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fetyandquality.gov.au/publications-and-resources/resource-library/national-standard-labelling-dispensed-medicines" TargetMode="External"/><Relationship Id="rId22" Type="http://schemas.openxmlformats.org/officeDocument/2006/relationships/hyperlink" Target="https://adpha.au/publications-resources/drtc" TargetMode="External"/><Relationship Id="rId27" Type="http://schemas.openxmlformats.org/officeDocument/2006/relationships/hyperlink" Target="mailto:medsafety@safetyandquality.gov.au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ROS\AppData\Roaming\Micro%20focus\content%20manager\TRIM\TEMP\HPTRIM.10808\D23-15565%20%20TEMPLATE%20-%20Accessible%20Word%20-%20Fact%20sheet%20for%20Clinicians%20-%20%2021%20July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3B897-E861-4405-A971-35A477652985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4.xml><?xml version="1.0" encoding="utf-8"?>
<ds:datastoreItem xmlns:ds="http://schemas.openxmlformats.org/officeDocument/2006/customXml" ds:itemID="{1DFAF330-0091-496F-808B-BDE4716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D23-15565  TEMPLATE - Accessible Word - Fact sheet for Clinicians -  21 July 2023.DOTX</Template>
  <TotalTime>6</TotalTime>
  <Pages>4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10349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JUN, Rosa</dc:creator>
  <cp:keywords/>
  <dc:description/>
  <cp:lastModifiedBy>QASSIM, Alaa</cp:lastModifiedBy>
  <cp:revision>4</cp:revision>
  <cp:lastPrinted>2020-03-04T03:32:00Z</cp:lastPrinted>
  <dcterms:created xsi:type="dcterms:W3CDTF">2025-06-25T02:33:00Z</dcterms:created>
  <dcterms:modified xsi:type="dcterms:W3CDTF">2025-06-25T04:33:00Z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