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D8BA" w14:textId="77777777" w:rsidR="004F688C" w:rsidRDefault="002E003F" w:rsidP="004F688C">
      <w:pPr>
        <w:pStyle w:val="FactSheetType"/>
        <w:spacing w:after="0"/>
      </w:pPr>
      <w:r w:rsidRPr="0056304B">
        <w:rPr>
          <w:b/>
          <w:bCs w:val="0"/>
        </w:rPr>
        <w:t>I</w:t>
      </w:r>
      <w:r w:rsidR="00EF6C48">
        <w:rPr>
          <w:b/>
          <w:bCs w:val="0"/>
        </w:rPr>
        <w:t>NFORMATION</w:t>
      </w:r>
      <w:r w:rsidRPr="0056304B">
        <w:br/>
      </w:r>
      <w:r w:rsidR="00842146">
        <w:t>for</w:t>
      </w:r>
      <w:r w:rsidR="00EF6C48">
        <w:t xml:space="preserve"> CMO mental</w:t>
      </w:r>
      <w:r w:rsidR="00842146">
        <w:t xml:space="preserve"> </w:t>
      </w:r>
      <w:r w:rsidR="00321AD9">
        <w:t xml:space="preserve">health </w:t>
      </w:r>
    </w:p>
    <w:p w14:paraId="439734DA" w14:textId="5C6A01A4" w:rsidR="002E003F" w:rsidRPr="00204C47" w:rsidRDefault="00EF6C48" w:rsidP="004F688C">
      <w:pPr>
        <w:pStyle w:val="FactSheetType"/>
      </w:pPr>
      <w:r>
        <w:t>service providers</w:t>
      </w:r>
    </w:p>
    <w:p w14:paraId="0889A03A" w14:textId="7D810070" w:rsidR="00707D22" w:rsidRPr="00EF6C48" w:rsidRDefault="00EF6C48" w:rsidP="00EF6C48">
      <w:pPr>
        <w:pStyle w:val="Title"/>
      </w:pPr>
      <w:r>
        <w:t>Using a risk management approach</w:t>
      </w:r>
    </w:p>
    <w:p w14:paraId="45287723" w14:textId="3283416C" w:rsidR="00EF6C48" w:rsidRDefault="00EF6C48" w:rsidP="00EF6C48">
      <w:r>
        <w:t xml:space="preserve">The National Safety and Quality Mental Health Standards for Community Managed Organisations (NSQMHCMO Standards) aim to improve the quality of community managed mental health service provision, and to protect consumers, their </w:t>
      </w:r>
      <w:r w:rsidR="00D9558F">
        <w:t>families and carers</w:t>
      </w:r>
      <w:r>
        <w:t xml:space="preserve"> from harm. </w:t>
      </w:r>
    </w:p>
    <w:p w14:paraId="3C6F4C96" w14:textId="35483C3C" w:rsidR="00EF6C48" w:rsidRDefault="00EF6C48" w:rsidP="00EF6C48">
      <w:r>
        <w:t xml:space="preserve">The three NSQMHCMO Standards include 82 actions related to </w:t>
      </w:r>
      <w:r w:rsidR="00D9558F">
        <w:t>P</w:t>
      </w:r>
      <w:r>
        <w:t xml:space="preserve">ractice </w:t>
      </w:r>
      <w:r w:rsidR="00D9558F">
        <w:t>G</w:t>
      </w:r>
      <w:r>
        <w:t>overnance</w:t>
      </w:r>
      <w:r w:rsidR="00D9558F">
        <w:t>, Partnering with Consumers, Families and Care</w:t>
      </w:r>
      <w:r w:rsidR="007254B2">
        <w:t>r</w:t>
      </w:r>
      <w:r w:rsidR="00D9558F">
        <w:t>s</w:t>
      </w:r>
      <w:r>
        <w:t xml:space="preserve"> and </w:t>
      </w:r>
      <w:r w:rsidR="00D9558F">
        <w:t>Models of Care</w:t>
      </w:r>
      <w:r>
        <w:t>. They describe the level of care and the safeguards that a community managed organisation should provide.</w:t>
      </w:r>
    </w:p>
    <w:p w14:paraId="4E743E44" w14:textId="40D1761A" w:rsidR="00E209BF" w:rsidRDefault="00EF6C48" w:rsidP="00EF6C48">
      <w:r>
        <w:t xml:space="preserve">Service providers using the NSQMHCMO Standards should have systems and processes in place to reduce the risk of harm and increase confidence and assurance in the quality of their mental health services. </w:t>
      </w:r>
    </w:p>
    <w:p w14:paraId="03461450" w14:textId="5CE43FBD" w:rsidR="00EF6C48" w:rsidRPr="00707D22" w:rsidRDefault="00EF6C48" w:rsidP="00EF6C48">
      <w:pPr>
        <w:pStyle w:val="Heading2"/>
        <w:rPr>
          <w:bCs/>
          <w:lang w:val="en-GB"/>
        </w:rPr>
      </w:pPr>
      <w:r>
        <w:rPr>
          <w:bCs/>
          <w:lang w:val="en-GB"/>
        </w:rPr>
        <w:t>Why a risk management approach?</w:t>
      </w:r>
    </w:p>
    <w:p w14:paraId="77EF4D2D" w14:textId="3EACA3E1" w:rsidR="00EF6C48" w:rsidRDefault="00EF6C48" w:rsidP="00EF6C48">
      <w:r>
        <w:t xml:space="preserve">Service providers using a risk management approach will assess the risks associated with each action in the NSQMHCMO Standards. The risk assessment findings will help you to prioritise and mitigate risks identified </w:t>
      </w:r>
      <w:r w:rsidR="00D9558F">
        <w:t xml:space="preserve">as you </w:t>
      </w:r>
      <w:r>
        <w:t>implement the standards.</w:t>
      </w:r>
    </w:p>
    <w:p w14:paraId="7328E780" w14:textId="3270B42E" w:rsidR="00EF6C48" w:rsidRDefault="00EF6C48" w:rsidP="00EF6C48">
      <w:r>
        <w:t>Not all actions within each standard will apply to your organisation and the mental health services you offer. The nature, size and complexity of your mental health services and the risk to consumers, their families and carers, will decide which actions apply and the strategies needed to implement them. The models of care that mental health services are using may also inform whether an action is relevant. For example, if your service only provides day services, actions about residential services will not be applicable.</w:t>
      </w:r>
    </w:p>
    <w:p w14:paraId="76E4D9FE" w14:textId="77777777" w:rsidR="00EF6C48" w:rsidRDefault="00EF6C48" w:rsidP="00EF6C48"/>
    <w:tbl>
      <w:tblPr>
        <w:tblStyle w:val="PulloutBox"/>
        <w:tblW w:w="5000" w:type="pct"/>
        <w:tblLook w:val="0020" w:firstRow="1" w:lastRow="0" w:firstColumn="0" w:lastColumn="0" w:noHBand="0" w:noVBand="0"/>
        <w:tblDescription w:val="Box 1"/>
      </w:tblPr>
      <w:tblGrid>
        <w:gridCol w:w="9638"/>
      </w:tblGrid>
      <w:tr w:rsidR="00EF6C48" w14:paraId="7554E3DB" w14:textId="77777777" w:rsidTr="00B73298">
        <w:trPr>
          <w:trHeight w:val="60"/>
        </w:trPr>
        <w:tc>
          <w:tcPr>
            <w:tcW w:w="5000" w:type="pct"/>
            <w:tcMar>
              <w:bottom w:w="0" w:type="dxa"/>
            </w:tcMar>
          </w:tcPr>
          <w:p w14:paraId="366FAD37" w14:textId="4B57E999" w:rsidR="00EF6C48" w:rsidRDefault="00EF6C48" w:rsidP="00B73298">
            <w:pPr>
              <w:pStyle w:val="PulloutBoxHeading"/>
            </w:pPr>
            <w:r>
              <w:t xml:space="preserve">Who </w:t>
            </w:r>
            <w:r w:rsidR="00457BDB">
              <w:t>may</w:t>
            </w:r>
            <w:r>
              <w:t xml:space="preserve"> </w:t>
            </w:r>
            <w:r w:rsidR="00457BDB">
              <w:t xml:space="preserve">be </w:t>
            </w:r>
            <w:r>
              <w:t>at risk?</w:t>
            </w:r>
          </w:p>
        </w:tc>
      </w:tr>
      <w:tr w:rsidR="00EF6C48" w14:paraId="3E664733" w14:textId="77777777" w:rsidTr="00B73298">
        <w:trPr>
          <w:trHeight w:val="60"/>
        </w:trPr>
        <w:tc>
          <w:tcPr>
            <w:tcW w:w="5000" w:type="pct"/>
            <w:tcMar>
              <w:top w:w="0" w:type="dxa"/>
            </w:tcMar>
          </w:tcPr>
          <w:p w14:paraId="54B63055" w14:textId="77777777" w:rsidR="00EF6C48" w:rsidRPr="009F17F5" w:rsidRDefault="00EF6C48" w:rsidP="00B73298">
            <w:r w:rsidRPr="009F17F5">
              <w:rPr>
                <w:b/>
                <w:bCs/>
              </w:rPr>
              <w:t>Some consumers and support people</w:t>
            </w:r>
            <w:r w:rsidRPr="009F17F5">
              <w:t xml:space="preserve"> may be more at risk than other people. For example, children and young people, older people, people from diverse population groups, including Aboriginal and Torres Strait Islander peoples, and people at risk of homelessness.</w:t>
            </w:r>
          </w:p>
          <w:p w14:paraId="6C691CBF" w14:textId="77777777" w:rsidR="00EF6C48" w:rsidRPr="009F17F5" w:rsidRDefault="00EF6C48" w:rsidP="00B73298">
            <w:r w:rsidRPr="009F17F5">
              <w:rPr>
                <w:b/>
                <w:bCs/>
              </w:rPr>
              <w:t>The service provider workforce</w:t>
            </w:r>
            <w:r w:rsidRPr="009F17F5">
              <w:t xml:space="preserve"> may be exposed to risk. For example, peer workers and others who provide or support the delivery of mental health services.</w:t>
            </w:r>
          </w:p>
          <w:p w14:paraId="1780AC7F" w14:textId="77777777" w:rsidR="00EF6C48" w:rsidRDefault="00EF6C48" w:rsidP="00B73298">
            <w:pPr>
              <w:spacing w:after="0"/>
            </w:pPr>
            <w:r w:rsidRPr="00EF6C48">
              <w:rPr>
                <w:b/>
                <w:bCs/>
                <w:lang w:eastAsia="en-GB"/>
              </w:rPr>
              <w:t>Service providers</w:t>
            </w:r>
            <w:r w:rsidRPr="009F17F5">
              <w:rPr>
                <w:lang w:eastAsia="en-GB"/>
              </w:rPr>
              <w:t xml:space="preserve"> may have corporate, or practice risk associated with their services. Such risk may be related to the design of the mental health service and how it is delivered</w:t>
            </w:r>
            <w:r w:rsidRPr="009F17F5">
              <w:t>.</w:t>
            </w:r>
          </w:p>
        </w:tc>
      </w:tr>
    </w:tbl>
    <w:p w14:paraId="440C60CB" w14:textId="5AA4F2D5" w:rsidR="00EF6C48" w:rsidRPr="00707D22" w:rsidRDefault="00EF6C48" w:rsidP="00EF6C48">
      <w:pPr>
        <w:pStyle w:val="Heading2"/>
        <w:rPr>
          <w:bCs/>
          <w:lang w:val="en-GB"/>
        </w:rPr>
      </w:pPr>
      <w:r>
        <w:rPr>
          <w:bCs/>
          <w:lang w:val="en-GB"/>
        </w:rPr>
        <w:lastRenderedPageBreak/>
        <w:t>Risk management process</w:t>
      </w:r>
    </w:p>
    <w:p w14:paraId="283A7BC4" w14:textId="0017BFD1" w:rsidR="00EF6C48" w:rsidRDefault="00EF6C48" w:rsidP="00EF6C48">
      <w:r>
        <w:t xml:space="preserve">The first step in the risk management process is to consider each action in the NSQMHCMO Standards and decide whether it is applicable to the type of mental health services </w:t>
      </w:r>
      <w:r w:rsidR="00D9558F">
        <w:t xml:space="preserve">you </w:t>
      </w:r>
      <w:r>
        <w:t xml:space="preserve">offer. When an action is determined as not consistent with the type of services offered, it should be recorded as </w:t>
      </w:r>
      <w:hyperlink r:id="rId10" w:history="1">
        <w:r w:rsidRPr="00ED4ED1">
          <w:rPr>
            <w:rStyle w:val="Hyperlink"/>
          </w:rPr>
          <w:t>‘not applicable’</w:t>
        </w:r>
      </w:hyperlink>
      <w:r>
        <w:t>, along with the rationale for the decision. The</w:t>
      </w:r>
      <w:r w:rsidR="00BC257A">
        <w:t xml:space="preserve"> </w:t>
      </w:r>
      <w:hyperlink r:id="rId11" w:history="1">
        <w:r w:rsidR="00BC257A" w:rsidRPr="00BC257A">
          <w:rPr>
            <w:rStyle w:val="Hyperlink"/>
          </w:rPr>
          <w:t>self-assessment tool</w:t>
        </w:r>
      </w:hyperlink>
      <w:r>
        <w:t xml:space="preserve"> is a good place to record these decisions.</w:t>
      </w:r>
    </w:p>
    <w:p w14:paraId="66AACBA4" w14:textId="77777777" w:rsidR="00EF6C48" w:rsidRDefault="00EF6C48" w:rsidP="00EF6C48">
      <w:r>
        <w:t xml:space="preserve">For actions that apply to your organisation, you should conduct a risk assessment of the relevant systems and processes you have in place for your mental health services. </w:t>
      </w:r>
    </w:p>
    <w:p w14:paraId="415350AF" w14:textId="77777777" w:rsidR="00EF6C48" w:rsidRDefault="00EF6C48" w:rsidP="00EF6C48">
      <w:r>
        <w:t>In practice, this means that you should assess the risk associated with each action and what you need to do to manage or mitigate that risk. Risk assessment considers the:</w:t>
      </w:r>
    </w:p>
    <w:p w14:paraId="3BA12A03" w14:textId="77777777" w:rsidR="00EF6C48" w:rsidRDefault="00EF6C48" w:rsidP="004F688C">
      <w:pPr>
        <w:pStyle w:val="ListParagraph"/>
        <w:numPr>
          <w:ilvl w:val="0"/>
          <w:numId w:val="36"/>
        </w:numPr>
      </w:pPr>
      <w:r>
        <w:t>Size and complexity of an organisation</w:t>
      </w:r>
    </w:p>
    <w:p w14:paraId="2FDC8789" w14:textId="77777777" w:rsidR="00EF6C48" w:rsidRDefault="00EF6C48" w:rsidP="00EF6C48">
      <w:pPr>
        <w:pStyle w:val="ListParagraph"/>
        <w:numPr>
          <w:ilvl w:val="0"/>
          <w:numId w:val="31"/>
        </w:numPr>
      </w:pPr>
      <w:r>
        <w:t>Types of mental health services offered</w:t>
      </w:r>
    </w:p>
    <w:p w14:paraId="73F953D3" w14:textId="2DE7C77B" w:rsidR="00EF6C48" w:rsidRDefault="00EF6C48" w:rsidP="00EF6C48">
      <w:pPr>
        <w:pStyle w:val="ListParagraph"/>
        <w:numPr>
          <w:ilvl w:val="0"/>
          <w:numId w:val="31"/>
        </w:numPr>
      </w:pPr>
      <w:r>
        <w:t>Levels of risk associated with the services.</w:t>
      </w:r>
    </w:p>
    <w:p w14:paraId="3F11CDA6" w14:textId="77777777" w:rsidR="00EF6C48" w:rsidRDefault="00EF6C48" w:rsidP="00EF6C48">
      <w:r>
        <w:t>For example, a service provider may be an organisation with multiple services and a large workforce, or a sole trader with a single service. The level of risk and the required mitigation strategies will be different for each provider.</w:t>
      </w:r>
    </w:p>
    <w:p w14:paraId="290B26DB" w14:textId="77777777" w:rsidR="00EF6C48" w:rsidRDefault="00EF6C48" w:rsidP="00EF6C48">
      <w:r>
        <w:t>In addition to determining the tasks required to ensure that an action is met, you can use the level of assessed risk to set a priority for each task. The tasks and the priority ratings can then be included in an action plan.</w:t>
      </w:r>
    </w:p>
    <w:p w14:paraId="3AA8C8E0" w14:textId="1DDCC3ED" w:rsidR="00EF6C48" w:rsidRPr="00707D22" w:rsidRDefault="00EF6C48" w:rsidP="00EF6C48">
      <w:pPr>
        <w:pStyle w:val="Heading2"/>
        <w:rPr>
          <w:bCs/>
          <w:lang w:val="en-GB"/>
        </w:rPr>
      </w:pPr>
      <w:r>
        <w:rPr>
          <w:bCs/>
          <w:lang w:val="en-GB"/>
        </w:rPr>
        <w:t>How to determine risk</w:t>
      </w:r>
    </w:p>
    <w:p w14:paraId="0E28CF28" w14:textId="77777777" w:rsidR="00EF6C48" w:rsidRDefault="00EF6C48" w:rsidP="00EF6C48">
      <w:r>
        <w:t>To help assess risk, consider the five basic principles of risk management, which are to:</w:t>
      </w:r>
    </w:p>
    <w:p w14:paraId="4E749CDB" w14:textId="2F3B9626" w:rsidR="00EF6C48" w:rsidRDefault="00EF6C48" w:rsidP="00EF6C48">
      <w:pPr>
        <w:pStyle w:val="ListParagraph"/>
        <w:numPr>
          <w:ilvl w:val="0"/>
          <w:numId w:val="32"/>
        </w:numPr>
      </w:pPr>
      <w:r w:rsidRPr="00EF6C48">
        <w:rPr>
          <w:b/>
          <w:bCs/>
        </w:rPr>
        <w:t>Avoid risk.</w:t>
      </w:r>
      <w:r>
        <w:t xml:space="preserve"> Identify strategies that avoid the risk whenever possible; a risk that cannot be eliminated must be managed</w:t>
      </w:r>
      <w:r w:rsidR="007254B2">
        <w:t>.</w:t>
      </w:r>
    </w:p>
    <w:p w14:paraId="31788476" w14:textId="1BFC0D2B" w:rsidR="00EF6C48" w:rsidRDefault="00EF6C48" w:rsidP="00EF6C48">
      <w:pPr>
        <w:pStyle w:val="ListParagraph"/>
        <w:numPr>
          <w:ilvl w:val="0"/>
          <w:numId w:val="32"/>
        </w:numPr>
      </w:pPr>
      <w:r w:rsidRPr="00EF6C48">
        <w:rPr>
          <w:b/>
          <w:bCs/>
        </w:rPr>
        <w:t>Identify risk.</w:t>
      </w:r>
      <w:r>
        <w:t xml:space="preserve"> Assess the risk, identify the nature of the risk and who is involved</w:t>
      </w:r>
      <w:r w:rsidR="007254B2">
        <w:t>.</w:t>
      </w:r>
    </w:p>
    <w:p w14:paraId="0412D602" w14:textId="2F91EA89" w:rsidR="00EF6C48" w:rsidRDefault="00EF6C48" w:rsidP="00EF6C48">
      <w:pPr>
        <w:pStyle w:val="ListParagraph"/>
        <w:numPr>
          <w:ilvl w:val="0"/>
          <w:numId w:val="32"/>
        </w:numPr>
      </w:pPr>
      <w:r w:rsidRPr="00EF6C48">
        <w:rPr>
          <w:b/>
          <w:bCs/>
        </w:rPr>
        <w:t>Analyse risk.</w:t>
      </w:r>
      <w:r>
        <w:t xml:space="preserve"> Examine the risk, how likely it is to happen, and what the consequences are if it happens</w:t>
      </w:r>
      <w:r w:rsidR="007254B2">
        <w:t>.</w:t>
      </w:r>
    </w:p>
    <w:p w14:paraId="31E504AB" w14:textId="0BDF614A" w:rsidR="00EF6C48" w:rsidRDefault="0033438A" w:rsidP="00EF6C48">
      <w:pPr>
        <w:pStyle w:val="ListParagraph"/>
        <w:numPr>
          <w:ilvl w:val="0"/>
          <w:numId w:val="32"/>
        </w:numPr>
      </w:pPr>
      <w:r>
        <w:rPr>
          <w:b/>
          <w:bCs/>
        </w:rPr>
        <w:t>Evaluate</w:t>
      </w:r>
      <w:r w:rsidRPr="00EF6C48">
        <w:rPr>
          <w:b/>
          <w:bCs/>
        </w:rPr>
        <w:t xml:space="preserve"> </w:t>
      </w:r>
      <w:r w:rsidR="00EF6C48" w:rsidRPr="00EF6C48">
        <w:rPr>
          <w:b/>
          <w:bCs/>
        </w:rPr>
        <w:t>risk</w:t>
      </w:r>
      <w:r w:rsidR="00EF6C48">
        <w:t>. Determine how the risk can be reduced or eliminated, and document the processes, responses and outcomes</w:t>
      </w:r>
      <w:r w:rsidR="007254B2">
        <w:t>.</w:t>
      </w:r>
    </w:p>
    <w:p w14:paraId="5E81E376" w14:textId="060611C9" w:rsidR="00EF6C48" w:rsidRDefault="00EF6C48" w:rsidP="00EF6C48">
      <w:pPr>
        <w:pStyle w:val="ListParagraph"/>
        <w:numPr>
          <w:ilvl w:val="0"/>
          <w:numId w:val="32"/>
        </w:numPr>
      </w:pPr>
      <w:r w:rsidRPr="00EF6C48">
        <w:rPr>
          <w:b/>
          <w:bCs/>
        </w:rPr>
        <w:t>Treat risks.</w:t>
      </w:r>
      <w:r>
        <w:t xml:space="preserve"> Manage the risk by determining who is responsible for taking actions, and when and how this will be monitored. </w:t>
      </w:r>
    </w:p>
    <w:p w14:paraId="38000687" w14:textId="77777777" w:rsidR="00EF6C48" w:rsidRDefault="00EF6C48" w:rsidP="00EF6C48">
      <w:r>
        <w:t>To consider these principles more closely, ask the following questions:</w:t>
      </w:r>
    </w:p>
    <w:p w14:paraId="79A591E2" w14:textId="77777777" w:rsidR="004F688C" w:rsidRDefault="00EF6C48" w:rsidP="004F688C">
      <w:pPr>
        <w:pStyle w:val="ListParagraph"/>
        <w:numPr>
          <w:ilvl w:val="0"/>
          <w:numId w:val="36"/>
        </w:numPr>
      </w:pPr>
      <w:r>
        <w:t>Who is at risk?</w:t>
      </w:r>
    </w:p>
    <w:p w14:paraId="75D0F761" w14:textId="77777777" w:rsidR="004F688C" w:rsidRDefault="00EF6C48" w:rsidP="004F688C">
      <w:pPr>
        <w:pStyle w:val="ListParagraph"/>
        <w:numPr>
          <w:ilvl w:val="0"/>
          <w:numId w:val="36"/>
        </w:numPr>
      </w:pPr>
      <w:r>
        <w:t>What is involved?</w:t>
      </w:r>
    </w:p>
    <w:p w14:paraId="47895CA1" w14:textId="77777777" w:rsidR="004F688C" w:rsidRDefault="00EF6C48" w:rsidP="004F688C">
      <w:pPr>
        <w:pStyle w:val="ListParagraph"/>
        <w:numPr>
          <w:ilvl w:val="0"/>
          <w:numId w:val="36"/>
        </w:numPr>
      </w:pPr>
      <w:r>
        <w:t>What factors allow it to happen?</w:t>
      </w:r>
    </w:p>
    <w:p w14:paraId="777BB9E7" w14:textId="77777777" w:rsidR="004F688C" w:rsidRDefault="00EF6C48" w:rsidP="004F688C">
      <w:pPr>
        <w:pStyle w:val="ListParagraph"/>
        <w:numPr>
          <w:ilvl w:val="0"/>
          <w:numId w:val="36"/>
        </w:numPr>
      </w:pPr>
      <w:r>
        <w:t>How likely is it?</w:t>
      </w:r>
    </w:p>
    <w:p w14:paraId="2C1897C6" w14:textId="77777777" w:rsidR="004F688C" w:rsidRDefault="00EF6C48" w:rsidP="004F688C">
      <w:pPr>
        <w:pStyle w:val="ListParagraph"/>
        <w:numPr>
          <w:ilvl w:val="0"/>
          <w:numId w:val="36"/>
        </w:numPr>
      </w:pPr>
      <w:r>
        <w:t>What are the consequences?</w:t>
      </w:r>
    </w:p>
    <w:p w14:paraId="268EC9BC" w14:textId="77777777" w:rsidR="004F688C" w:rsidRDefault="00EF6C48" w:rsidP="004F688C">
      <w:pPr>
        <w:pStyle w:val="ListParagraph"/>
        <w:numPr>
          <w:ilvl w:val="0"/>
          <w:numId w:val="36"/>
        </w:numPr>
      </w:pPr>
      <w:r>
        <w:t>What can be done?</w:t>
      </w:r>
    </w:p>
    <w:p w14:paraId="736311A4" w14:textId="2233569F" w:rsidR="00EF6C48" w:rsidRDefault="00EF6C48" w:rsidP="004F688C">
      <w:pPr>
        <w:pStyle w:val="ListParagraph"/>
        <w:numPr>
          <w:ilvl w:val="0"/>
          <w:numId w:val="36"/>
        </w:numPr>
      </w:pPr>
      <w:r>
        <w:t>Is there a solution for each identified situation or risk?</w:t>
      </w:r>
    </w:p>
    <w:p w14:paraId="3313BE14" w14:textId="5EEC35AA" w:rsidR="004F688C" w:rsidRDefault="004F688C" w:rsidP="004F688C">
      <w:pPr>
        <w:pStyle w:val="Heading2"/>
        <w:rPr>
          <w:bCs/>
          <w:lang w:val="en-GB"/>
        </w:rPr>
      </w:pPr>
      <w:r>
        <w:rPr>
          <w:bCs/>
          <w:lang w:val="en-GB"/>
        </w:rPr>
        <w:lastRenderedPageBreak/>
        <w:t>Likelihood and possible consequences of the risk?</w:t>
      </w:r>
    </w:p>
    <w:p w14:paraId="502A5F49" w14:textId="77777777" w:rsidR="004F688C" w:rsidRDefault="004F688C" w:rsidP="004F688C">
      <w:r>
        <w:t>The risk assessment requires you to assess the likelihood of the risk occurring and the potential consequences. Data sources that may help you understand how likely a risk is to occur include:</w:t>
      </w:r>
    </w:p>
    <w:p w14:paraId="0496475E" w14:textId="77777777" w:rsidR="004F688C" w:rsidRDefault="004F688C" w:rsidP="004F688C">
      <w:pPr>
        <w:pStyle w:val="ListParagraph"/>
        <w:numPr>
          <w:ilvl w:val="0"/>
          <w:numId w:val="38"/>
        </w:numPr>
      </w:pPr>
      <w:r>
        <w:t>Monitoring audit results</w:t>
      </w:r>
    </w:p>
    <w:p w14:paraId="143C9E71" w14:textId="77777777" w:rsidR="004F688C" w:rsidRDefault="004F688C" w:rsidP="004F688C">
      <w:pPr>
        <w:pStyle w:val="ListParagraph"/>
        <w:numPr>
          <w:ilvl w:val="0"/>
          <w:numId w:val="38"/>
        </w:numPr>
      </w:pPr>
      <w:r>
        <w:t>Surveillance data</w:t>
      </w:r>
    </w:p>
    <w:p w14:paraId="74971EDA" w14:textId="77777777" w:rsidR="004F688C" w:rsidRDefault="004F688C" w:rsidP="004F688C">
      <w:pPr>
        <w:pStyle w:val="ListParagraph"/>
        <w:numPr>
          <w:ilvl w:val="0"/>
          <w:numId w:val="38"/>
        </w:numPr>
      </w:pPr>
      <w:r>
        <w:t>Complaints</w:t>
      </w:r>
    </w:p>
    <w:p w14:paraId="64878E2C" w14:textId="77777777" w:rsidR="004F688C" w:rsidRDefault="004F688C" w:rsidP="004F688C">
      <w:pPr>
        <w:pStyle w:val="ListParagraph"/>
        <w:numPr>
          <w:ilvl w:val="0"/>
          <w:numId w:val="38"/>
        </w:numPr>
      </w:pPr>
      <w:r>
        <w:t>Observations</w:t>
      </w:r>
    </w:p>
    <w:p w14:paraId="3F662D4A" w14:textId="77777777" w:rsidR="004F688C" w:rsidRDefault="004F688C" w:rsidP="004F688C">
      <w:pPr>
        <w:pStyle w:val="ListParagraph"/>
        <w:numPr>
          <w:ilvl w:val="0"/>
          <w:numId w:val="38"/>
        </w:numPr>
      </w:pPr>
      <w:r>
        <w:t>Literature</w:t>
      </w:r>
    </w:p>
    <w:p w14:paraId="4DE43AA9" w14:textId="77777777" w:rsidR="004F688C" w:rsidRPr="00123C14" w:rsidRDefault="004F688C" w:rsidP="004F688C">
      <w:pPr>
        <w:pStyle w:val="ListParagraph"/>
        <w:numPr>
          <w:ilvl w:val="0"/>
          <w:numId w:val="38"/>
        </w:numPr>
      </w:pPr>
      <w:r>
        <w:t>Benchmarking.</w:t>
      </w:r>
    </w:p>
    <w:p w14:paraId="704F60C4" w14:textId="451C2808" w:rsidR="00E209BF" w:rsidRDefault="004F688C" w:rsidP="00002668">
      <w:pPr>
        <w:pStyle w:val="Heading2"/>
      </w:pPr>
      <w:r>
        <w:t>Further information</w:t>
      </w:r>
    </w:p>
    <w:p w14:paraId="6824F24C" w14:textId="77777777" w:rsidR="00CF7567" w:rsidRPr="00FB6E00" w:rsidRDefault="00CF7567" w:rsidP="00CF7567">
      <w:r w:rsidRPr="00FB6E00">
        <w:t xml:space="preserve">Further information on the NSQMHCMO Standards and accreditation can be found at: </w:t>
      </w:r>
      <w:r w:rsidRPr="00FB6E00">
        <w:br/>
      </w:r>
      <w:hyperlink r:id="rId12" w:history="1">
        <w:r w:rsidRPr="00F62F7A">
          <w:rPr>
            <w:rStyle w:val="Hyperlink"/>
          </w:rPr>
          <w:t>www.safetyandquality.gov.au/mh-cmos</w:t>
        </w:r>
      </w:hyperlink>
      <w:r>
        <w:t xml:space="preserve"> </w:t>
      </w:r>
    </w:p>
    <w:p w14:paraId="6C703A54" w14:textId="77777777" w:rsidR="00CF7567" w:rsidRPr="00FB6E00" w:rsidRDefault="00CF7567" w:rsidP="00CF7567">
      <w:pPr>
        <w:rPr>
          <w:rStyle w:val="Hyperlink"/>
        </w:rPr>
      </w:pPr>
      <w:r w:rsidRPr="00403AA1">
        <w:t xml:space="preserve">Email: </w:t>
      </w:r>
      <w:hyperlink r:id="rId13" w:history="1">
        <w:r w:rsidRPr="00FB6E00">
          <w:rPr>
            <w:rStyle w:val="Hyperlink"/>
          </w:rPr>
          <w:t>Advice.Centre@safetyandquality.gov.au</w:t>
        </w:r>
      </w:hyperlink>
    </w:p>
    <w:p w14:paraId="287A97DC" w14:textId="57AFF618" w:rsidR="00CF7567" w:rsidRDefault="00CF7567" w:rsidP="00CF7567">
      <w:pPr>
        <w:rPr>
          <w:strike/>
        </w:rPr>
      </w:pPr>
      <w:r w:rsidRPr="00FB6E00">
        <w:t>Phone: 1800 304 056</w:t>
      </w:r>
    </w:p>
    <w:p w14:paraId="42EEABFD" w14:textId="77777777" w:rsidR="00604AAF" w:rsidRPr="00EA0B96" w:rsidRDefault="00C76AE0" w:rsidP="00FD1F7D">
      <w:pPr>
        <w:pStyle w:val="SandQwebaddress"/>
        <w:rPr>
          <w:b/>
          <w:bCs/>
          <w:color w:val="005370"/>
          <w:sz w:val="26"/>
          <w:szCs w:val="26"/>
        </w:rPr>
      </w:pPr>
      <w:hyperlink r:id="rId14" w:history="1">
        <w:r w:rsidRPr="000811F9">
          <w:rPr>
            <w:rStyle w:val="Hyperlink"/>
            <w:b/>
            <w:bCs/>
            <w:sz w:val="26"/>
            <w:szCs w:val="26"/>
            <w:u w:val="none"/>
          </w:rPr>
          <w:t>safetyandquality.gov.au</w:t>
        </w:r>
      </w:hyperlink>
    </w:p>
    <w:p w14:paraId="5948E00D" w14:textId="7FBCBD36" w:rsidR="00C76AE0" w:rsidRPr="00B37ABB" w:rsidRDefault="00FD1F7D" w:rsidP="00C76AE0">
      <w:pPr>
        <w:pStyle w:val="FootnoteText"/>
        <w:tabs>
          <w:tab w:val="right" w:pos="8931"/>
        </w:tabs>
        <w:spacing w:after="0"/>
        <w:rPr>
          <w:rFonts w:eastAsia="MS Gothic"/>
          <w:color w:val="FF00FF"/>
        </w:rPr>
      </w:pPr>
      <w:r>
        <w:rPr>
          <w:noProof/>
        </w:rPr>
        <w:drawing>
          <wp:anchor distT="0" distB="0" distL="114300" distR="114300" simplePos="0" relativeHeight="251657728" behindDoc="0" locked="0" layoutInCell="1" allowOverlap="1" wp14:anchorId="2ACF7190" wp14:editId="7344620C">
            <wp:simplePos x="0" y="0"/>
            <wp:positionH relativeFrom="column">
              <wp:posOffset>0</wp:posOffset>
            </wp:positionH>
            <wp:positionV relativeFrom="paragraph">
              <wp:posOffset>34290</wp:posOffset>
            </wp:positionV>
            <wp:extent cx="840105" cy="297815"/>
            <wp:effectExtent l="0" t="0" r="0" b="0"/>
            <wp:wrapSquare wrapText="bothSides"/>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6AE0" w:rsidRPr="00EA0B96">
        <w:rPr>
          <w:rStyle w:val="Roman"/>
          <w:rFonts w:eastAsia="MS Gothic"/>
        </w:rPr>
        <w:t xml:space="preserve">© Australian Commission on Safety </w:t>
      </w:r>
      <w:r w:rsidR="00C76AE0" w:rsidRPr="00EA0B96">
        <w:rPr>
          <w:rStyle w:val="Roman"/>
          <w:rFonts w:eastAsia="MS Gothic"/>
        </w:rPr>
        <w:br/>
        <w:t>and Quality in Health Car</w:t>
      </w:r>
      <w:r w:rsidR="00C76AE0" w:rsidRPr="00CF7567">
        <w:rPr>
          <w:rStyle w:val="Roman"/>
          <w:rFonts w:eastAsia="MS Gothic"/>
        </w:rPr>
        <w:t>e 202</w:t>
      </w:r>
      <w:r w:rsidR="004B6001">
        <w:rPr>
          <w:rStyle w:val="Roman"/>
          <w:rFonts w:eastAsia="MS Gothic"/>
        </w:rPr>
        <w:t>5</w:t>
      </w:r>
    </w:p>
    <w:p w14:paraId="5BC83614" w14:textId="77777777" w:rsidR="00465AB0" w:rsidRDefault="00465AB0" w:rsidP="00C76AE0"/>
    <w:sectPr w:rsidR="00465AB0" w:rsidSect="00B93CD5">
      <w:headerReference w:type="even" r:id="rId16"/>
      <w:headerReference w:type="default" r:id="rId17"/>
      <w:footerReference w:type="even" r:id="rId18"/>
      <w:footerReference w:type="default" r:id="rId19"/>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A73D" w14:textId="77777777" w:rsidR="002E2333" w:rsidRDefault="002E2333" w:rsidP="000B0274">
      <w:r>
        <w:separator/>
      </w:r>
    </w:p>
    <w:p w14:paraId="2460A315" w14:textId="77777777" w:rsidR="002E2333" w:rsidRDefault="002E2333"/>
    <w:p w14:paraId="2A5D20E4" w14:textId="77777777" w:rsidR="002E2333" w:rsidRDefault="002E2333"/>
    <w:p w14:paraId="51C39083" w14:textId="77777777" w:rsidR="002E2333" w:rsidRDefault="002E2333"/>
    <w:p w14:paraId="568BC895" w14:textId="77777777" w:rsidR="002E2333" w:rsidRDefault="002E2333"/>
  </w:endnote>
  <w:endnote w:type="continuationSeparator" w:id="0">
    <w:p w14:paraId="0D65C466" w14:textId="77777777" w:rsidR="002E2333" w:rsidRDefault="002E2333" w:rsidP="000B0274">
      <w:r>
        <w:continuationSeparator/>
      </w:r>
    </w:p>
    <w:p w14:paraId="142C3D0C" w14:textId="77777777" w:rsidR="002E2333" w:rsidRDefault="002E2333"/>
    <w:p w14:paraId="002EAD7C" w14:textId="77777777" w:rsidR="002E2333" w:rsidRDefault="002E2333"/>
    <w:p w14:paraId="19C22366" w14:textId="77777777" w:rsidR="002E2333" w:rsidRDefault="002E2333"/>
    <w:p w14:paraId="47D4C01F" w14:textId="77777777" w:rsidR="002E2333" w:rsidRDefault="002E2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altName w:val="Arial"/>
    <w:panose1 w:val="00000000000000000000"/>
    <w:charset w:val="00"/>
    <w:family w:val="auto"/>
    <w:notTrueType/>
    <w:pitch w:val="variable"/>
    <w:sig w:usb0="A100007F" w:usb1="4000005B" w:usb2="00000000" w:usb3="00000000" w:csb0="0000009B" w:csb1="00000000"/>
  </w:font>
  <w:font w:name="Lucida Grande">
    <w:charset w:val="00"/>
    <w:family w:val="swiss"/>
    <w:pitch w:val="variable"/>
    <w:sig w:usb0="E1000AEF" w:usb1="5000A1FF" w:usb2="00000000" w:usb3="00000000" w:csb0="000001B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316E" w14:textId="77777777" w:rsidR="00A5694A" w:rsidRDefault="00A5694A" w:rsidP="00D84622">
    <w:pPr>
      <w:pStyle w:val="Footer"/>
    </w:pPr>
  </w:p>
  <w:p w14:paraId="4D9F0E92" w14:textId="77777777" w:rsidR="00070812" w:rsidRDefault="00070812"/>
  <w:p w14:paraId="69FEC70F" w14:textId="77777777" w:rsidR="008B014E" w:rsidRDefault="008B014E"/>
  <w:p w14:paraId="6E278A59"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0D96" w14:textId="72CCFF4C" w:rsidR="008B014E" w:rsidRDefault="0098461A" w:rsidP="007E175B">
    <w:pPr>
      <w:pStyle w:val="Footer"/>
    </w:pPr>
    <w:r>
      <w:t xml:space="preserve">Fact sheet: </w:t>
    </w:r>
    <w:r w:rsidR="004F688C">
      <w:t>Using a risk management approach</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9AC5" w14:textId="77777777" w:rsidR="002E2333" w:rsidRDefault="002E2333" w:rsidP="000B0274">
      <w:r>
        <w:separator/>
      </w:r>
    </w:p>
    <w:p w14:paraId="718732AF" w14:textId="77777777" w:rsidR="002E2333" w:rsidRDefault="002E2333"/>
    <w:p w14:paraId="6AB04979" w14:textId="77777777" w:rsidR="002E2333" w:rsidRDefault="002E2333"/>
    <w:p w14:paraId="07FFA85D" w14:textId="77777777" w:rsidR="002E2333" w:rsidRDefault="002E2333"/>
    <w:p w14:paraId="75EA9F7F" w14:textId="77777777" w:rsidR="002E2333" w:rsidRDefault="002E2333"/>
  </w:footnote>
  <w:footnote w:type="continuationSeparator" w:id="0">
    <w:p w14:paraId="20538AB9" w14:textId="77777777" w:rsidR="002E2333" w:rsidRDefault="002E2333" w:rsidP="000B0274">
      <w:r>
        <w:continuationSeparator/>
      </w:r>
    </w:p>
    <w:p w14:paraId="3FFD9BF2" w14:textId="77777777" w:rsidR="002E2333" w:rsidRDefault="002E2333"/>
    <w:p w14:paraId="7F546A5A" w14:textId="77777777" w:rsidR="002E2333" w:rsidRDefault="002E2333"/>
    <w:p w14:paraId="6480FDEC" w14:textId="77777777" w:rsidR="002E2333" w:rsidRDefault="002E2333"/>
    <w:p w14:paraId="439A310F" w14:textId="77777777" w:rsidR="002E2333" w:rsidRDefault="002E23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0A19" w14:textId="77777777" w:rsidR="00A5694A" w:rsidRDefault="00A5694A"/>
  <w:p w14:paraId="0B6F359B" w14:textId="77777777" w:rsidR="00070812" w:rsidRDefault="00070812"/>
  <w:p w14:paraId="44682A97" w14:textId="77777777" w:rsidR="008B014E" w:rsidRDefault="008B014E"/>
  <w:p w14:paraId="6B36ADEE"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A23F" w14:textId="79ADA50C" w:rsidR="008B014E" w:rsidRDefault="004F688C" w:rsidP="004F688C">
    <w:pPr>
      <w:tabs>
        <w:tab w:val="right" w:pos="9638"/>
      </w:tabs>
      <w:spacing w:before="0"/>
    </w:pPr>
    <w:r>
      <w:rPr>
        <w:noProof/>
      </w:rPr>
      <w:drawing>
        <wp:anchor distT="0" distB="0" distL="114300" distR="114300" simplePos="0" relativeHeight="251658240" behindDoc="1" locked="0" layoutInCell="1" allowOverlap="1" wp14:anchorId="7C44233A" wp14:editId="2D4BB318">
          <wp:simplePos x="0" y="0"/>
          <wp:positionH relativeFrom="column">
            <wp:posOffset>3639511</wp:posOffset>
          </wp:positionH>
          <wp:positionV relativeFrom="paragraph">
            <wp:posOffset>26675</wp:posOffset>
          </wp:positionV>
          <wp:extent cx="2574290" cy="443865"/>
          <wp:effectExtent l="0" t="0" r="0" b="0"/>
          <wp:wrapThrough wrapText="bothSides">
            <wp:wrapPolygon edited="0">
              <wp:start x="0" y="0"/>
              <wp:lineTo x="0" y="20395"/>
              <wp:lineTo x="21419" y="20395"/>
              <wp:lineTo x="21419" y="0"/>
              <wp:lineTo x="0" y="0"/>
            </wp:wrapPolygon>
          </wp:wrapThrough>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10;&#10;Description automatically generated"/>
                  <pic:cNvPicPr/>
                </pic:nvPicPr>
                <pic:blipFill>
                  <a:blip r:embed="rId1"/>
                  <a:stretch>
                    <a:fillRect/>
                  </a:stretch>
                </pic:blipFill>
                <pic:spPr>
                  <a:xfrm>
                    <a:off x="0" y="0"/>
                    <a:ext cx="2574290" cy="443865"/>
                  </a:xfrm>
                  <a:prstGeom prst="rect">
                    <a:avLst/>
                  </a:prstGeom>
                </pic:spPr>
              </pic:pic>
            </a:graphicData>
          </a:graphic>
        </wp:anchor>
      </w:drawing>
    </w:r>
    <w:r w:rsidRPr="00FB375B">
      <w:rPr>
        <w:rFonts w:eastAsiaTheme="majorEastAsia"/>
        <w:noProof/>
        <w:lang w:val="en-US" w:eastAsia="en-US"/>
      </w:rPr>
      <w:drawing>
        <wp:anchor distT="0" distB="0" distL="114300" distR="114300" simplePos="0" relativeHeight="251659264" behindDoc="1" locked="0" layoutInCell="1" allowOverlap="1" wp14:anchorId="3F006B1F" wp14:editId="5A674FA8">
          <wp:simplePos x="0" y="0"/>
          <wp:positionH relativeFrom="column">
            <wp:posOffset>101</wp:posOffset>
          </wp:positionH>
          <wp:positionV relativeFrom="paragraph">
            <wp:posOffset>2939</wp:posOffset>
          </wp:positionV>
          <wp:extent cx="3538651" cy="499473"/>
          <wp:effectExtent l="0" t="0" r="5080" b="0"/>
          <wp:wrapTight wrapText="bothSides">
            <wp:wrapPolygon edited="0">
              <wp:start x="0" y="0"/>
              <wp:lineTo x="0" y="20611"/>
              <wp:lineTo x="21515" y="20611"/>
              <wp:lineTo x="21515" y="0"/>
              <wp:lineTo x="0" y="0"/>
            </wp:wrapPolygon>
          </wp:wrapTight>
          <wp:docPr id="5" name="Picture 5"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38651" cy="499473"/>
                  </a:xfrm>
                  <a:prstGeom prst="rect">
                    <a:avLst/>
                  </a:prstGeom>
                </pic:spPr>
              </pic:pic>
            </a:graphicData>
          </a:graphic>
        </wp:anchor>
      </w:drawing>
    </w:r>
    <w:r w:rsidR="00A139AB">
      <w:tab/>
    </w:r>
  </w:p>
  <w:p w14:paraId="06A92302" w14:textId="28CA7315"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A09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2E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92F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C0A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5E9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A3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C2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7A9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69C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04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0FB25DBE"/>
    <w:multiLevelType w:val="hybridMultilevel"/>
    <w:tmpl w:val="5D608CC2"/>
    <w:lvl w:ilvl="0" w:tplc="F606E3D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79DE"/>
    <w:multiLevelType w:val="hybridMultilevel"/>
    <w:tmpl w:val="E604B0AE"/>
    <w:lvl w:ilvl="0" w:tplc="288E36DA">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DBF6F59"/>
    <w:multiLevelType w:val="hybridMultilevel"/>
    <w:tmpl w:val="1108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51142"/>
    <w:multiLevelType w:val="hybridMultilevel"/>
    <w:tmpl w:val="9BC67BDE"/>
    <w:lvl w:ilvl="0" w:tplc="F606E3D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BB4A4E"/>
    <w:multiLevelType w:val="hybridMultilevel"/>
    <w:tmpl w:val="B6F20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B48F2"/>
    <w:multiLevelType w:val="hybridMultilevel"/>
    <w:tmpl w:val="A296DC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4404B0"/>
    <w:multiLevelType w:val="hybridMultilevel"/>
    <w:tmpl w:val="19229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E08065B"/>
    <w:multiLevelType w:val="hybridMultilevel"/>
    <w:tmpl w:val="F1DAE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5F260F"/>
    <w:multiLevelType w:val="hybridMultilevel"/>
    <w:tmpl w:val="FA5C3D20"/>
    <w:lvl w:ilvl="0" w:tplc="288E36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34108780">
    <w:abstractNumId w:val="10"/>
  </w:num>
  <w:num w:numId="2" w16cid:durableId="1112822231">
    <w:abstractNumId w:val="12"/>
  </w:num>
  <w:num w:numId="3" w16cid:durableId="2010399634">
    <w:abstractNumId w:val="22"/>
  </w:num>
  <w:num w:numId="4" w16cid:durableId="1896118276">
    <w:abstractNumId w:val="28"/>
  </w:num>
  <w:num w:numId="5" w16cid:durableId="300960936">
    <w:abstractNumId w:val="27"/>
  </w:num>
  <w:num w:numId="6" w16cid:durableId="460001979">
    <w:abstractNumId w:val="13"/>
  </w:num>
  <w:num w:numId="7" w16cid:durableId="1272736034">
    <w:abstractNumId w:val="15"/>
  </w:num>
  <w:num w:numId="8" w16cid:durableId="281155201">
    <w:abstractNumId w:val="11"/>
  </w:num>
  <w:num w:numId="9" w16cid:durableId="1959675322">
    <w:abstractNumId w:val="36"/>
  </w:num>
  <w:num w:numId="10" w16cid:durableId="1185750376">
    <w:abstractNumId w:val="20"/>
  </w:num>
  <w:num w:numId="11" w16cid:durableId="1123500894">
    <w:abstractNumId w:val="18"/>
  </w:num>
  <w:num w:numId="12" w16cid:durableId="825979626">
    <w:abstractNumId w:val="33"/>
  </w:num>
  <w:num w:numId="13" w16cid:durableId="977683346">
    <w:abstractNumId w:val="19"/>
  </w:num>
  <w:num w:numId="14" w16cid:durableId="2057927306">
    <w:abstractNumId w:val="25"/>
  </w:num>
  <w:num w:numId="15" w16cid:durableId="1126317256">
    <w:abstractNumId w:val="37"/>
  </w:num>
  <w:num w:numId="16" w16cid:durableId="1986926756">
    <w:abstractNumId w:val="23"/>
  </w:num>
  <w:num w:numId="17" w16cid:durableId="230846978">
    <w:abstractNumId w:val="17"/>
  </w:num>
  <w:num w:numId="18" w16cid:durableId="222760772">
    <w:abstractNumId w:val="29"/>
  </w:num>
  <w:num w:numId="19" w16cid:durableId="1502430373">
    <w:abstractNumId w:val="31"/>
  </w:num>
  <w:num w:numId="20" w16cid:durableId="536162920">
    <w:abstractNumId w:val="0"/>
  </w:num>
  <w:num w:numId="21" w16cid:durableId="1871912386">
    <w:abstractNumId w:val="1"/>
  </w:num>
  <w:num w:numId="22" w16cid:durableId="1487092259">
    <w:abstractNumId w:val="2"/>
  </w:num>
  <w:num w:numId="23" w16cid:durableId="540870097">
    <w:abstractNumId w:val="3"/>
  </w:num>
  <w:num w:numId="24" w16cid:durableId="1091849680">
    <w:abstractNumId w:val="8"/>
  </w:num>
  <w:num w:numId="25" w16cid:durableId="1974864467">
    <w:abstractNumId w:val="4"/>
  </w:num>
  <w:num w:numId="26" w16cid:durableId="1078212562">
    <w:abstractNumId w:val="5"/>
  </w:num>
  <w:num w:numId="27" w16cid:durableId="1059859603">
    <w:abstractNumId w:val="6"/>
  </w:num>
  <w:num w:numId="28" w16cid:durableId="1271089856">
    <w:abstractNumId w:val="7"/>
  </w:num>
  <w:num w:numId="29" w16cid:durableId="1944413428">
    <w:abstractNumId w:val="9"/>
  </w:num>
  <w:num w:numId="30" w16cid:durableId="930891326">
    <w:abstractNumId w:val="34"/>
  </w:num>
  <w:num w:numId="31" w16cid:durableId="1847137757">
    <w:abstractNumId w:val="32"/>
  </w:num>
  <w:num w:numId="32" w16cid:durableId="76362236">
    <w:abstractNumId w:val="30"/>
  </w:num>
  <w:num w:numId="33" w16cid:durableId="332804163">
    <w:abstractNumId w:val="26"/>
  </w:num>
  <w:num w:numId="34" w16cid:durableId="1798377872">
    <w:abstractNumId w:val="14"/>
  </w:num>
  <w:num w:numId="35" w16cid:durableId="1133057299">
    <w:abstractNumId w:val="24"/>
  </w:num>
  <w:num w:numId="36" w16cid:durableId="83651800">
    <w:abstractNumId w:val="35"/>
  </w:num>
  <w:num w:numId="37" w16cid:durableId="458183321">
    <w:abstractNumId w:val="16"/>
  </w:num>
  <w:num w:numId="38" w16cid:durableId="90703888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48"/>
    <w:rsid w:val="00002668"/>
    <w:rsid w:val="00003743"/>
    <w:rsid w:val="000049CD"/>
    <w:rsid w:val="000077FA"/>
    <w:rsid w:val="0001053B"/>
    <w:rsid w:val="00011096"/>
    <w:rsid w:val="00012782"/>
    <w:rsid w:val="00013AF4"/>
    <w:rsid w:val="00020DBD"/>
    <w:rsid w:val="00025A92"/>
    <w:rsid w:val="00026372"/>
    <w:rsid w:val="0003162D"/>
    <w:rsid w:val="00036AB7"/>
    <w:rsid w:val="00036F5E"/>
    <w:rsid w:val="000406F8"/>
    <w:rsid w:val="0004147F"/>
    <w:rsid w:val="00043671"/>
    <w:rsid w:val="00043E3E"/>
    <w:rsid w:val="00050775"/>
    <w:rsid w:val="00054B74"/>
    <w:rsid w:val="00067456"/>
    <w:rsid w:val="00067CE9"/>
    <w:rsid w:val="00070812"/>
    <w:rsid w:val="0008065C"/>
    <w:rsid w:val="000811F9"/>
    <w:rsid w:val="00090EFF"/>
    <w:rsid w:val="00091FC5"/>
    <w:rsid w:val="00092229"/>
    <w:rsid w:val="00095DA6"/>
    <w:rsid w:val="00095DC5"/>
    <w:rsid w:val="000A3F0D"/>
    <w:rsid w:val="000A4C01"/>
    <w:rsid w:val="000B0274"/>
    <w:rsid w:val="000B0BFE"/>
    <w:rsid w:val="000B4610"/>
    <w:rsid w:val="000B79D3"/>
    <w:rsid w:val="000C1722"/>
    <w:rsid w:val="000C1DD4"/>
    <w:rsid w:val="000C5B0F"/>
    <w:rsid w:val="000C7A69"/>
    <w:rsid w:val="000D017D"/>
    <w:rsid w:val="000D6405"/>
    <w:rsid w:val="000E2F2E"/>
    <w:rsid w:val="000F0D77"/>
    <w:rsid w:val="000F29C7"/>
    <w:rsid w:val="00100327"/>
    <w:rsid w:val="0010673D"/>
    <w:rsid w:val="00106CF5"/>
    <w:rsid w:val="00115403"/>
    <w:rsid w:val="00115E61"/>
    <w:rsid w:val="00120FCB"/>
    <w:rsid w:val="00131E52"/>
    <w:rsid w:val="0013212C"/>
    <w:rsid w:val="00140002"/>
    <w:rsid w:val="00143A76"/>
    <w:rsid w:val="00145BE3"/>
    <w:rsid w:val="00146A66"/>
    <w:rsid w:val="001507C6"/>
    <w:rsid w:val="00153149"/>
    <w:rsid w:val="00157B31"/>
    <w:rsid w:val="00160453"/>
    <w:rsid w:val="00161CF7"/>
    <w:rsid w:val="001652A9"/>
    <w:rsid w:val="00174141"/>
    <w:rsid w:val="00174535"/>
    <w:rsid w:val="0017675C"/>
    <w:rsid w:val="00183675"/>
    <w:rsid w:val="00184C86"/>
    <w:rsid w:val="001852DE"/>
    <w:rsid w:val="00185761"/>
    <w:rsid w:val="001859B5"/>
    <w:rsid w:val="001860B2"/>
    <w:rsid w:val="00190C81"/>
    <w:rsid w:val="001918F7"/>
    <w:rsid w:val="001921ED"/>
    <w:rsid w:val="00195458"/>
    <w:rsid w:val="001962DE"/>
    <w:rsid w:val="00196AC8"/>
    <w:rsid w:val="001971BF"/>
    <w:rsid w:val="001A11A5"/>
    <w:rsid w:val="001A1EBD"/>
    <w:rsid w:val="001A4A68"/>
    <w:rsid w:val="001B15D1"/>
    <w:rsid w:val="001B3443"/>
    <w:rsid w:val="001B7C8B"/>
    <w:rsid w:val="001C47B6"/>
    <w:rsid w:val="001D0D87"/>
    <w:rsid w:val="001E1042"/>
    <w:rsid w:val="001E38B8"/>
    <w:rsid w:val="001E77C4"/>
    <w:rsid w:val="001F6D10"/>
    <w:rsid w:val="001F7642"/>
    <w:rsid w:val="002006BD"/>
    <w:rsid w:val="00204C47"/>
    <w:rsid w:val="0020592F"/>
    <w:rsid w:val="00211447"/>
    <w:rsid w:val="002255F7"/>
    <w:rsid w:val="0023112B"/>
    <w:rsid w:val="0023231A"/>
    <w:rsid w:val="00237ADF"/>
    <w:rsid w:val="00245D81"/>
    <w:rsid w:val="0024767D"/>
    <w:rsid w:val="002503C3"/>
    <w:rsid w:val="00251167"/>
    <w:rsid w:val="002544CA"/>
    <w:rsid w:val="002550A7"/>
    <w:rsid w:val="00255596"/>
    <w:rsid w:val="00255DCB"/>
    <w:rsid w:val="00255EB0"/>
    <w:rsid w:val="00261F43"/>
    <w:rsid w:val="002625FB"/>
    <w:rsid w:val="00263A63"/>
    <w:rsid w:val="00264387"/>
    <w:rsid w:val="00264A5A"/>
    <w:rsid w:val="002662B4"/>
    <w:rsid w:val="0026675D"/>
    <w:rsid w:val="00267635"/>
    <w:rsid w:val="00277A59"/>
    <w:rsid w:val="0028150E"/>
    <w:rsid w:val="00281FD4"/>
    <w:rsid w:val="002851F2"/>
    <w:rsid w:val="00291EBD"/>
    <w:rsid w:val="00293CDE"/>
    <w:rsid w:val="002B37B6"/>
    <w:rsid w:val="002C1CA0"/>
    <w:rsid w:val="002C6AF0"/>
    <w:rsid w:val="002C6E07"/>
    <w:rsid w:val="002D0EB0"/>
    <w:rsid w:val="002D247E"/>
    <w:rsid w:val="002D35CA"/>
    <w:rsid w:val="002E003F"/>
    <w:rsid w:val="002E195D"/>
    <w:rsid w:val="002E2333"/>
    <w:rsid w:val="002E2DBA"/>
    <w:rsid w:val="002E3986"/>
    <w:rsid w:val="002E6A48"/>
    <w:rsid w:val="002E7082"/>
    <w:rsid w:val="002F3AE3"/>
    <w:rsid w:val="002F7E6F"/>
    <w:rsid w:val="00303C27"/>
    <w:rsid w:val="00304D91"/>
    <w:rsid w:val="0030786C"/>
    <w:rsid w:val="00312A62"/>
    <w:rsid w:val="00316683"/>
    <w:rsid w:val="00321AD9"/>
    <w:rsid w:val="0033438A"/>
    <w:rsid w:val="00341202"/>
    <w:rsid w:val="00341A36"/>
    <w:rsid w:val="00341BEE"/>
    <w:rsid w:val="00343286"/>
    <w:rsid w:val="0034680F"/>
    <w:rsid w:val="0035066E"/>
    <w:rsid w:val="00350BE1"/>
    <w:rsid w:val="00350DBE"/>
    <w:rsid w:val="003657DB"/>
    <w:rsid w:val="0036588B"/>
    <w:rsid w:val="00370326"/>
    <w:rsid w:val="00380792"/>
    <w:rsid w:val="003808E4"/>
    <w:rsid w:val="0038248B"/>
    <w:rsid w:val="00386683"/>
    <w:rsid w:val="003873C6"/>
    <w:rsid w:val="00392002"/>
    <w:rsid w:val="00392A85"/>
    <w:rsid w:val="00396AFB"/>
    <w:rsid w:val="003A2C98"/>
    <w:rsid w:val="003A70CE"/>
    <w:rsid w:val="003C297A"/>
    <w:rsid w:val="003C540E"/>
    <w:rsid w:val="003C5F0C"/>
    <w:rsid w:val="003D17F9"/>
    <w:rsid w:val="003D3806"/>
    <w:rsid w:val="003D437B"/>
    <w:rsid w:val="003D4829"/>
    <w:rsid w:val="003E197F"/>
    <w:rsid w:val="003E6E73"/>
    <w:rsid w:val="003E76C8"/>
    <w:rsid w:val="003F3F0B"/>
    <w:rsid w:val="0040152C"/>
    <w:rsid w:val="00402CBA"/>
    <w:rsid w:val="0040604F"/>
    <w:rsid w:val="00412E9D"/>
    <w:rsid w:val="00414952"/>
    <w:rsid w:val="00423210"/>
    <w:rsid w:val="00424E91"/>
    <w:rsid w:val="00425504"/>
    <w:rsid w:val="0042727E"/>
    <w:rsid w:val="004305D6"/>
    <w:rsid w:val="004363FC"/>
    <w:rsid w:val="004377EE"/>
    <w:rsid w:val="00440CC0"/>
    <w:rsid w:val="00440D73"/>
    <w:rsid w:val="004437F3"/>
    <w:rsid w:val="004460F4"/>
    <w:rsid w:val="00447D31"/>
    <w:rsid w:val="00452849"/>
    <w:rsid w:val="00455560"/>
    <w:rsid w:val="00456385"/>
    <w:rsid w:val="00457050"/>
    <w:rsid w:val="00457BDB"/>
    <w:rsid w:val="00465AB0"/>
    <w:rsid w:val="00470AB8"/>
    <w:rsid w:val="00477E9B"/>
    <w:rsid w:val="00482ECA"/>
    <w:rsid w:val="00485776"/>
    <w:rsid w:val="00485794"/>
    <w:rsid w:val="004867E2"/>
    <w:rsid w:val="00486826"/>
    <w:rsid w:val="0048784D"/>
    <w:rsid w:val="00493AA0"/>
    <w:rsid w:val="004A0670"/>
    <w:rsid w:val="004A4851"/>
    <w:rsid w:val="004A5C81"/>
    <w:rsid w:val="004B0417"/>
    <w:rsid w:val="004B2999"/>
    <w:rsid w:val="004B6001"/>
    <w:rsid w:val="004C04EB"/>
    <w:rsid w:val="004C3664"/>
    <w:rsid w:val="004C4927"/>
    <w:rsid w:val="004C6833"/>
    <w:rsid w:val="004D5E77"/>
    <w:rsid w:val="004E067A"/>
    <w:rsid w:val="004E179B"/>
    <w:rsid w:val="004E2389"/>
    <w:rsid w:val="004E50C2"/>
    <w:rsid w:val="004E58C1"/>
    <w:rsid w:val="004F0DB8"/>
    <w:rsid w:val="004F2FA0"/>
    <w:rsid w:val="004F412D"/>
    <w:rsid w:val="004F688C"/>
    <w:rsid w:val="00505824"/>
    <w:rsid w:val="0051563D"/>
    <w:rsid w:val="005179C7"/>
    <w:rsid w:val="0052107C"/>
    <w:rsid w:val="005221B7"/>
    <w:rsid w:val="00530100"/>
    <w:rsid w:val="00536E0C"/>
    <w:rsid w:val="005408C7"/>
    <w:rsid w:val="005422E7"/>
    <w:rsid w:val="005437FD"/>
    <w:rsid w:val="00544A4E"/>
    <w:rsid w:val="00552A92"/>
    <w:rsid w:val="00553E33"/>
    <w:rsid w:val="00555C4C"/>
    <w:rsid w:val="00555D6E"/>
    <w:rsid w:val="00562F72"/>
    <w:rsid w:val="0056304B"/>
    <w:rsid w:val="00565356"/>
    <w:rsid w:val="00566B97"/>
    <w:rsid w:val="00570C6C"/>
    <w:rsid w:val="00577EE4"/>
    <w:rsid w:val="00584334"/>
    <w:rsid w:val="00591A14"/>
    <w:rsid w:val="0059380A"/>
    <w:rsid w:val="0059724C"/>
    <w:rsid w:val="005A0AB7"/>
    <w:rsid w:val="005A1AA7"/>
    <w:rsid w:val="005A4D0B"/>
    <w:rsid w:val="005A61B4"/>
    <w:rsid w:val="005A65E0"/>
    <w:rsid w:val="005A735B"/>
    <w:rsid w:val="005B04D8"/>
    <w:rsid w:val="005C1496"/>
    <w:rsid w:val="005C5EF4"/>
    <w:rsid w:val="005C6AAE"/>
    <w:rsid w:val="005D1073"/>
    <w:rsid w:val="005D1804"/>
    <w:rsid w:val="005D2770"/>
    <w:rsid w:val="005D5D06"/>
    <w:rsid w:val="005D5FCA"/>
    <w:rsid w:val="005D62B5"/>
    <w:rsid w:val="005E2614"/>
    <w:rsid w:val="005E7144"/>
    <w:rsid w:val="005F1E4A"/>
    <w:rsid w:val="00604AAF"/>
    <w:rsid w:val="00607B0B"/>
    <w:rsid w:val="00611870"/>
    <w:rsid w:val="00614E29"/>
    <w:rsid w:val="0062216A"/>
    <w:rsid w:val="00623DB3"/>
    <w:rsid w:val="00625634"/>
    <w:rsid w:val="00625EC1"/>
    <w:rsid w:val="0062652C"/>
    <w:rsid w:val="00626F7D"/>
    <w:rsid w:val="00630199"/>
    <w:rsid w:val="0063097F"/>
    <w:rsid w:val="006317C9"/>
    <w:rsid w:val="00632475"/>
    <w:rsid w:val="00632C35"/>
    <w:rsid w:val="006340B0"/>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922F5"/>
    <w:rsid w:val="006947D9"/>
    <w:rsid w:val="00697B1C"/>
    <w:rsid w:val="006A16DD"/>
    <w:rsid w:val="006A2587"/>
    <w:rsid w:val="006B3CFC"/>
    <w:rsid w:val="006C0CD8"/>
    <w:rsid w:val="006C5AEE"/>
    <w:rsid w:val="006C679A"/>
    <w:rsid w:val="006D09FE"/>
    <w:rsid w:val="006D0C40"/>
    <w:rsid w:val="006D15C1"/>
    <w:rsid w:val="006D732F"/>
    <w:rsid w:val="006E4597"/>
    <w:rsid w:val="006E688D"/>
    <w:rsid w:val="006F1432"/>
    <w:rsid w:val="006F7964"/>
    <w:rsid w:val="007028EC"/>
    <w:rsid w:val="007035D8"/>
    <w:rsid w:val="0070703E"/>
    <w:rsid w:val="00707D22"/>
    <w:rsid w:val="007103BE"/>
    <w:rsid w:val="00711E21"/>
    <w:rsid w:val="00712832"/>
    <w:rsid w:val="00713F05"/>
    <w:rsid w:val="00715168"/>
    <w:rsid w:val="0071583E"/>
    <w:rsid w:val="0071637F"/>
    <w:rsid w:val="00716597"/>
    <w:rsid w:val="00716FED"/>
    <w:rsid w:val="00722691"/>
    <w:rsid w:val="007238E8"/>
    <w:rsid w:val="0072413F"/>
    <w:rsid w:val="007254B2"/>
    <w:rsid w:val="00725FB9"/>
    <w:rsid w:val="00730020"/>
    <w:rsid w:val="007333AD"/>
    <w:rsid w:val="007360BF"/>
    <w:rsid w:val="00737D4D"/>
    <w:rsid w:val="007406E6"/>
    <w:rsid w:val="00746CCD"/>
    <w:rsid w:val="00747CE1"/>
    <w:rsid w:val="007517A6"/>
    <w:rsid w:val="007545C7"/>
    <w:rsid w:val="0076005C"/>
    <w:rsid w:val="0076111D"/>
    <w:rsid w:val="007635C1"/>
    <w:rsid w:val="00766B42"/>
    <w:rsid w:val="0076731D"/>
    <w:rsid w:val="00767650"/>
    <w:rsid w:val="00767A90"/>
    <w:rsid w:val="00770588"/>
    <w:rsid w:val="00770EDE"/>
    <w:rsid w:val="0077624B"/>
    <w:rsid w:val="0078070C"/>
    <w:rsid w:val="007827D9"/>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D4258"/>
    <w:rsid w:val="007E000D"/>
    <w:rsid w:val="007E175B"/>
    <w:rsid w:val="007E3F8A"/>
    <w:rsid w:val="007F3645"/>
    <w:rsid w:val="007F58DD"/>
    <w:rsid w:val="007F6791"/>
    <w:rsid w:val="00802131"/>
    <w:rsid w:val="00805E44"/>
    <w:rsid w:val="00811C26"/>
    <w:rsid w:val="00812029"/>
    <w:rsid w:val="00812A44"/>
    <w:rsid w:val="008178E4"/>
    <w:rsid w:val="00820059"/>
    <w:rsid w:val="008201A7"/>
    <w:rsid w:val="008264EB"/>
    <w:rsid w:val="00827924"/>
    <w:rsid w:val="00830756"/>
    <w:rsid w:val="00837A90"/>
    <w:rsid w:val="00842146"/>
    <w:rsid w:val="00855A49"/>
    <w:rsid w:val="00856DF5"/>
    <w:rsid w:val="00857E76"/>
    <w:rsid w:val="0086059A"/>
    <w:rsid w:val="00865932"/>
    <w:rsid w:val="00872059"/>
    <w:rsid w:val="008724DB"/>
    <w:rsid w:val="00873673"/>
    <w:rsid w:val="008803A1"/>
    <w:rsid w:val="0088122A"/>
    <w:rsid w:val="008839CD"/>
    <w:rsid w:val="00892AC8"/>
    <w:rsid w:val="00897E5A"/>
    <w:rsid w:val="008A07AF"/>
    <w:rsid w:val="008A4580"/>
    <w:rsid w:val="008A4AC8"/>
    <w:rsid w:val="008A4E8B"/>
    <w:rsid w:val="008A58F9"/>
    <w:rsid w:val="008B014E"/>
    <w:rsid w:val="008D09DE"/>
    <w:rsid w:val="008D5AFD"/>
    <w:rsid w:val="008E3658"/>
    <w:rsid w:val="008E59EB"/>
    <w:rsid w:val="008E5D6A"/>
    <w:rsid w:val="008F26C0"/>
    <w:rsid w:val="008F6BE7"/>
    <w:rsid w:val="00901462"/>
    <w:rsid w:val="00901D6C"/>
    <w:rsid w:val="00902A76"/>
    <w:rsid w:val="00904474"/>
    <w:rsid w:val="0091137C"/>
    <w:rsid w:val="0091384C"/>
    <w:rsid w:val="009213F3"/>
    <w:rsid w:val="0092204C"/>
    <w:rsid w:val="00922DEE"/>
    <w:rsid w:val="009238AA"/>
    <w:rsid w:val="009244B8"/>
    <w:rsid w:val="00925748"/>
    <w:rsid w:val="00932407"/>
    <w:rsid w:val="00932D78"/>
    <w:rsid w:val="00933B21"/>
    <w:rsid w:val="00933EC2"/>
    <w:rsid w:val="00941048"/>
    <w:rsid w:val="009424A5"/>
    <w:rsid w:val="00950089"/>
    <w:rsid w:val="0095539D"/>
    <w:rsid w:val="00957E40"/>
    <w:rsid w:val="00957E88"/>
    <w:rsid w:val="00961B39"/>
    <w:rsid w:val="00961FBE"/>
    <w:rsid w:val="00964277"/>
    <w:rsid w:val="0096474D"/>
    <w:rsid w:val="0097582E"/>
    <w:rsid w:val="00977D26"/>
    <w:rsid w:val="00977E26"/>
    <w:rsid w:val="009805EC"/>
    <w:rsid w:val="00984227"/>
    <w:rsid w:val="0098461A"/>
    <w:rsid w:val="009904EA"/>
    <w:rsid w:val="009907D7"/>
    <w:rsid w:val="00991AF5"/>
    <w:rsid w:val="0099343F"/>
    <w:rsid w:val="00995094"/>
    <w:rsid w:val="009A007B"/>
    <w:rsid w:val="009A0425"/>
    <w:rsid w:val="009A263C"/>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A02BFF"/>
    <w:rsid w:val="00A02E7D"/>
    <w:rsid w:val="00A0554C"/>
    <w:rsid w:val="00A1015B"/>
    <w:rsid w:val="00A139AB"/>
    <w:rsid w:val="00A15082"/>
    <w:rsid w:val="00A16AEE"/>
    <w:rsid w:val="00A369E8"/>
    <w:rsid w:val="00A4199A"/>
    <w:rsid w:val="00A4512D"/>
    <w:rsid w:val="00A541E1"/>
    <w:rsid w:val="00A54775"/>
    <w:rsid w:val="00A5502C"/>
    <w:rsid w:val="00A5694A"/>
    <w:rsid w:val="00A65795"/>
    <w:rsid w:val="00A6672E"/>
    <w:rsid w:val="00A705AF"/>
    <w:rsid w:val="00A7126D"/>
    <w:rsid w:val="00A73C2F"/>
    <w:rsid w:val="00A75B58"/>
    <w:rsid w:val="00A76BE9"/>
    <w:rsid w:val="00A77349"/>
    <w:rsid w:val="00A81D72"/>
    <w:rsid w:val="00A931E2"/>
    <w:rsid w:val="00A93A18"/>
    <w:rsid w:val="00A964DB"/>
    <w:rsid w:val="00A96DED"/>
    <w:rsid w:val="00AA0055"/>
    <w:rsid w:val="00AA0A90"/>
    <w:rsid w:val="00AA3A3E"/>
    <w:rsid w:val="00AA603A"/>
    <w:rsid w:val="00AA6DC2"/>
    <w:rsid w:val="00AA7B58"/>
    <w:rsid w:val="00AB0A6E"/>
    <w:rsid w:val="00AB221C"/>
    <w:rsid w:val="00AB40AB"/>
    <w:rsid w:val="00AB64E5"/>
    <w:rsid w:val="00AB6E76"/>
    <w:rsid w:val="00AB6ED9"/>
    <w:rsid w:val="00AB6F9B"/>
    <w:rsid w:val="00AC637F"/>
    <w:rsid w:val="00AD01B4"/>
    <w:rsid w:val="00AD055C"/>
    <w:rsid w:val="00AD52A0"/>
    <w:rsid w:val="00AD5717"/>
    <w:rsid w:val="00AE05BB"/>
    <w:rsid w:val="00AE0BA6"/>
    <w:rsid w:val="00AE3267"/>
    <w:rsid w:val="00AF6154"/>
    <w:rsid w:val="00B07615"/>
    <w:rsid w:val="00B1218D"/>
    <w:rsid w:val="00B163F6"/>
    <w:rsid w:val="00B20701"/>
    <w:rsid w:val="00B213FD"/>
    <w:rsid w:val="00B24DF4"/>
    <w:rsid w:val="00B2665E"/>
    <w:rsid w:val="00B30753"/>
    <w:rsid w:val="00B328AF"/>
    <w:rsid w:val="00B32C79"/>
    <w:rsid w:val="00B32DD1"/>
    <w:rsid w:val="00B37148"/>
    <w:rsid w:val="00B3720C"/>
    <w:rsid w:val="00B375A1"/>
    <w:rsid w:val="00B37974"/>
    <w:rsid w:val="00B37ABB"/>
    <w:rsid w:val="00B41409"/>
    <w:rsid w:val="00B41627"/>
    <w:rsid w:val="00B42851"/>
    <w:rsid w:val="00B456E0"/>
    <w:rsid w:val="00B459E9"/>
    <w:rsid w:val="00B47076"/>
    <w:rsid w:val="00B5113E"/>
    <w:rsid w:val="00B56B37"/>
    <w:rsid w:val="00B57759"/>
    <w:rsid w:val="00B60D44"/>
    <w:rsid w:val="00B60D86"/>
    <w:rsid w:val="00B67F09"/>
    <w:rsid w:val="00B732F1"/>
    <w:rsid w:val="00B766EB"/>
    <w:rsid w:val="00B904EC"/>
    <w:rsid w:val="00B91269"/>
    <w:rsid w:val="00B91454"/>
    <w:rsid w:val="00B93CD5"/>
    <w:rsid w:val="00B9432A"/>
    <w:rsid w:val="00B95A67"/>
    <w:rsid w:val="00B96A84"/>
    <w:rsid w:val="00BA0015"/>
    <w:rsid w:val="00BA2A5D"/>
    <w:rsid w:val="00BA2DE8"/>
    <w:rsid w:val="00BA4AEE"/>
    <w:rsid w:val="00BB2D0A"/>
    <w:rsid w:val="00BC07E4"/>
    <w:rsid w:val="00BC1EF5"/>
    <w:rsid w:val="00BC257A"/>
    <w:rsid w:val="00BC4293"/>
    <w:rsid w:val="00BC4D09"/>
    <w:rsid w:val="00BD0B57"/>
    <w:rsid w:val="00BD5F76"/>
    <w:rsid w:val="00BD649D"/>
    <w:rsid w:val="00BE0DE7"/>
    <w:rsid w:val="00BE6832"/>
    <w:rsid w:val="00BF2561"/>
    <w:rsid w:val="00BF5905"/>
    <w:rsid w:val="00BF6152"/>
    <w:rsid w:val="00C025A9"/>
    <w:rsid w:val="00C06314"/>
    <w:rsid w:val="00C10135"/>
    <w:rsid w:val="00C123DF"/>
    <w:rsid w:val="00C12706"/>
    <w:rsid w:val="00C206EE"/>
    <w:rsid w:val="00C23604"/>
    <w:rsid w:val="00C268AC"/>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25E7"/>
    <w:rsid w:val="00C63431"/>
    <w:rsid w:val="00C63C14"/>
    <w:rsid w:val="00C64BBB"/>
    <w:rsid w:val="00C64D00"/>
    <w:rsid w:val="00C66A41"/>
    <w:rsid w:val="00C74935"/>
    <w:rsid w:val="00C7543A"/>
    <w:rsid w:val="00C76AE0"/>
    <w:rsid w:val="00C84B06"/>
    <w:rsid w:val="00C85E91"/>
    <w:rsid w:val="00C911AD"/>
    <w:rsid w:val="00CA04C6"/>
    <w:rsid w:val="00CB0684"/>
    <w:rsid w:val="00CB2190"/>
    <w:rsid w:val="00CB2787"/>
    <w:rsid w:val="00CB5999"/>
    <w:rsid w:val="00CB5B1A"/>
    <w:rsid w:val="00CB733F"/>
    <w:rsid w:val="00CC36EF"/>
    <w:rsid w:val="00CC4B4F"/>
    <w:rsid w:val="00CC4B8E"/>
    <w:rsid w:val="00CC697B"/>
    <w:rsid w:val="00CC7207"/>
    <w:rsid w:val="00CE16CC"/>
    <w:rsid w:val="00CE1712"/>
    <w:rsid w:val="00CE3387"/>
    <w:rsid w:val="00CE3A39"/>
    <w:rsid w:val="00CE7355"/>
    <w:rsid w:val="00CF3753"/>
    <w:rsid w:val="00CF4118"/>
    <w:rsid w:val="00CF6318"/>
    <w:rsid w:val="00CF702F"/>
    <w:rsid w:val="00CF7567"/>
    <w:rsid w:val="00D005A9"/>
    <w:rsid w:val="00D05CB2"/>
    <w:rsid w:val="00D07C0D"/>
    <w:rsid w:val="00D10D90"/>
    <w:rsid w:val="00D116AD"/>
    <w:rsid w:val="00D13C42"/>
    <w:rsid w:val="00D16B25"/>
    <w:rsid w:val="00D20AD1"/>
    <w:rsid w:val="00D24922"/>
    <w:rsid w:val="00D301EA"/>
    <w:rsid w:val="00D31DC2"/>
    <w:rsid w:val="00D41AE5"/>
    <w:rsid w:val="00D429E0"/>
    <w:rsid w:val="00D42B9A"/>
    <w:rsid w:val="00D446AF"/>
    <w:rsid w:val="00D469E4"/>
    <w:rsid w:val="00D4728F"/>
    <w:rsid w:val="00D50F47"/>
    <w:rsid w:val="00D5318D"/>
    <w:rsid w:val="00D5354B"/>
    <w:rsid w:val="00D563D0"/>
    <w:rsid w:val="00D738DB"/>
    <w:rsid w:val="00D73FE2"/>
    <w:rsid w:val="00D7465B"/>
    <w:rsid w:val="00D77741"/>
    <w:rsid w:val="00D81026"/>
    <w:rsid w:val="00D812BD"/>
    <w:rsid w:val="00D84622"/>
    <w:rsid w:val="00D87CBD"/>
    <w:rsid w:val="00D9306A"/>
    <w:rsid w:val="00D944BF"/>
    <w:rsid w:val="00D9558F"/>
    <w:rsid w:val="00D96327"/>
    <w:rsid w:val="00D96578"/>
    <w:rsid w:val="00DA3C7F"/>
    <w:rsid w:val="00DB07A4"/>
    <w:rsid w:val="00DB5454"/>
    <w:rsid w:val="00DB5911"/>
    <w:rsid w:val="00DB59C2"/>
    <w:rsid w:val="00DC0477"/>
    <w:rsid w:val="00DC0D24"/>
    <w:rsid w:val="00DC5601"/>
    <w:rsid w:val="00DD047B"/>
    <w:rsid w:val="00DD5D99"/>
    <w:rsid w:val="00DD6F15"/>
    <w:rsid w:val="00DE3C4E"/>
    <w:rsid w:val="00DE4B07"/>
    <w:rsid w:val="00DE5D9E"/>
    <w:rsid w:val="00DE75D8"/>
    <w:rsid w:val="00DF0B12"/>
    <w:rsid w:val="00DF3751"/>
    <w:rsid w:val="00DF515C"/>
    <w:rsid w:val="00DF5695"/>
    <w:rsid w:val="00E015E6"/>
    <w:rsid w:val="00E05B44"/>
    <w:rsid w:val="00E066B4"/>
    <w:rsid w:val="00E13C5C"/>
    <w:rsid w:val="00E209BF"/>
    <w:rsid w:val="00E236C6"/>
    <w:rsid w:val="00E3115C"/>
    <w:rsid w:val="00E34876"/>
    <w:rsid w:val="00E34F33"/>
    <w:rsid w:val="00E35CBB"/>
    <w:rsid w:val="00E35DC5"/>
    <w:rsid w:val="00E40F95"/>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0B96"/>
    <w:rsid w:val="00EA33D5"/>
    <w:rsid w:val="00EA5E02"/>
    <w:rsid w:val="00EA5FD0"/>
    <w:rsid w:val="00EA63B1"/>
    <w:rsid w:val="00EB0020"/>
    <w:rsid w:val="00EB068A"/>
    <w:rsid w:val="00EC7D3F"/>
    <w:rsid w:val="00ED0468"/>
    <w:rsid w:val="00ED0DD3"/>
    <w:rsid w:val="00ED4ED1"/>
    <w:rsid w:val="00ED648B"/>
    <w:rsid w:val="00EE16DD"/>
    <w:rsid w:val="00EE2AE5"/>
    <w:rsid w:val="00EE31B0"/>
    <w:rsid w:val="00EE356F"/>
    <w:rsid w:val="00EE397E"/>
    <w:rsid w:val="00EE65B1"/>
    <w:rsid w:val="00EF1C55"/>
    <w:rsid w:val="00EF1C95"/>
    <w:rsid w:val="00EF23C0"/>
    <w:rsid w:val="00EF2774"/>
    <w:rsid w:val="00EF3163"/>
    <w:rsid w:val="00EF4059"/>
    <w:rsid w:val="00EF5586"/>
    <w:rsid w:val="00EF6C48"/>
    <w:rsid w:val="00F00403"/>
    <w:rsid w:val="00F05832"/>
    <w:rsid w:val="00F067A6"/>
    <w:rsid w:val="00F078B7"/>
    <w:rsid w:val="00F07B77"/>
    <w:rsid w:val="00F100D6"/>
    <w:rsid w:val="00F1278D"/>
    <w:rsid w:val="00F14BFD"/>
    <w:rsid w:val="00F17566"/>
    <w:rsid w:val="00F20F84"/>
    <w:rsid w:val="00F238F2"/>
    <w:rsid w:val="00F332B3"/>
    <w:rsid w:val="00F337D1"/>
    <w:rsid w:val="00F34D63"/>
    <w:rsid w:val="00F35F7A"/>
    <w:rsid w:val="00F41C35"/>
    <w:rsid w:val="00F4438C"/>
    <w:rsid w:val="00F46ED7"/>
    <w:rsid w:val="00F549D7"/>
    <w:rsid w:val="00F556DB"/>
    <w:rsid w:val="00F560D5"/>
    <w:rsid w:val="00F56325"/>
    <w:rsid w:val="00F6004C"/>
    <w:rsid w:val="00F73D95"/>
    <w:rsid w:val="00F77044"/>
    <w:rsid w:val="00F8015E"/>
    <w:rsid w:val="00F83598"/>
    <w:rsid w:val="00F85766"/>
    <w:rsid w:val="00F866FA"/>
    <w:rsid w:val="00F91869"/>
    <w:rsid w:val="00F91CCA"/>
    <w:rsid w:val="00F931D3"/>
    <w:rsid w:val="00F95769"/>
    <w:rsid w:val="00F96BA0"/>
    <w:rsid w:val="00FA289A"/>
    <w:rsid w:val="00FA3C5E"/>
    <w:rsid w:val="00FA4197"/>
    <w:rsid w:val="00FB375B"/>
    <w:rsid w:val="00FB6425"/>
    <w:rsid w:val="00FB722E"/>
    <w:rsid w:val="00FC56B4"/>
    <w:rsid w:val="00FC7F5D"/>
    <w:rsid w:val="00FD1BC7"/>
    <w:rsid w:val="00FD1D84"/>
    <w:rsid w:val="00FD1F7D"/>
    <w:rsid w:val="00FD4E9C"/>
    <w:rsid w:val="00FD50A4"/>
    <w:rsid w:val="00FD744A"/>
    <w:rsid w:val="00FE4538"/>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F94AB3"/>
  <w15:docId w15:val="{BFE8720B-6B13-4586-A25B-0206A9F0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GB" w:bidi="ar-SA"/>
      </w:rPr>
    </w:rPrDefault>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rPr>
      <w:sz w:val="22"/>
      <w:szCs w:val="22"/>
      <w:lang w:eastAsia="en-AU"/>
    </w:rPr>
  </w:style>
  <w:style w:type="paragraph" w:styleId="Heading1">
    <w:name w:val="heading 1"/>
    <w:basedOn w:val="Normal"/>
    <w:next w:val="Normal"/>
    <w:qFormat/>
    <w:rsid w:val="00F866FA"/>
    <w:pPr>
      <w:keepNext/>
      <w:keepLines/>
      <w:pageBreakBefore/>
      <w:spacing w:before="480" w:after="240"/>
      <w:outlineLvl w:val="0"/>
    </w:pPr>
    <w:rPr>
      <w:rFonts w:cs="Arial"/>
      <w:b/>
      <w:bCs/>
      <w:color w:val="005370"/>
      <w:kern w:val="28"/>
      <w:sz w:val="40"/>
      <w:szCs w:val="32"/>
    </w:rPr>
  </w:style>
  <w:style w:type="paragraph" w:styleId="Heading2">
    <w:name w:val="heading 2"/>
    <w:basedOn w:val="Heading1"/>
    <w:next w:val="Normal"/>
    <w:qFormat/>
    <w:rsid w:val="0071583E"/>
    <w:pPr>
      <w:pageBreakBefore w:val="0"/>
      <w:spacing w:before="360"/>
      <w:outlineLvl w:val="1"/>
    </w:pPr>
    <w:rPr>
      <w:bCs w:val="0"/>
      <w:iCs/>
      <w:sz w:val="32"/>
      <w:szCs w:val="28"/>
    </w:rPr>
  </w:style>
  <w:style w:type="paragraph" w:styleId="Heading3">
    <w:name w:val="heading 3"/>
    <w:basedOn w:val="Heading2"/>
    <w:next w:val="Normal"/>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sz w:val="24"/>
      <w:szCs w:val="26"/>
    </w:rPr>
  </w:style>
  <w:style w:type="paragraph" w:styleId="Heading5">
    <w:name w:val="heading 5"/>
    <w:basedOn w:val="Normal"/>
    <w:next w:val="Normal"/>
    <w:qFormat/>
    <w:rsid w:val="001A1EBD"/>
    <w:pPr>
      <w:keepNext/>
      <w:spacing w:before="240"/>
      <w:outlineLvl w:val="4"/>
    </w:pPr>
    <w:rPr>
      <w:b/>
      <w:bCs/>
      <w:iCs/>
      <w:color w:val="404040"/>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705AF"/>
    <w:rPr>
      <w:i/>
      <w:iCs/>
    </w:rPr>
  </w:style>
  <w:style w:type="character" w:styleId="Strong">
    <w:name w:val="Strong"/>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eastAsia="MS Gothic" w:cs="Times New Roman (Headings CS)"/>
      <w:b/>
      <w:iCs/>
      <w:color w:val="1178A0"/>
      <w:sz w:val="40"/>
    </w:rPr>
  </w:style>
  <w:style w:type="character" w:customStyle="1" w:styleId="SubtitleChar">
    <w:name w:val="Subtitle Char"/>
    <w:link w:val="Subtitle"/>
    <w:uiPriority w:val="98"/>
    <w:rsid w:val="00F866FA"/>
    <w:rPr>
      <w:rFonts w:ascii="Arial" w:eastAsia="MS Gothic" w:hAnsi="Arial" w:cs="Times New Roman (Headings CS)"/>
      <w:b/>
      <w:iCs/>
      <w:color w:val="1178A0"/>
      <w:sz w:val="40"/>
    </w:rPr>
  </w:style>
  <w:style w:type="paragraph" w:styleId="Title">
    <w:name w:val="Title"/>
    <w:basedOn w:val="Normal"/>
    <w:next w:val="Normal"/>
    <w:link w:val="TitleChar"/>
    <w:uiPriority w:val="99"/>
    <w:qFormat/>
    <w:rsid w:val="00D5318D"/>
    <w:pPr>
      <w:spacing w:before="240" w:after="240"/>
      <w:contextualSpacing/>
    </w:pPr>
    <w:rPr>
      <w:rFonts w:eastAsia="MS Gothic" w:cs="Times New Roman (Headings CS)"/>
      <w:b/>
      <w:color w:val="005370"/>
      <w:spacing w:val="-6"/>
      <w:kern w:val="28"/>
      <w:sz w:val="56"/>
      <w:szCs w:val="56"/>
    </w:rPr>
  </w:style>
  <w:style w:type="character" w:customStyle="1" w:styleId="TitleChar">
    <w:name w:val="Title Char"/>
    <w:link w:val="Title"/>
    <w:uiPriority w:val="99"/>
    <w:rsid w:val="00D5318D"/>
    <w:rPr>
      <w:rFonts w:ascii="Arial" w:eastAsia="MS Gothic" w:hAnsi="Arial" w:cs="Times New Roman (Headings CS)"/>
      <w:b/>
      <w:color w:val="005370"/>
      <w:spacing w:val="-6"/>
      <w:kern w:val="28"/>
      <w:sz w:val="56"/>
      <w:szCs w:val="56"/>
    </w:rPr>
  </w:style>
  <w:style w:type="paragraph" w:customStyle="1" w:styleId="PulloutTextHead">
    <w:name w:val="Pullout Text Head"/>
    <w:basedOn w:val="Heading3"/>
    <w:qFormat/>
    <w:rsid w:val="002B37B6"/>
    <w:pPr>
      <w:pBdr>
        <w:left w:val="single" w:sz="48" w:space="8" w:color="1178A0"/>
      </w:pBdr>
      <w:spacing w:before="180" w:after="120"/>
      <w:ind w:left="284"/>
    </w:pPr>
    <w:rPr>
      <w:caps/>
      <w:sz w:val="22"/>
      <w:lang w:val="en-GB"/>
    </w:rPr>
  </w:style>
  <w:style w:type="paragraph" w:styleId="TOC1">
    <w:name w:val="toc 1"/>
    <w:basedOn w:val="Normal"/>
    <w:next w:val="Normal"/>
    <w:autoRedefine/>
    <w:uiPriority w:val="39"/>
    <w:qFormat/>
    <w:rsid w:val="005C1496"/>
    <w:rPr>
      <w:rFonts w:cs="Arial"/>
      <w:b/>
      <w:bCs/>
      <w:color w:val="005370"/>
      <w:sz w:val="24"/>
      <w:szCs w:val="20"/>
    </w:rPr>
  </w:style>
  <w:style w:type="paragraph" w:styleId="TOC2">
    <w:name w:val="toc 2"/>
    <w:basedOn w:val="Normal"/>
    <w:next w:val="Normal"/>
    <w:autoRedefine/>
    <w:uiPriority w:val="39"/>
    <w:qFormat/>
    <w:rsid w:val="009A263C"/>
    <w:pPr>
      <w:tabs>
        <w:tab w:val="right" w:pos="9016"/>
      </w:tabs>
      <w:ind w:left="221"/>
    </w:pPr>
    <w:rPr>
      <w:rFonts w:cs="Arial"/>
      <w:szCs w:val="20"/>
    </w:rPr>
  </w:style>
  <w:style w:type="paragraph" w:styleId="TOC3">
    <w:name w:val="toc 3"/>
    <w:basedOn w:val="Normal"/>
    <w:next w:val="Normal"/>
    <w:autoRedefine/>
    <w:uiPriority w:val="39"/>
    <w:qFormat/>
    <w:rsid w:val="00747CE1"/>
    <w:pPr>
      <w:tabs>
        <w:tab w:val="left" w:pos="8789"/>
      </w:tabs>
      <w:spacing w:after="0"/>
      <w:ind w:left="442" w:right="-188"/>
    </w:pPr>
    <w:rPr>
      <w:rFonts w:cs="Arial"/>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link w:val="FootnoteText"/>
    <w:rsid w:val="006765C3"/>
    <w:rPr>
      <w:sz w:val="18"/>
      <w:szCs w:val="20"/>
    </w:rPr>
  </w:style>
  <w:style w:type="character" w:styleId="FootnoteReference">
    <w:name w:val="footnote reference"/>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rPr>
    <w:tblPr>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Arial" w:hAnsi="Arial"/>
        <w:b/>
        <w:color w:val="000000"/>
        <w:sz w:val="20"/>
      </w:rPr>
      <w:tblPr/>
      <w:tcPr>
        <w:shd w:val="clear" w:color="auto" w:fill="E6F1F8"/>
      </w:tcPr>
    </w:tblStylePr>
  </w:style>
  <w:style w:type="character" w:customStyle="1" w:styleId="Underline">
    <w:name w:val="Underline"/>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uiPriority w:val="99"/>
    <w:rsid w:val="00190C81"/>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link w:val="Footer"/>
    <w:rsid w:val="00D84622"/>
    <w:rPr>
      <w:sz w:val="20"/>
    </w:rPr>
  </w:style>
  <w:style w:type="character" w:styleId="FollowedHyperlink">
    <w:name w:val="FollowedHyperlink"/>
    <w:rsid w:val="006E4597"/>
    <w:rPr>
      <w:color w:val="1178A0"/>
      <w:u w:val="single"/>
    </w:rPr>
  </w:style>
  <w:style w:type="paragraph" w:styleId="TOCHeading">
    <w:name w:val="TOC Heading"/>
    <w:basedOn w:val="Heading1"/>
    <w:next w:val="Normal"/>
    <w:unhideWhenUsed/>
    <w:qFormat/>
    <w:rsid w:val="00255596"/>
    <w:pPr>
      <w:spacing w:after="0" w:line="276" w:lineRule="auto"/>
      <w:outlineLvl w:val="9"/>
    </w:pPr>
    <w:rPr>
      <w:rFonts w:eastAsia="MS Gothic" w:cs="Times New Roman"/>
      <w:color w:val="007CAB"/>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link w:val="Captions"/>
    <w:rsid w:val="00A15082"/>
    <w:rPr>
      <w:rFonts w:ascii="Arial" w:hAnsi="Arial"/>
      <w:color w:val="000000"/>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D5318D"/>
    <w:pPr>
      <w:spacing w:before="240" w:after="0"/>
    </w:pPr>
    <w:rPr>
      <w:b/>
      <w:color w:val="1178A2"/>
      <w:sz w:val="40"/>
      <w:szCs w:val="40"/>
    </w:rPr>
  </w:style>
  <w:style w:type="character" w:customStyle="1" w:styleId="StandardNameChar">
    <w:name w:val="Standard Name Char"/>
    <w:link w:val="StandardName"/>
    <w:uiPriority w:val="99"/>
    <w:rsid w:val="00D5318D"/>
    <w:rPr>
      <w:b/>
      <w:color w:val="1178A2"/>
      <w:sz w:val="40"/>
      <w:szCs w:val="40"/>
    </w:rPr>
  </w:style>
  <w:style w:type="paragraph" w:customStyle="1" w:styleId="Redtext">
    <w:name w:val="Red text"/>
    <w:basedOn w:val="Normal"/>
    <w:qFormat/>
    <w:rsid w:val="00F866FA"/>
    <w:pPr>
      <w:spacing w:after="80"/>
    </w:pPr>
    <w:rPr>
      <w:color w:val="E1241A"/>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tblPr>
      <w:tblStyleRowBandSize w:val="1"/>
      <w:tblStyleColBandSize w:val="1"/>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pPr>
        <w:jc w:val="left"/>
      </w:pPr>
      <w:rPr>
        <w:b/>
        <w:color w:val="FFFFFF"/>
      </w:rPr>
      <w:tblPr/>
      <w:tcPr>
        <w:shd w:val="clear" w:color="auto" w:fill="1178A0"/>
      </w:tcPr>
    </w:tblStylePr>
    <w:tblStylePr w:type="band2Horz">
      <w:tblPr/>
      <w:tcPr>
        <w:shd w:val="clear" w:color="auto" w:fill="F2F2F2"/>
      </w:tcPr>
    </w:tblStylePr>
  </w:style>
  <w:style w:type="table" w:customStyle="1" w:styleId="DarkHeading">
    <w:name w:val="Dark Heading"/>
    <w:basedOn w:val="TableNormal"/>
    <w:uiPriority w:val="99"/>
    <w:rsid w:val="00737D4D"/>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 w:type="table" w:customStyle="1" w:styleId="LightHeadingBanded">
    <w:name w:val="Light Heading Banded"/>
    <w:basedOn w:val="TableNormal"/>
    <w:uiPriority w:val="99"/>
    <w:rsid w:val="00737D4D"/>
    <w:tblPr>
      <w:tblStyleRowBandSize w:val="1"/>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Pr>
    <w:tblStylePr w:type="firstRow">
      <w:rPr>
        <w:rFonts w:ascii="Arial" w:hAnsi="Arial"/>
        <w:b/>
        <w:color w:val="000000"/>
      </w:rPr>
      <w:tblPr/>
      <w:tcPr>
        <w:shd w:val="clear" w:color="auto" w:fill="E6F1F8"/>
      </w:tcPr>
    </w:tblStylePr>
    <w:tblStylePr w:type="band2Horz">
      <w:tblPr/>
      <w:tcPr>
        <w:shd w:val="clear" w:color="auto" w:fill="F2F2F2"/>
      </w:tcPr>
    </w:tblStylePr>
  </w:style>
  <w:style w:type="paragraph" w:customStyle="1" w:styleId="PulloutBoxHeading">
    <w:name w:val="Pullout Box Heading"/>
    <w:basedOn w:val="Heading3"/>
    <w:qFormat/>
    <w:rsid w:val="00FC56B4"/>
    <w:pPr>
      <w:spacing w:before="120" w:after="60"/>
    </w:pPr>
  </w:style>
  <w:style w:type="table" w:customStyle="1" w:styleId="PulloutBox">
    <w:name w:val="Pullout Box"/>
    <w:basedOn w:val="TableNormal"/>
    <w:uiPriority w:val="99"/>
    <w:rsid w:val="00F866FA"/>
    <w:tblPr>
      <w:tblCellMar>
        <w:top w:w="284" w:type="dxa"/>
        <w:left w:w="284" w:type="dxa"/>
        <w:bottom w:w="284" w:type="dxa"/>
        <w:right w:w="284" w:type="dxa"/>
      </w:tblCellMar>
    </w:tblPr>
    <w:tcPr>
      <w:shd w:val="clear" w:color="auto" w:fill="E6F1F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sz w:val="20"/>
      <w:szCs w:val="20"/>
      <w:lang w:val="en-GB" w:eastAsia="en-US"/>
    </w:rPr>
  </w:style>
  <w:style w:type="character" w:customStyle="1" w:styleId="EndnoteTextChar">
    <w:name w:val="Endnote Text Char"/>
    <w:link w:val="EndnoteText"/>
    <w:rsid w:val="00EA63B1"/>
    <w:rPr>
      <w:rFonts w:ascii="Arial" w:hAnsi="Arial"/>
      <w:sz w:val="20"/>
      <w:szCs w:val="20"/>
      <w:lang w:val="en-GB" w:eastAsia="en-US"/>
    </w:rPr>
  </w:style>
  <w:style w:type="character" w:styleId="EndnoteReference">
    <w:name w:val="endnote reference"/>
    <w:unhideWhenUsed/>
    <w:locked/>
    <w:rsid w:val="00EA63B1"/>
    <w:rPr>
      <w:vertAlign w:val="superscript"/>
    </w:rPr>
  </w:style>
  <w:style w:type="paragraph" w:customStyle="1" w:styleId="Default">
    <w:name w:val="Default"/>
    <w:rsid w:val="00632475"/>
    <w:pPr>
      <w:autoSpaceDE w:val="0"/>
      <w:autoSpaceDN w:val="0"/>
      <w:adjustRightInd w:val="0"/>
    </w:pPr>
    <w:rPr>
      <w:rFonts w:ascii="Gotham Medium" w:hAnsi="Gotham Medium" w:cs="Gotham Medium"/>
      <w:color w:val="000000"/>
      <w:sz w:val="24"/>
      <w:szCs w:val="24"/>
      <w:lang w:eastAsia="en-AU"/>
    </w:rPr>
  </w:style>
  <w:style w:type="table" w:customStyle="1" w:styleId="Plain">
    <w:name w:val="Plain"/>
    <w:basedOn w:val="TableNormal"/>
    <w:next w:val="TableGrid"/>
    <w:rsid w:val="00423210"/>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rPr>
      <w:sz w:val="22"/>
      <w:szCs w:val="22"/>
      <w:lang w:eastAsia="en-AU"/>
    </w:r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71583E"/>
    <w:pPr>
      <w:pBdr>
        <w:left w:val="single" w:sz="48" w:space="8" w:color="1178A0"/>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Arial" w:hAnsi="Arial"/>
        <w:b/>
        <w:color w:val="FFFFFF"/>
        <w:sz w:val="22"/>
      </w:rPr>
      <w:tblPr/>
      <w:tcPr>
        <w:shd w:val="clear" w:color="auto" w:fill="1178A0"/>
      </w:tcPr>
    </w:tblStylePr>
    <w:tblStylePr w:type="firstCol">
      <w:rPr>
        <w:b/>
      </w:rPr>
      <w:tblPr/>
      <w:tcPr>
        <w:shd w:val="clear" w:color="auto" w:fill="E6F1F8"/>
      </w:tcPr>
    </w:tblStylePr>
  </w:style>
  <w:style w:type="paragraph" w:customStyle="1" w:styleId="Pa5">
    <w:name w:val="Pa5"/>
    <w:basedOn w:val="Normal"/>
    <w:uiPriority w:val="99"/>
    <w:semiHidden/>
    <w:rsid w:val="002D35CA"/>
    <w:pPr>
      <w:autoSpaceDE w:val="0"/>
      <w:autoSpaceDN w:val="0"/>
      <w:spacing w:before="0" w:after="0" w:line="151" w:lineRule="atLeast"/>
    </w:pPr>
    <w:rPr>
      <w:rFonts w:ascii="Open Sans SemiBold" w:eastAsia="Arial" w:hAnsi="Open Sans SemiBold"/>
      <w:sz w:val="24"/>
      <w:szCs w:val="24"/>
    </w:rPr>
  </w:style>
  <w:style w:type="paragraph" w:customStyle="1" w:styleId="Copyright">
    <w:name w:val="Copyright"/>
    <w:basedOn w:val="FootnoteText"/>
    <w:qFormat/>
    <w:rsid w:val="00F96BA0"/>
    <w:pPr>
      <w:spacing w:before="60" w:after="60"/>
    </w:pPr>
    <w:rPr>
      <w:rFonts w:eastAsia="MS Gothic"/>
      <w:sz w:val="16"/>
    </w:rPr>
  </w:style>
  <w:style w:type="paragraph" w:customStyle="1" w:styleId="SandQwebaddress">
    <w:name w:val="S and Q web address"/>
    <w:basedOn w:val="Normal"/>
    <w:qFormat/>
    <w:rsid w:val="00FD1F7D"/>
    <w:pPr>
      <w:spacing w:before="480" w:after="60"/>
    </w:pPr>
  </w:style>
  <w:style w:type="paragraph" w:customStyle="1" w:styleId="PublicationDate">
    <w:name w:val="Publication Date"/>
    <w:basedOn w:val="Normal"/>
    <w:link w:val="PublicationDateChar"/>
    <w:uiPriority w:val="99"/>
    <w:qFormat/>
    <w:rsid w:val="00EF6C48"/>
    <w:pPr>
      <w:spacing w:before="240" w:after="240"/>
    </w:pPr>
    <w:rPr>
      <w:rFonts w:asciiTheme="minorHAnsi" w:hAnsiTheme="minorHAnsi"/>
      <w:color w:val="0A4A63"/>
      <w:sz w:val="32"/>
      <w:szCs w:val="40"/>
    </w:rPr>
  </w:style>
  <w:style w:type="character" w:customStyle="1" w:styleId="PublicationDateChar">
    <w:name w:val="Publication Date Char"/>
    <w:basedOn w:val="DefaultParagraphFont"/>
    <w:link w:val="PublicationDate"/>
    <w:uiPriority w:val="99"/>
    <w:rsid w:val="00EF6C48"/>
    <w:rPr>
      <w:rFonts w:asciiTheme="minorHAnsi" w:hAnsiTheme="minorHAnsi"/>
      <w:color w:val="0A4A63"/>
      <w:sz w:val="32"/>
      <w:szCs w:val="40"/>
      <w:lang w:eastAsia="en-AU"/>
    </w:rPr>
  </w:style>
  <w:style w:type="character" w:styleId="CommentReference">
    <w:name w:val="annotation reference"/>
    <w:basedOn w:val="DefaultParagraphFont"/>
    <w:semiHidden/>
    <w:unhideWhenUsed/>
    <w:locked/>
    <w:rsid w:val="004F688C"/>
    <w:rPr>
      <w:sz w:val="16"/>
      <w:szCs w:val="16"/>
    </w:rPr>
  </w:style>
  <w:style w:type="paragraph" w:styleId="CommentText">
    <w:name w:val="annotation text"/>
    <w:basedOn w:val="Normal"/>
    <w:link w:val="CommentTextChar"/>
    <w:unhideWhenUsed/>
    <w:locked/>
    <w:rsid w:val="004F688C"/>
    <w:rPr>
      <w:sz w:val="20"/>
      <w:szCs w:val="20"/>
    </w:rPr>
  </w:style>
  <w:style w:type="character" w:customStyle="1" w:styleId="CommentTextChar">
    <w:name w:val="Comment Text Char"/>
    <w:basedOn w:val="DefaultParagraphFont"/>
    <w:link w:val="CommentText"/>
    <w:rsid w:val="004F688C"/>
    <w:rPr>
      <w:lang w:eastAsia="en-AU"/>
    </w:rPr>
  </w:style>
  <w:style w:type="paragraph" w:styleId="CommentSubject">
    <w:name w:val="annotation subject"/>
    <w:basedOn w:val="CommentText"/>
    <w:next w:val="CommentText"/>
    <w:link w:val="CommentSubjectChar"/>
    <w:uiPriority w:val="98"/>
    <w:semiHidden/>
    <w:unhideWhenUsed/>
    <w:locked/>
    <w:rsid w:val="004F688C"/>
    <w:rPr>
      <w:b/>
      <w:bCs/>
    </w:rPr>
  </w:style>
  <w:style w:type="character" w:customStyle="1" w:styleId="CommentSubjectChar">
    <w:name w:val="Comment Subject Char"/>
    <w:basedOn w:val="CommentTextChar"/>
    <w:link w:val="CommentSubject"/>
    <w:uiPriority w:val="98"/>
    <w:semiHidden/>
    <w:rsid w:val="004F688C"/>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vice.Centre@safetyandquality.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afetyandquality.gov.au/mh-cm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fetyandquality.gov.au/publications-and-resources/resource-library/self-assessment-tool-cmos"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safetyandquality.gov.au/publications-and-resources/resource-library/advisory-cmo-2401-not-applicable-actions-nsqmhcmo-standard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fetyandquality.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iv\AppData\Roaming\Micro%20focus\content%20manager\TRIM\TEMP\HPTRIM.10004\D23-23749%20%20TEMPLATE%20-%20Accessible%20Word%20-%20Fact%20sheet%20for%20HSOs%20-%20%2021%20Jul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7" ma:contentTypeDescription="Create a new document." ma:contentTypeScope="" ma:versionID="536a4c590158fd68cb58c2dfacc14914">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237cf29351cec230e1b2250148bf5c99"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customXml/itemProps2.xml><?xml version="1.0" encoding="utf-8"?>
<ds:datastoreItem xmlns:ds="http://schemas.openxmlformats.org/officeDocument/2006/customXml" ds:itemID="{1DFAF330-0091-496F-808B-BDE4716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E1B4E-BA3E-41FC-8990-E670E9585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D23-23749  TEMPLATE - Accessible Word - Fact sheet for HSOs -  21 July 2023.DOTX</Template>
  <TotalTime>1</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Fact Sheet: COVID-19 and Endoscopy Procedures, April 2020</vt:lpstr>
    </vt:vector>
  </TitlesOfParts>
  <Manager/>
  <Company>Australian Commission on Safety and Quality in Health Care</Company>
  <LinksUpToDate>false</LinksUpToDate>
  <CharactersWithSpaces>5588</CharactersWithSpaces>
  <SharedDoc>false</SharedDoc>
  <HyperlinkBase/>
  <HLinks>
    <vt:vector size="24" baseType="variant">
      <vt:variant>
        <vt:i4>3670067</vt:i4>
      </vt:variant>
      <vt:variant>
        <vt:i4>9</vt:i4>
      </vt:variant>
      <vt:variant>
        <vt:i4>0</vt:i4>
      </vt:variant>
      <vt:variant>
        <vt:i4>5</vt:i4>
      </vt:variant>
      <vt:variant>
        <vt:lpwstr>http://www.safetyandquality.gov.au/</vt:lpwstr>
      </vt:variant>
      <vt:variant>
        <vt:lpwstr/>
      </vt:variant>
      <vt:variant>
        <vt:i4>262227</vt:i4>
      </vt:variant>
      <vt:variant>
        <vt:i4>6</vt:i4>
      </vt:variant>
      <vt:variant>
        <vt:i4>0</vt:i4>
      </vt:variant>
      <vt:variant>
        <vt:i4>5</vt:i4>
      </vt:variant>
      <vt:variant>
        <vt:lpwstr>https://www.safetyandquality.gov.au/</vt:lpwstr>
      </vt:variant>
      <vt:variant>
        <vt:lpwstr/>
      </vt:variant>
      <vt:variant>
        <vt:i4>99</vt:i4>
      </vt:variant>
      <vt:variant>
        <vt:i4>3</vt:i4>
      </vt:variant>
      <vt:variant>
        <vt:i4>0</vt:i4>
      </vt:variant>
      <vt:variant>
        <vt:i4>5</vt:i4>
      </vt:variant>
      <vt:variant>
        <vt:lpwstr>https://www.gesa.org.au/public/13/files/COVID-19/COVID-19 GESA ENDOSCOPY STATEMENT 20Mar20_2.pdf</vt:lpwstr>
      </vt:variant>
      <vt:variant>
        <vt:lpwstr/>
      </vt:variant>
      <vt:variant>
        <vt:i4>6750265</vt:i4>
      </vt:variant>
      <vt:variant>
        <vt:i4>0</vt:i4>
      </vt:variant>
      <vt:variant>
        <vt:i4>0</vt:i4>
      </vt:variant>
      <vt:variant>
        <vt:i4>5</vt:i4>
      </vt:variant>
      <vt:variant>
        <vt:lpwstr>https://www.gesa.org.au/public/13/files/COVID-19/Triage_Guide_Endoscopic_Procedure_26032020.pdf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COVID-19 and Endoscopy Procedures, April 2020</dc:title>
  <dc:subject/>
  <dc:creator>ROSSI, Vanessa</dc:creator>
  <cp:keywords/>
  <dc:description/>
  <cp:lastModifiedBy>ROSSI, Vanessa</cp:lastModifiedBy>
  <cp:revision>2</cp:revision>
  <cp:lastPrinted>2020-03-04T03:32:00Z</cp:lastPrinted>
  <dcterms:created xsi:type="dcterms:W3CDTF">2025-07-06T23:31:00Z</dcterms:created>
  <dcterms:modified xsi:type="dcterms:W3CDTF">2025-07-06T23:31:00Z</dcterms:modified>
  <cp:category/>
</cp:coreProperties>
</file>