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17ED" w14:textId="77777777" w:rsidR="00044054" w:rsidRDefault="00044054" w:rsidP="00044054">
      <w:pPr>
        <w:pStyle w:val="Title"/>
      </w:pPr>
    </w:p>
    <w:p w14:paraId="333B7B5F" w14:textId="77777777" w:rsidR="0099378F" w:rsidRDefault="00044054" w:rsidP="00A15F59">
      <w:pPr>
        <w:pStyle w:val="Title"/>
        <w:contextualSpacing w:val="0"/>
      </w:pPr>
      <w:r>
        <w:t>Clinician quiz with answers</w:t>
      </w:r>
    </w:p>
    <w:p w14:paraId="5B9A37FA" w14:textId="466254CD" w:rsidR="00745876" w:rsidRDefault="00745876" w:rsidP="00745876">
      <w:pPr>
        <w:pStyle w:val="Title"/>
        <w:spacing w:after="0"/>
        <w:contextualSpacing w:val="0"/>
        <w:rPr>
          <w:rStyle w:val="Heading2Char"/>
          <w:sz w:val="28"/>
        </w:rPr>
      </w:pPr>
      <w:r>
        <w:rPr>
          <w:rStyle w:val="Heading2Char"/>
          <w:sz w:val="28"/>
        </w:rPr>
        <w:t xml:space="preserve"> </w:t>
      </w:r>
      <w:r w:rsidR="00044054" w:rsidRPr="00AF79CB">
        <w:rPr>
          <w:rStyle w:val="Heading2Char"/>
          <w:sz w:val="28"/>
        </w:rPr>
        <w:t>World AMR Awareness Week</w:t>
      </w:r>
      <w:r w:rsidR="00E27A46" w:rsidRPr="00AF79CB">
        <w:rPr>
          <w:rStyle w:val="Heading2Char"/>
          <w:sz w:val="28"/>
        </w:rPr>
        <w:t xml:space="preserve"> 2025</w:t>
      </w:r>
    </w:p>
    <w:p w14:paraId="78833039" w14:textId="77777777" w:rsidR="00745876" w:rsidRPr="00745876" w:rsidRDefault="00745876" w:rsidP="00745876">
      <w:pPr>
        <w:pStyle w:val="Title"/>
        <w:spacing w:after="0"/>
        <w:contextualSpacing w:val="0"/>
        <w:rPr>
          <w:rFonts w:asciiTheme="majorHAnsi" w:hAnsiTheme="majorHAnsi"/>
          <w:b/>
          <w:sz w:val="28"/>
          <w:szCs w:val="28"/>
        </w:rPr>
      </w:pPr>
    </w:p>
    <w:tbl>
      <w:tblPr>
        <w:tblStyle w:val="SQHTable"/>
        <w:tblpPr w:leftFromText="180" w:rightFromText="180" w:vertAnchor="text" w:horzAnchor="margin" w:tblpY="447"/>
        <w:tblW w:w="5000" w:type="pct"/>
        <w:tblLook w:val="04A0" w:firstRow="1" w:lastRow="0" w:firstColumn="1" w:lastColumn="0" w:noHBand="0" w:noVBand="1"/>
        <w:tblDescription w:val="Table description goes here"/>
      </w:tblPr>
      <w:tblGrid>
        <w:gridCol w:w="2835"/>
        <w:gridCol w:w="6001"/>
      </w:tblGrid>
      <w:tr w:rsidR="003655CD" w:rsidRPr="00072AF5" w14:paraId="0DFAC3AF" w14:textId="77777777" w:rsidTr="002003A3">
        <w:trPr>
          <w:cnfStyle w:val="100000000000" w:firstRow="1" w:lastRow="0" w:firstColumn="0" w:lastColumn="0" w:oddVBand="0" w:evenVBand="0" w:oddHBand="0" w:evenHBand="0" w:firstRowFirstColumn="0" w:firstRowLastColumn="0" w:lastRowFirstColumn="0" w:lastRowLastColumn="0"/>
        </w:trPr>
        <w:tc>
          <w:tcPr>
            <w:tcW w:w="2835" w:type="dxa"/>
            <w:tcBorders>
              <w:right w:val="single" w:sz="6" w:space="0" w:color="FFFFFF" w:themeColor="background1"/>
            </w:tcBorders>
          </w:tcPr>
          <w:p w14:paraId="70BF4745" w14:textId="5BF09040" w:rsidR="003655CD" w:rsidRPr="00072AF5" w:rsidRDefault="003655CD" w:rsidP="003655CD">
            <w:r>
              <w:t>Question</w:t>
            </w:r>
          </w:p>
        </w:tc>
        <w:tc>
          <w:tcPr>
            <w:tcW w:w="6001" w:type="dxa"/>
            <w:tcBorders>
              <w:left w:val="single" w:sz="6" w:space="0" w:color="FFFFFF" w:themeColor="background1"/>
              <w:right w:val="single" w:sz="6" w:space="0" w:color="FFFFFF" w:themeColor="background1"/>
            </w:tcBorders>
          </w:tcPr>
          <w:p w14:paraId="751E1E5F" w14:textId="12D7A20F" w:rsidR="003655CD" w:rsidRPr="00072AF5" w:rsidRDefault="003655CD" w:rsidP="003655CD">
            <w:r>
              <w:t>Answer</w:t>
            </w:r>
          </w:p>
        </w:tc>
      </w:tr>
      <w:tr w:rsidR="003655CD" w:rsidRPr="00072AF5" w14:paraId="3045833B" w14:textId="77777777" w:rsidTr="00AA58C2">
        <w:trPr>
          <w:trHeight w:val="2366"/>
        </w:trPr>
        <w:tc>
          <w:tcPr>
            <w:tcW w:w="2835" w:type="dxa"/>
            <w:tcBorders>
              <w:right w:val="single" w:sz="6" w:space="0" w:color="FFFFFF" w:themeColor="background1"/>
            </w:tcBorders>
            <w:vAlign w:val="center"/>
          </w:tcPr>
          <w:p w14:paraId="6831CE2A" w14:textId="3142B1FB" w:rsidR="003655CD" w:rsidRPr="003655CD" w:rsidRDefault="003655CD" w:rsidP="003655CD">
            <w:pPr>
              <w:pStyle w:val="ListParagraph"/>
              <w:numPr>
                <w:ilvl w:val="0"/>
                <w:numId w:val="8"/>
              </w:numPr>
            </w:pPr>
            <w:r w:rsidRPr="00C0382F">
              <w:t>The World AMR Awareness Week theme for 2025 is “Act Now: Protect Our Present, Secure Our Future.”</w:t>
            </w:r>
          </w:p>
        </w:tc>
        <w:tc>
          <w:tcPr>
            <w:tcW w:w="6001" w:type="dxa"/>
            <w:tcBorders>
              <w:left w:val="single" w:sz="6" w:space="0" w:color="FFFFFF" w:themeColor="background1"/>
              <w:right w:val="single" w:sz="6" w:space="0" w:color="FFFFFF" w:themeColor="background1"/>
            </w:tcBorders>
            <w:vAlign w:val="center"/>
          </w:tcPr>
          <w:p w14:paraId="7A1371C4" w14:textId="77777777" w:rsidR="003655CD" w:rsidRPr="000B69DC" w:rsidRDefault="003655CD" w:rsidP="00A15F59">
            <w:pPr>
              <w:spacing w:beforeLines="25" w:before="60" w:afterLines="25" w:after="60"/>
              <w:rPr>
                <w:b/>
                <w:bCs/>
              </w:rPr>
            </w:pPr>
            <w:r w:rsidRPr="000B69DC">
              <w:rPr>
                <w:b/>
                <w:bCs/>
              </w:rPr>
              <w:t>TRUE</w:t>
            </w:r>
          </w:p>
          <w:p w14:paraId="0F41854F" w14:textId="621BC6B7" w:rsidR="009F724D" w:rsidRDefault="003655CD" w:rsidP="00A15F59">
            <w:pPr>
              <w:spacing w:beforeLines="25" w:before="60" w:afterLines="25" w:after="60"/>
            </w:pPr>
            <w:r>
              <w:t xml:space="preserve">The theme, set by the World Health Organization, underscores the urgent need to take bold, united action to address antimicrobial resistance. It calls </w:t>
            </w:r>
            <w:r w:rsidR="009F724D">
              <w:t xml:space="preserve">for long-term investment and strategic action in human, animal and environmental health sectors. </w:t>
            </w:r>
          </w:p>
          <w:p w14:paraId="35EBDA5A" w14:textId="5946E163" w:rsidR="009F724D" w:rsidRDefault="009F724D" w:rsidP="00A15F59">
            <w:pPr>
              <w:spacing w:beforeLines="25" w:before="60" w:afterLines="25" w:after="60"/>
            </w:pPr>
            <w:r>
              <w:t>Reference</w:t>
            </w:r>
          </w:p>
          <w:p w14:paraId="59BF06EF" w14:textId="5FCADC78" w:rsidR="002003A3" w:rsidRPr="00072AF5" w:rsidRDefault="009F724D" w:rsidP="00A15F59">
            <w:pPr>
              <w:spacing w:beforeLines="25" w:before="60" w:afterLines="25" w:after="60"/>
            </w:pPr>
            <w:hyperlink r:id="rId11" w:history="1">
              <w:r w:rsidRPr="0026799E">
                <w:rPr>
                  <w:rStyle w:val="Hyperlink"/>
                </w:rPr>
                <w:t>www.who.int/campaigns/world-amr-awareness-week/2025</w:t>
              </w:r>
            </w:hyperlink>
            <w:r>
              <w:t xml:space="preserve"> </w:t>
            </w:r>
            <w:r w:rsidRPr="009F724D">
              <w:t xml:space="preserve"> </w:t>
            </w:r>
            <w:r>
              <w:t xml:space="preserve"> </w:t>
            </w:r>
            <w:r w:rsidR="003655CD">
              <w:t xml:space="preserve"> </w:t>
            </w:r>
          </w:p>
        </w:tc>
      </w:tr>
      <w:tr w:rsidR="002003A3" w:rsidRPr="00072AF5" w14:paraId="724C55F6" w14:textId="77777777" w:rsidTr="00AA58C2">
        <w:trPr>
          <w:cnfStyle w:val="000000010000" w:firstRow="0" w:lastRow="0" w:firstColumn="0" w:lastColumn="0" w:oddVBand="0" w:evenVBand="0" w:oddHBand="0" w:evenHBand="1" w:firstRowFirstColumn="0" w:firstRowLastColumn="0" w:lastRowFirstColumn="0" w:lastRowLastColumn="0"/>
          <w:trHeight w:val="2528"/>
        </w:trPr>
        <w:tc>
          <w:tcPr>
            <w:tcW w:w="2835" w:type="dxa"/>
            <w:tcBorders>
              <w:right w:val="single" w:sz="6" w:space="0" w:color="FFFFFF" w:themeColor="background1"/>
            </w:tcBorders>
            <w:vAlign w:val="center"/>
          </w:tcPr>
          <w:p w14:paraId="75C82B1F" w14:textId="51E899EC" w:rsidR="003655CD" w:rsidRPr="003655CD" w:rsidRDefault="003655CD" w:rsidP="003655CD">
            <w:pPr>
              <w:pStyle w:val="ListParagraph"/>
              <w:numPr>
                <w:ilvl w:val="0"/>
                <w:numId w:val="8"/>
              </w:numPr>
            </w:pPr>
            <w:r w:rsidRPr="00C0382F">
              <w:t>Contamination from unused antimicrobials disposed in toilets, bins or waste dumps contribute to</w:t>
            </w:r>
            <w:r w:rsidR="00CE4C60">
              <w:t xml:space="preserve"> the</w:t>
            </w:r>
            <w:r w:rsidRPr="00C0382F">
              <w:t xml:space="preserve"> development of antimicrobial resistance.</w:t>
            </w:r>
          </w:p>
        </w:tc>
        <w:tc>
          <w:tcPr>
            <w:tcW w:w="6001" w:type="dxa"/>
            <w:tcBorders>
              <w:left w:val="single" w:sz="6" w:space="0" w:color="FFFFFF" w:themeColor="background1"/>
              <w:right w:val="single" w:sz="6" w:space="0" w:color="FFFFFF" w:themeColor="background1"/>
            </w:tcBorders>
            <w:vAlign w:val="center"/>
          </w:tcPr>
          <w:p w14:paraId="3D8F5012" w14:textId="77777777" w:rsidR="003655CD" w:rsidRPr="000B69DC" w:rsidRDefault="003655CD" w:rsidP="00A15F59">
            <w:pPr>
              <w:spacing w:beforeLines="25" w:before="60" w:afterLines="25" w:after="60"/>
              <w:rPr>
                <w:b/>
                <w:bCs/>
                <w:szCs w:val="20"/>
              </w:rPr>
            </w:pPr>
            <w:r w:rsidRPr="000B69DC">
              <w:rPr>
                <w:b/>
                <w:bCs/>
                <w:szCs w:val="20"/>
              </w:rPr>
              <w:t>TRUE</w:t>
            </w:r>
          </w:p>
          <w:p w14:paraId="662A81B9" w14:textId="61755821" w:rsidR="000904C0" w:rsidRDefault="000904C0" w:rsidP="00A15F59">
            <w:pPr>
              <w:spacing w:beforeLines="25" w:before="60" w:afterLines="25" w:after="60"/>
            </w:pPr>
            <w:r>
              <w:t>There is strong evidence that pollution from antimicrobials into the environment drives bacterial evolution and emergence of antimicrobial resistance. Antimicrobials can pollute the environment through human, animal and medical waste and improper disposal.</w:t>
            </w:r>
          </w:p>
          <w:p w14:paraId="6400568F" w14:textId="77777777" w:rsidR="000904C0" w:rsidRDefault="000904C0" w:rsidP="00A15F59">
            <w:pPr>
              <w:spacing w:beforeLines="25" w:before="60" w:afterLines="25" w:after="60"/>
            </w:pPr>
            <w:r>
              <w:t>Reference</w:t>
            </w:r>
          </w:p>
          <w:p w14:paraId="1B2B4969" w14:textId="1320297C" w:rsidR="002003A3" w:rsidRPr="00072AF5" w:rsidRDefault="000904C0" w:rsidP="00A15F59">
            <w:pPr>
              <w:spacing w:beforeLines="25" w:before="60" w:afterLines="25" w:after="60"/>
            </w:pPr>
            <w:hyperlink r:id="rId12" w:history="1">
              <w:r w:rsidRPr="0026799E">
                <w:rPr>
                  <w:rStyle w:val="Hyperlink"/>
                </w:rPr>
                <w:t>www.ama.com.au/antimicrobial-resistance</w:t>
              </w:r>
            </w:hyperlink>
          </w:p>
        </w:tc>
      </w:tr>
      <w:tr w:rsidR="003655CD" w:rsidRPr="00072AF5" w14:paraId="52897EBA" w14:textId="77777777" w:rsidTr="00AA58C2">
        <w:trPr>
          <w:trHeight w:val="1981"/>
        </w:trPr>
        <w:tc>
          <w:tcPr>
            <w:tcW w:w="2835" w:type="dxa"/>
            <w:tcBorders>
              <w:right w:val="single" w:sz="6" w:space="0" w:color="FFFFFF" w:themeColor="background1"/>
            </w:tcBorders>
            <w:vAlign w:val="center"/>
          </w:tcPr>
          <w:p w14:paraId="758AA132" w14:textId="6372A94E" w:rsidR="003655CD" w:rsidRPr="003655CD" w:rsidRDefault="003655CD" w:rsidP="003655CD">
            <w:pPr>
              <w:pStyle w:val="ListParagraph"/>
              <w:numPr>
                <w:ilvl w:val="0"/>
                <w:numId w:val="8"/>
              </w:numPr>
            </w:pPr>
            <w:r w:rsidRPr="00C0382F">
              <w:t>By 2050, it is projected that 191,000 deaths will occur annually</w:t>
            </w:r>
            <w:r w:rsidR="00CE4C60">
              <w:t>,</w:t>
            </w:r>
            <w:r w:rsidRPr="00C0382F">
              <w:t xml:space="preserve"> attributed </w:t>
            </w:r>
            <w:r w:rsidR="00CE4C60">
              <w:t>to</w:t>
            </w:r>
            <w:r w:rsidRPr="00C0382F">
              <w:t xml:space="preserve"> antimicrobial resistance. </w:t>
            </w:r>
          </w:p>
        </w:tc>
        <w:tc>
          <w:tcPr>
            <w:tcW w:w="6001" w:type="dxa"/>
            <w:tcBorders>
              <w:left w:val="single" w:sz="6" w:space="0" w:color="FFFFFF" w:themeColor="background1"/>
              <w:right w:val="single" w:sz="6" w:space="0" w:color="FFFFFF" w:themeColor="background1"/>
            </w:tcBorders>
            <w:vAlign w:val="center"/>
          </w:tcPr>
          <w:p w14:paraId="6E1EB12A" w14:textId="77777777" w:rsidR="003655CD" w:rsidRPr="000B69DC" w:rsidRDefault="003655CD" w:rsidP="00A15F59">
            <w:pPr>
              <w:spacing w:beforeLines="25" w:before="60" w:afterLines="25" w:after="60"/>
              <w:rPr>
                <w:b/>
                <w:bCs/>
                <w:szCs w:val="20"/>
              </w:rPr>
            </w:pPr>
            <w:r w:rsidRPr="000B69DC">
              <w:rPr>
                <w:b/>
                <w:bCs/>
                <w:szCs w:val="20"/>
              </w:rPr>
              <w:t>FALSE</w:t>
            </w:r>
          </w:p>
          <w:p w14:paraId="5F5921D8" w14:textId="5A9267CD" w:rsidR="00361ED7" w:rsidRDefault="00CE4C60" w:rsidP="00A15F59">
            <w:pPr>
              <w:spacing w:beforeLines="25" w:before="60" w:afterLines="25" w:after="60"/>
              <w:rPr>
                <w:szCs w:val="20"/>
              </w:rPr>
            </w:pPr>
            <w:r>
              <w:rPr>
                <w:szCs w:val="20"/>
              </w:rPr>
              <w:t>By 2050</w:t>
            </w:r>
            <w:r w:rsidR="005761FD">
              <w:rPr>
                <w:szCs w:val="20"/>
              </w:rPr>
              <w:t>, it is predicted that 1.91 million deaths</w:t>
            </w:r>
            <w:r>
              <w:rPr>
                <w:szCs w:val="20"/>
              </w:rPr>
              <w:t xml:space="preserve"> will be</w:t>
            </w:r>
            <w:r w:rsidR="005761FD">
              <w:rPr>
                <w:szCs w:val="20"/>
              </w:rPr>
              <w:t xml:space="preserve"> attributed to antimicrobial resistance</w:t>
            </w:r>
            <w:r>
              <w:rPr>
                <w:szCs w:val="20"/>
              </w:rPr>
              <w:t>.</w:t>
            </w:r>
            <w:r w:rsidR="005761FD">
              <w:rPr>
                <w:szCs w:val="20"/>
              </w:rPr>
              <w:t xml:space="preserve"> </w:t>
            </w:r>
          </w:p>
          <w:p w14:paraId="7019DC2C" w14:textId="77777777" w:rsidR="00361ED7" w:rsidRDefault="00361ED7" w:rsidP="00A15F59">
            <w:pPr>
              <w:spacing w:beforeLines="25" w:before="60" w:afterLines="25" w:after="60"/>
              <w:rPr>
                <w:szCs w:val="20"/>
              </w:rPr>
            </w:pPr>
            <w:r>
              <w:rPr>
                <w:szCs w:val="20"/>
              </w:rPr>
              <w:t>Reference</w:t>
            </w:r>
          </w:p>
          <w:p w14:paraId="6256EB7B" w14:textId="173FC793" w:rsidR="002003A3" w:rsidRPr="00072AF5" w:rsidRDefault="00361ED7" w:rsidP="00A15F59">
            <w:pPr>
              <w:spacing w:beforeLines="25" w:before="60" w:afterLines="25" w:after="60"/>
            </w:pPr>
            <w:hyperlink r:id="rId13" w:history="1">
              <w:r w:rsidRPr="0026799E">
                <w:rPr>
                  <w:rStyle w:val="Hyperlink"/>
                </w:rPr>
                <w:t>www.thelancet.com/journals/lancet/article/PIIS0140-6736(24)01867-1/fulltext</w:t>
              </w:r>
            </w:hyperlink>
            <w:r>
              <w:t xml:space="preserve"> </w:t>
            </w:r>
          </w:p>
        </w:tc>
      </w:tr>
      <w:tr w:rsidR="002003A3" w:rsidRPr="00072AF5" w14:paraId="4D9B1696" w14:textId="77777777" w:rsidTr="002003A3">
        <w:trPr>
          <w:cnfStyle w:val="000000010000" w:firstRow="0" w:lastRow="0" w:firstColumn="0" w:lastColumn="0" w:oddVBand="0" w:evenVBand="0" w:oddHBand="0" w:evenHBand="1" w:firstRowFirstColumn="0" w:firstRowLastColumn="0" w:lastRowFirstColumn="0" w:lastRowLastColumn="0"/>
        </w:trPr>
        <w:tc>
          <w:tcPr>
            <w:tcW w:w="2835" w:type="dxa"/>
            <w:tcBorders>
              <w:right w:val="single" w:sz="6" w:space="0" w:color="FFFFFF" w:themeColor="background1"/>
            </w:tcBorders>
            <w:vAlign w:val="center"/>
          </w:tcPr>
          <w:p w14:paraId="7FCF9356" w14:textId="1156099E" w:rsidR="003655CD" w:rsidRPr="003655CD" w:rsidRDefault="003655CD" w:rsidP="003655CD">
            <w:pPr>
              <w:pStyle w:val="ListParagraph"/>
              <w:numPr>
                <w:ilvl w:val="0"/>
                <w:numId w:val="8"/>
              </w:numPr>
            </w:pPr>
            <w:r w:rsidRPr="00C0382F">
              <w:t xml:space="preserve">Trimethoprim is the first-line antibiotic for </w:t>
            </w:r>
            <w:r w:rsidR="00CE4C60">
              <w:t xml:space="preserve">the </w:t>
            </w:r>
            <w:r w:rsidRPr="00C0382F">
              <w:t>treatment of uncomplicated cystitis.</w:t>
            </w:r>
          </w:p>
        </w:tc>
        <w:tc>
          <w:tcPr>
            <w:tcW w:w="6001" w:type="dxa"/>
            <w:tcBorders>
              <w:left w:val="single" w:sz="6" w:space="0" w:color="FFFFFF" w:themeColor="background1"/>
              <w:right w:val="single" w:sz="6" w:space="0" w:color="FFFFFF" w:themeColor="background1"/>
            </w:tcBorders>
            <w:vAlign w:val="center"/>
          </w:tcPr>
          <w:p w14:paraId="3D1068D5" w14:textId="77777777" w:rsidR="003655CD" w:rsidRPr="000B69DC" w:rsidRDefault="003655CD" w:rsidP="00A15F59">
            <w:pPr>
              <w:spacing w:beforeLines="25" w:before="60" w:afterLines="25" w:after="60"/>
              <w:rPr>
                <w:b/>
                <w:bCs/>
                <w:szCs w:val="20"/>
              </w:rPr>
            </w:pPr>
            <w:r w:rsidRPr="000B69DC">
              <w:rPr>
                <w:b/>
                <w:bCs/>
                <w:szCs w:val="20"/>
              </w:rPr>
              <w:t>FALSE</w:t>
            </w:r>
          </w:p>
          <w:p w14:paraId="26EC9093" w14:textId="24EB4933" w:rsidR="00225572" w:rsidRDefault="00917DA1" w:rsidP="00A15F59">
            <w:pPr>
              <w:spacing w:beforeLines="25" w:before="60" w:afterLines="25" w:after="60"/>
            </w:pPr>
            <w:r>
              <w:t>Trimethoprim is no long</w:t>
            </w:r>
            <w:r w:rsidR="00FC3CB8">
              <w:t xml:space="preserve">er recommended as </w:t>
            </w:r>
            <w:r w:rsidR="00CE4C60">
              <w:t xml:space="preserve">a </w:t>
            </w:r>
            <w:r w:rsidR="00FC3CB8">
              <w:t>first-line</w:t>
            </w:r>
            <w:r w:rsidR="00D2705A">
              <w:t xml:space="preserve"> empiric antibiotic</w:t>
            </w:r>
            <w:r w:rsidR="00D16B6B">
              <w:t xml:space="preserve"> treatment.</w:t>
            </w:r>
            <w:r w:rsidR="00FC3CB8">
              <w:t xml:space="preserve"> The rates of trimethoprim resistance among </w:t>
            </w:r>
            <w:r w:rsidR="002803D0">
              <w:rPr>
                <w:i/>
                <w:iCs/>
              </w:rPr>
              <w:t xml:space="preserve">Escherichia coli (E.coli) </w:t>
            </w:r>
            <w:r w:rsidR="00D16B6B">
              <w:t xml:space="preserve">in Australia are </w:t>
            </w:r>
            <w:r w:rsidR="00692D43">
              <w:t xml:space="preserve">increasing and are above 20%. </w:t>
            </w:r>
            <w:r w:rsidR="00C8232A">
              <w:t>Nitrofurantoin</w:t>
            </w:r>
            <w:r w:rsidR="00C459D3">
              <w:t xml:space="preserve"> and Fosfomycin</w:t>
            </w:r>
            <w:r w:rsidR="00692D43">
              <w:t>, first and second-line empiric antibiotics respectively,</w:t>
            </w:r>
            <w:r w:rsidR="00C459D3">
              <w:t xml:space="preserve"> are active against the majority of ESBL-producing </w:t>
            </w:r>
            <w:r w:rsidR="00C459D3" w:rsidRPr="00C459D3">
              <w:rPr>
                <w:i/>
                <w:iCs/>
              </w:rPr>
              <w:t>E.coli</w:t>
            </w:r>
            <w:r w:rsidR="00C459D3">
              <w:t xml:space="preserve"> isolates. </w:t>
            </w:r>
          </w:p>
          <w:p w14:paraId="16959F79" w14:textId="77777777" w:rsidR="00692D43" w:rsidRDefault="00692D43" w:rsidP="00A15F59">
            <w:pPr>
              <w:spacing w:beforeLines="25" w:before="60" w:afterLines="25" w:after="60"/>
            </w:pPr>
            <w:r>
              <w:t>Reference</w:t>
            </w:r>
          </w:p>
          <w:p w14:paraId="27D7AF3F" w14:textId="77777777" w:rsidR="002003A3" w:rsidRDefault="008E6B08" w:rsidP="00A15F59">
            <w:pPr>
              <w:spacing w:beforeLines="25" w:before="60" w:afterLines="25" w:after="60"/>
            </w:pPr>
            <w:hyperlink r:id="rId14" w:history="1">
              <w:r w:rsidRPr="0026799E">
                <w:rPr>
                  <w:rStyle w:val="Hyperlink"/>
                </w:rPr>
                <w:t>www.tg.org.au</w:t>
              </w:r>
            </w:hyperlink>
          </w:p>
          <w:p w14:paraId="59544E6A" w14:textId="4551704C" w:rsidR="00AA58C2" w:rsidRPr="00072AF5" w:rsidRDefault="00AA58C2" w:rsidP="00A15F59">
            <w:pPr>
              <w:spacing w:beforeLines="25" w:before="60" w:afterLines="25" w:after="60"/>
            </w:pPr>
          </w:p>
        </w:tc>
      </w:tr>
      <w:tr w:rsidR="003655CD" w:rsidRPr="00072AF5" w14:paraId="0F8185A9" w14:textId="77777777" w:rsidTr="002003A3">
        <w:tc>
          <w:tcPr>
            <w:tcW w:w="2835" w:type="dxa"/>
            <w:tcBorders>
              <w:right w:val="single" w:sz="6" w:space="0" w:color="FFFFFF" w:themeColor="background1"/>
            </w:tcBorders>
            <w:vAlign w:val="center"/>
          </w:tcPr>
          <w:p w14:paraId="4D5A63AD" w14:textId="32FDB7D7" w:rsidR="003655CD" w:rsidRPr="003655CD" w:rsidRDefault="003655CD" w:rsidP="003655CD">
            <w:pPr>
              <w:pStyle w:val="ListParagraph"/>
              <w:numPr>
                <w:ilvl w:val="0"/>
                <w:numId w:val="8"/>
              </w:numPr>
            </w:pPr>
            <w:r w:rsidRPr="00C0382F">
              <w:lastRenderedPageBreak/>
              <w:t xml:space="preserve">Area under the curve monitoring should be prioritised for </w:t>
            </w:r>
            <w:r w:rsidR="00CE4C60">
              <w:t xml:space="preserve">critically ill </w:t>
            </w:r>
            <w:r w:rsidRPr="00C0382F">
              <w:t>patients on vancomycin.</w:t>
            </w:r>
          </w:p>
        </w:tc>
        <w:tc>
          <w:tcPr>
            <w:tcW w:w="6001" w:type="dxa"/>
            <w:tcBorders>
              <w:left w:val="single" w:sz="6" w:space="0" w:color="FFFFFF" w:themeColor="background1"/>
              <w:right w:val="single" w:sz="6" w:space="0" w:color="FFFFFF" w:themeColor="background1"/>
            </w:tcBorders>
            <w:vAlign w:val="center"/>
          </w:tcPr>
          <w:p w14:paraId="2EAB4895" w14:textId="77777777" w:rsidR="003655CD" w:rsidRPr="000B69DC" w:rsidRDefault="003655CD" w:rsidP="00A15F59">
            <w:pPr>
              <w:spacing w:beforeLines="25" w:before="60" w:afterLines="25" w:after="60"/>
              <w:rPr>
                <w:b/>
                <w:bCs/>
                <w:szCs w:val="20"/>
              </w:rPr>
            </w:pPr>
            <w:r w:rsidRPr="000B69DC">
              <w:rPr>
                <w:b/>
                <w:bCs/>
                <w:szCs w:val="20"/>
              </w:rPr>
              <w:t>TRUE</w:t>
            </w:r>
          </w:p>
          <w:p w14:paraId="3950671E" w14:textId="6CCA20A8" w:rsidR="00A436C0" w:rsidRPr="000B69DC" w:rsidRDefault="00675308" w:rsidP="00A15F59">
            <w:pPr>
              <w:spacing w:beforeLines="25" w:before="60" w:afterLines="25" w:after="60"/>
              <w:rPr>
                <w:szCs w:val="20"/>
              </w:rPr>
            </w:pPr>
            <w:r w:rsidRPr="000B69DC">
              <w:rPr>
                <w:szCs w:val="20"/>
              </w:rPr>
              <w:t xml:space="preserve">Measuring area under the curve over a </w:t>
            </w:r>
            <w:r w:rsidR="000B69DC" w:rsidRPr="000B69DC">
              <w:rPr>
                <w:szCs w:val="20"/>
              </w:rPr>
              <w:t>24-hour</w:t>
            </w:r>
            <w:r w:rsidRPr="000B69DC">
              <w:rPr>
                <w:szCs w:val="20"/>
              </w:rPr>
              <w:t xml:space="preserve"> period </w:t>
            </w:r>
            <w:r w:rsidR="000B69DC" w:rsidRPr="000B69DC">
              <w:rPr>
                <w:szCs w:val="20"/>
              </w:rPr>
              <w:t>(AUC</w:t>
            </w:r>
            <w:r w:rsidR="000B69DC" w:rsidRPr="000B69DC">
              <w:rPr>
                <w:szCs w:val="20"/>
                <w:vertAlign w:val="subscript"/>
              </w:rPr>
              <w:t>24</w:t>
            </w:r>
            <w:r w:rsidR="000B69DC" w:rsidRPr="000B69DC">
              <w:rPr>
                <w:szCs w:val="20"/>
              </w:rPr>
              <w:t>)</w:t>
            </w:r>
            <w:r w:rsidR="000B69DC">
              <w:rPr>
                <w:szCs w:val="20"/>
              </w:rPr>
              <w:t xml:space="preserve"> is superior to using trough plasma concentration to determine drug exposure and is associated with reduced rates of nephrotoxicity. AUC</w:t>
            </w:r>
            <w:r w:rsidR="000B69DC" w:rsidRPr="000B69DC">
              <w:rPr>
                <w:szCs w:val="20"/>
                <w:vertAlign w:val="subscript"/>
              </w:rPr>
              <w:t>24</w:t>
            </w:r>
            <w:r w:rsidR="000B69DC">
              <w:rPr>
                <w:szCs w:val="20"/>
              </w:rPr>
              <w:t xml:space="preserve"> monitoring should be prioritised for critically ill patients. </w:t>
            </w:r>
          </w:p>
          <w:p w14:paraId="70FE5F27" w14:textId="77777777" w:rsidR="00A436C0" w:rsidRDefault="00A436C0" w:rsidP="00A15F59">
            <w:pPr>
              <w:spacing w:beforeLines="25" w:before="60" w:afterLines="25" w:after="60"/>
            </w:pPr>
            <w:r>
              <w:t>Reference</w:t>
            </w:r>
          </w:p>
          <w:p w14:paraId="1FAEC9D4" w14:textId="186AC29B" w:rsidR="002003A3" w:rsidRPr="00072AF5" w:rsidRDefault="00A436C0" w:rsidP="00A15F59">
            <w:pPr>
              <w:spacing w:beforeLines="25" w:before="60" w:afterLines="25" w:after="60"/>
            </w:pPr>
            <w:hyperlink r:id="rId15" w:history="1">
              <w:r w:rsidRPr="0026799E">
                <w:rPr>
                  <w:rStyle w:val="Hyperlink"/>
                </w:rPr>
                <w:t>www.tg.org.au</w:t>
              </w:r>
            </w:hyperlink>
            <w:r>
              <w:t xml:space="preserve"> </w:t>
            </w:r>
          </w:p>
        </w:tc>
      </w:tr>
      <w:tr w:rsidR="003655CD" w:rsidRPr="00072AF5" w14:paraId="4A20FB3C" w14:textId="77777777" w:rsidTr="002003A3">
        <w:trPr>
          <w:cnfStyle w:val="000000010000" w:firstRow="0" w:lastRow="0" w:firstColumn="0" w:lastColumn="0" w:oddVBand="0" w:evenVBand="0" w:oddHBand="0" w:evenHBand="1" w:firstRowFirstColumn="0" w:firstRowLastColumn="0" w:lastRowFirstColumn="0" w:lastRowLastColumn="0"/>
        </w:trPr>
        <w:tc>
          <w:tcPr>
            <w:tcW w:w="2835" w:type="dxa"/>
            <w:tcBorders>
              <w:right w:val="single" w:sz="6" w:space="0" w:color="FFFFFF" w:themeColor="background1"/>
            </w:tcBorders>
            <w:vAlign w:val="center"/>
          </w:tcPr>
          <w:p w14:paraId="0C174551" w14:textId="1746F0D8" w:rsidR="003655CD" w:rsidRPr="003655CD" w:rsidRDefault="007F7338" w:rsidP="003655CD">
            <w:pPr>
              <w:pStyle w:val="ListParagraph"/>
              <w:numPr>
                <w:ilvl w:val="0"/>
                <w:numId w:val="8"/>
              </w:numPr>
            </w:pPr>
            <w:r>
              <w:t>L</w:t>
            </w:r>
            <w:r w:rsidR="003655CD" w:rsidRPr="00C0382F">
              <w:t>ean body weight should be used to calculate aminoglycoside doses.</w:t>
            </w:r>
          </w:p>
        </w:tc>
        <w:tc>
          <w:tcPr>
            <w:tcW w:w="6001" w:type="dxa"/>
            <w:tcBorders>
              <w:left w:val="single" w:sz="6" w:space="0" w:color="FFFFFF" w:themeColor="background1"/>
              <w:right w:val="single" w:sz="6" w:space="0" w:color="FFFFFF" w:themeColor="background1"/>
            </w:tcBorders>
            <w:vAlign w:val="center"/>
          </w:tcPr>
          <w:p w14:paraId="3A693D26" w14:textId="77777777" w:rsidR="003655CD" w:rsidRDefault="003655CD" w:rsidP="00A15F59">
            <w:pPr>
              <w:spacing w:beforeLines="25" w:before="60" w:afterLines="25" w:after="60"/>
              <w:rPr>
                <w:b/>
                <w:bCs/>
                <w:szCs w:val="20"/>
              </w:rPr>
            </w:pPr>
            <w:r w:rsidRPr="007F7338">
              <w:rPr>
                <w:b/>
                <w:bCs/>
                <w:szCs w:val="20"/>
              </w:rPr>
              <w:t>TRUE</w:t>
            </w:r>
          </w:p>
          <w:p w14:paraId="2C82778E" w14:textId="77777777" w:rsidR="007F7338" w:rsidRDefault="007F7338" w:rsidP="00A15F59">
            <w:pPr>
              <w:spacing w:beforeLines="25" w:before="60" w:afterLines="25" w:after="60"/>
            </w:pPr>
            <w:r>
              <w:t xml:space="preserve">Aminoglycosides </w:t>
            </w:r>
            <w:r w:rsidRPr="00C0382F">
              <w:t>are hydrophilic drugs that are distributed into lean tissue,</w:t>
            </w:r>
            <w:r>
              <w:t xml:space="preserve"> therefore lean body weight </w:t>
            </w:r>
            <w:r w:rsidR="00DE0E97">
              <w:t xml:space="preserve">is the most accurate weight descriptor for calculating aminoglycoside doses. </w:t>
            </w:r>
            <w:r w:rsidR="00236201">
              <w:t xml:space="preserve">Aminoglycoside dose calculators are available in the </w:t>
            </w:r>
            <w:r w:rsidR="00236201" w:rsidRPr="00236201">
              <w:rPr>
                <w:i/>
                <w:iCs/>
              </w:rPr>
              <w:t>Therapeutic Guidelines: Antibiotic</w:t>
            </w:r>
            <w:r w:rsidR="00236201">
              <w:t xml:space="preserve">. </w:t>
            </w:r>
            <w:r>
              <w:t xml:space="preserve"> </w:t>
            </w:r>
          </w:p>
          <w:p w14:paraId="2EEBE09D" w14:textId="77777777" w:rsidR="00236201" w:rsidRPr="00236201" w:rsidRDefault="00236201" w:rsidP="00A15F59">
            <w:pPr>
              <w:spacing w:beforeLines="25" w:before="60" w:afterLines="25" w:after="60"/>
              <w:rPr>
                <w:szCs w:val="20"/>
              </w:rPr>
            </w:pPr>
            <w:r w:rsidRPr="00236201">
              <w:rPr>
                <w:szCs w:val="20"/>
              </w:rPr>
              <w:t>Reference</w:t>
            </w:r>
          </w:p>
          <w:p w14:paraId="73CAE786" w14:textId="52B8690F" w:rsidR="002003A3" w:rsidRPr="00236201" w:rsidRDefault="00236201" w:rsidP="00A15F59">
            <w:pPr>
              <w:spacing w:beforeLines="25" w:before="60" w:afterLines="25" w:after="60"/>
            </w:pPr>
            <w:hyperlink r:id="rId16" w:history="1">
              <w:r w:rsidRPr="0026799E">
                <w:rPr>
                  <w:rStyle w:val="Hyperlink"/>
                </w:rPr>
                <w:t>www.tg.org.au</w:t>
              </w:r>
            </w:hyperlink>
            <w:r>
              <w:t xml:space="preserve"> </w:t>
            </w:r>
          </w:p>
        </w:tc>
      </w:tr>
      <w:tr w:rsidR="003655CD" w:rsidRPr="00072AF5" w14:paraId="054B7468" w14:textId="77777777" w:rsidTr="002003A3">
        <w:tc>
          <w:tcPr>
            <w:tcW w:w="2835" w:type="dxa"/>
            <w:tcBorders>
              <w:right w:val="single" w:sz="6" w:space="0" w:color="FFFFFF" w:themeColor="background1"/>
            </w:tcBorders>
            <w:vAlign w:val="center"/>
          </w:tcPr>
          <w:p w14:paraId="31CBC856" w14:textId="63230FBE" w:rsidR="003655CD" w:rsidRPr="003655CD" w:rsidRDefault="00CE4C60" w:rsidP="003655CD">
            <w:pPr>
              <w:pStyle w:val="ListParagraph"/>
              <w:numPr>
                <w:ilvl w:val="0"/>
                <w:numId w:val="8"/>
              </w:numPr>
            </w:pPr>
            <w:r>
              <w:t>In 2024, l</w:t>
            </w:r>
            <w:r w:rsidR="003655CD" w:rsidRPr="00C0382F">
              <w:t xml:space="preserve">ess than a quarter of Australians had at least one antimicrobial dispensed in the community. </w:t>
            </w:r>
          </w:p>
        </w:tc>
        <w:tc>
          <w:tcPr>
            <w:tcW w:w="6001" w:type="dxa"/>
            <w:tcBorders>
              <w:left w:val="single" w:sz="6" w:space="0" w:color="FFFFFF" w:themeColor="background1"/>
              <w:right w:val="single" w:sz="6" w:space="0" w:color="FFFFFF" w:themeColor="background1"/>
            </w:tcBorders>
            <w:vAlign w:val="center"/>
          </w:tcPr>
          <w:p w14:paraId="63A3ACE1" w14:textId="77777777" w:rsidR="003655CD" w:rsidRPr="00E9510D" w:rsidRDefault="003655CD" w:rsidP="00A15F59">
            <w:pPr>
              <w:spacing w:beforeLines="25" w:before="60" w:afterLines="25" w:after="60"/>
              <w:rPr>
                <w:b/>
                <w:bCs/>
                <w:szCs w:val="20"/>
              </w:rPr>
            </w:pPr>
            <w:r w:rsidRPr="00E9510D">
              <w:rPr>
                <w:b/>
                <w:bCs/>
                <w:szCs w:val="20"/>
              </w:rPr>
              <w:t>FALSE</w:t>
            </w:r>
          </w:p>
          <w:p w14:paraId="0AB58CFD" w14:textId="77777777" w:rsidR="00E9510D" w:rsidRDefault="00373406" w:rsidP="00A15F59">
            <w:pPr>
              <w:spacing w:beforeLines="25" w:before="60" w:afterLines="25" w:after="60"/>
              <w:rPr>
                <w:szCs w:val="20"/>
              </w:rPr>
            </w:pPr>
            <w:r>
              <w:rPr>
                <w:szCs w:val="20"/>
              </w:rPr>
              <w:t>A little over one-third of Australians had at least one antimicro</w:t>
            </w:r>
            <w:r w:rsidR="003F09C1">
              <w:rPr>
                <w:szCs w:val="20"/>
              </w:rPr>
              <w:t xml:space="preserve">bial dispensed in 2024, with rates much higher for older Australians. </w:t>
            </w:r>
          </w:p>
          <w:p w14:paraId="44AF0B17" w14:textId="77777777" w:rsidR="003F09C1" w:rsidRDefault="003F09C1" w:rsidP="00A15F59">
            <w:pPr>
              <w:spacing w:beforeLines="25" w:before="60" w:afterLines="25" w:after="60"/>
              <w:rPr>
                <w:szCs w:val="20"/>
              </w:rPr>
            </w:pPr>
            <w:r>
              <w:rPr>
                <w:szCs w:val="20"/>
              </w:rPr>
              <w:t>Reference</w:t>
            </w:r>
          </w:p>
          <w:p w14:paraId="71D14B87" w14:textId="42C532F3" w:rsidR="002003A3" w:rsidRPr="00E9510D" w:rsidRDefault="00D60665" w:rsidP="00A15F59">
            <w:pPr>
              <w:spacing w:beforeLines="25" w:before="60" w:afterLines="25" w:after="60"/>
              <w:rPr>
                <w:szCs w:val="20"/>
              </w:rPr>
            </w:pPr>
            <w:hyperlink r:id="rId17" w:history="1">
              <w:r>
                <w:rPr>
                  <w:rStyle w:val="Hyperlink"/>
                  <w:szCs w:val="20"/>
                </w:rPr>
                <w:t>safetyandquality.gov.au/community-antimicrobial-use-2024</w:t>
              </w:r>
            </w:hyperlink>
          </w:p>
        </w:tc>
      </w:tr>
      <w:tr w:rsidR="003655CD" w:rsidRPr="00072AF5" w14:paraId="3F4CD9FF" w14:textId="77777777" w:rsidTr="002003A3">
        <w:trPr>
          <w:cnfStyle w:val="000000010000" w:firstRow="0" w:lastRow="0" w:firstColumn="0" w:lastColumn="0" w:oddVBand="0" w:evenVBand="0" w:oddHBand="0" w:evenHBand="1" w:firstRowFirstColumn="0" w:firstRowLastColumn="0" w:lastRowFirstColumn="0" w:lastRowLastColumn="0"/>
        </w:trPr>
        <w:tc>
          <w:tcPr>
            <w:tcW w:w="2835" w:type="dxa"/>
            <w:tcBorders>
              <w:right w:val="single" w:sz="6" w:space="0" w:color="FFFFFF" w:themeColor="background1"/>
            </w:tcBorders>
            <w:vAlign w:val="center"/>
          </w:tcPr>
          <w:p w14:paraId="0B1AD0E9" w14:textId="303B82A3" w:rsidR="003655CD" w:rsidRPr="003655CD" w:rsidRDefault="003655CD" w:rsidP="003655CD">
            <w:pPr>
              <w:pStyle w:val="ListParagraph"/>
              <w:numPr>
                <w:ilvl w:val="0"/>
                <w:numId w:val="8"/>
              </w:numPr>
            </w:pPr>
            <w:r w:rsidRPr="00C0382F">
              <w:t xml:space="preserve">The health system does not contribute to greenhouse gas emissions. </w:t>
            </w:r>
          </w:p>
        </w:tc>
        <w:tc>
          <w:tcPr>
            <w:tcW w:w="6001" w:type="dxa"/>
            <w:tcBorders>
              <w:left w:val="single" w:sz="6" w:space="0" w:color="FFFFFF" w:themeColor="background1"/>
              <w:right w:val="single" w:sz="6" w:space="0" w:color="FFFFFF" w:themeColor="background1"/>
            </w:tcBorders>
            <w:vAlign w:val="center"/>
          </w:tcPr>
          <w:p w14:paraId="4DAC6DAA" w14:textId="77777777" w:rsidR="003655CD" w:rsidRDefault="003655CD" w:rsidP="00A15F59">
            <w:pPr>
              <w:spacing w:beforeLines="25" w:before="60" w:afterLines="25" w:after="60"/>
              <w:rPr>
                <w:b/>
                <w:bCs/>
                <w:szCs w:val="20"/>
              </w:rPr>
            </w:pPr>
            <w:r w:rsidRPr="00E9510D">
              <w:rPr>
                <w:b/>
                <w:bCs/>
                <w:szCs w:val="20"/>
              </w:rPr>
              <w:t>FALSE</w:t>
            </w:r>
          </w:p>
          <w:p w14:paraId="6F841370" w14:textId="77777777" w:rsidR="00A34054" w:rsidRDefault="00B504AC" w:rsidP="00A15F59">
            <w:pPr>
              <w:spacing w:beforeLines="25" w:before="60" w:afterLines="25" w:after="60"/>
              <w:rPr>
                <w:szCs w:val="20"/>
              </w:rPr>
            </w:pPr>
            <w:r w:rsidRPr="009C3454">
              <w:rPr>
                <w:szCs w:val="20"/>
              </w:rPr>
              <w:t>Globally, it is estimated that the health care sector</w:t>
            </w:r>
            <w:r w:rsidR="009C3454" w:rsidRPr="009C3454">
              <w:rPr>
                <w:szCs w:val="20"/>
              </w:rPr>
              <w:t xml:space="preserve"> is responsible for over 5% of total greenhouse gas emissions.</w:t>
            </w:r>
          </w:p>
          <w:p w14:paraId="16489C89" w14:textId="77777777" w:rsidR="009C3454" w:rsidRDefault="009C3454" w:rsidP="00A15F59">
            <w:pPr>
              <w:spacing w:beforeLines="25" w:before="60" w:afterLines="25" w:after="60"/>
              <w:rPr>
                <w:szCs w:val="20"/>
              </w:rPr>
            </w:pPr>
            <w:r>
              <w:rPr>
                <w:szCs w:val="20"/>
              </w:rPr>
              <w:t>Reference</w:t>
            </w:r>
          </w:p>
          <w:p w14:paraId="1ECD268E" w14:textId="22407709" w:rsidR="002003A3" w:rsidRPr="009C3454" w:rsidRDefault="009C3454" w:rsidP="00A15F59">
            <w:pPr>
              <w:spacing w:beforeLines="25" w:before="60" w:afterLines="25" w:after="60"/>
              <w:rPr>
                <w:szCs w:val="20"/>
              </w:rPr>
            </w:pPr>
            <w:hyperlink r:id="rId18" w:history="1">
              <w:r w:rsidRPr="00B4466A">
                <w:rPr>
                  <w:rStyle w:val="Hyperlink"/>
                  <w:szCs w:val="20"/>
                </w:rPr>
                <w:t>www.health.gov.au/resources/publications/national-health-and-climate-strategy?language=en</w:t>
              </w:r>
            </w:hyperlink>
            <w:r>
              <w:rPr>
                <w:szCs w:val="20"/>
              </w:rPr>
              <w:t xml:space="preserve"> </w:t>
            </w:r>
          </w:p>
        </w:tc>
      </w:tr>
      <w:tr w:rsidR="003655CD" w:rsidRPr="00072AF5" w14:paraId="01B361F9" w14:textId="77777777" w:rsidTr="002003A3">
        <w:tc>
          <w:tcPr>
            <w:tcW w:w="2835" w:type="dxa"/>
            <w:tcBorders>
              <w:right w:val="single" w:sz="6" w:space="0" w:color="FFFFFF" w:themeColor="background1"/>
            </w:tcBorders>
            <w:vAlign w:val="center"/>
          </w:tcPr>
          <w:p w14:paraId="715076BD" w14:textId="4A2A7B07" w:rsidR="003655CD" w:rsidRPr="003655CD" w:rsidRDefault="003655CD" w:rsidP="003655CD">
            <w:pPr>
              <w:pStyle w:val="ListParagraph"/>
              <w:numPr>
                <w:ilvl w:val="0"/>
                <w:numId w:val="8"/>
              </w:numPr>
            </w:pPr>
            <w:r w:rsidRPr="00C0382F">
              <w:t xml:space="preserve">Reviewing antimicrobial therapy at 48 to 72 hours is good practice. </w:t>
            </w:r>
          </w:p>
        </w:tc>
        <w:tc>
          <w:tcPr>
            <w:tcW w:w="6001" w:type="dxa"/>
            <w:tcBorders>
              <w:left w:val="single" w:sz="6" w:space="0" w:color="FFFFFF" w:themeColor="background1"/>
              <w:right w:val="single" w:sz="6" w:space="0" w:color="FFFFFF" w:themeColor="background1"/>
            </w:tcBorders>
            <w:vAlign w:val="center"/>
          </w:tcPr>
          <w:p w14:paraId="39AC6AFD" w14:textId="77777777" w:rsidR="003655CD" w:rsidRDefault="003655CD" w:rsidP="00A15F59">
            <w:pPr>
              <w:spacing w:beforeLines="25" w:before="60" w:afterLines="25" w:after="60"/>
              <w:rPr>
                <w:b/>
                <w:bCs/>
                <w:szCs w:val="20"/>
              </w:rPr>
            </w:pPr>
            <w:r w:rsidRPr="00E9510D">
              <w:rPr>
                <w:b/>
                <w:bCs/>
                <w:szCs w:val="20"/>
              </w:rPr>
              <w:t>TRUE</w:t>
            </w:r>
          </w:p>
          <w:p w14:paraId="2FD063F4" w14:textId="6BB3CAFB" w:rsidR="00604421" w:rsidRDefault="00604421" w:rsidP="00A15F59">
            <w:pPr>
              <w:spacing w:beforeLines="25" w:before="60" w:afterLines="25" w:after="60"/>
              <w:rPr>
                <w:szCs w:val="20"/>
              </w:rPr>
            </w:pPr>
            <w:r w:rsidRPr="00604421">
              <w:rPr>
                <w:szCs w:val="20"/>
              </w:rPr>
              <w:t xml:space="preserve">Antimicrobial therapy should be reviewed at 48 to 72 hours </w:t>
            </w:r>
            <w:r>
              <w:rPr>
                <w:szCs w:val="20"/>
              </w:rPr>
              <w:t xml:space="preserve">to assess if antimicrobials can be narrowed, stepped down to oral or ceased. </w:t>
            </w:r>
          </w:p>
          <w:p w14:paraId="696D15AB" w14:textId="77777777" w:rsidR="00604421" w:rsidRDefault="00604421" w:rsidP="00A15F59">
            <w:pPr>
              <w:spacing w:beforeLines="25" w:before="60" w:afterLines="25" w:after="60"/>
              <w:rPr>
                <w:szCs w:val="20"/>
              </w:rPr>
            </w:pPr>
            <w:r w:rsidRPr="00236201">
              <w:rPr>
                <w:szCs w:val="20"/>
              </w:rPr>
              <w:t>Reference</w:t>
            </w:r>
          </w:p>
          <w:p w14:paraId="36E81D28" w14:textId="0CCA5FAA" w:rsidR="002003A3" w:rsidRPr="002003A3" w:rsidRDefault="00AA58C2" w:rsidP="00A15F59">
            <w:pPr>
              <w:spacing w:beforeLines="25" w:before="60" w:afterLines="25" w:after="60"/>
            </w:pPr>
            <w:hyperlink r:id="rId19" w:history="1">
              <w:r w:rsidRPr="00825FC0">
                <w:rPr>
                  <w:rStyle w:val="Hyperlink"/>
                </w:rPr>
                <w:t>www.tg.org.au</w:t>
              </w:r>
            </w:hyperlink>
          </w:p>
        </w:tc>
      </w:tr>
      <w:tr w:rsidR="003655CD" w:rsidRPr="00072AF5" w14:paraId="7B23F1A3" w14:textId="77777777" w:rsidTr="002003A3">
        <w:trPr>
          <w:cnfStyle w:val="000000010000" w:firstRow="0" w:lastRow="0" w:firstColumn="0" w:lastColumn="0" w:oddVBand="0" w:evenVBand="0" w:oddHBand="0" w:evenHBand="1" w:firstRowFirstColumn="0" w:firstRowLastColumn="0" w:lastRowFirstColumn="0" w:lastRowLastColumn="0"/>
        </w:trPr>
        <w:tc>
          <w:tcPr>
            <w:tcW w:w="2835" w:type="dxa"/>
            <w:tcBorders>
              <w:right w:val="single" w:sz="6" w:space="0" w:color="FFFFFF" w:themeColor="background1"/>
            </w:tcBorders>
            <w:vAlign w:val="center"/>
          </w:tcPr>
          <w:p w14:paraId="526FF314" w14:textId="1DCF56A3" w:rsidR="003655CD" w:rsidRPr="003655CD" w:rsidRDefault="00CE4C60" w:rsidP="003655CD">
            <w:pPr>
              <w:pStyle w:val="ListParagraph"/>
              <w:numPr>
                <w:ilvl w:val="0"/>
                <w:numId w:val="8"/>
              </w:numPr>
            </w:pPr>
            <w:r>
              <w:t xml:space="preserve">In 2024, </w:t>
            </w:r>
            <w:r w:rsidR="003655CD" w:rsidRPr="00C0382F">
              <w:t>Carbapen</w:t>
            </w:r>
            <w:r w:rsidR="008D5F20">
              <w:t>e</w:t>
            </w:r>
            <w:r w:rsidR="003655CD" w:rsidRPr="00C0382F">
              <w:t>mase</w:t>
            </w:r>
            <w:r w:rsidR="008D5F20">
              <w:t>-</w:t>
            </w:r>
            <w:r w:rsidR="003655CD" w:rsidRPr="00C0382F">
              <w:t xml:space="preserve">producing </w:t>
            </w:r>
            <w:r w:rsidR="008D5F20" w:rsidRPr="008D5F20">
              <w:rPr>
                <w:i/>
                <w:iCs/>
              </w:rPr>
              <w:t>E</w:t>
            </w:r>
            <w:r w:rsidR="003655CD" w:rsidRPr="008D5F20">
              <w:rPr>
                <w:i/>
                <w:iCs/>
              </w:rPr>
              <w:t>nterobacterales</w:t>
            </w:r>
            <w:r w:rsidR="003655CD" w:rsidRPr="00C0382F">
              <w:t xml:space="preserve"> were the most reported critical antimicrobial resistance reported in Australia.</w:t>
            </w:r>
          </w:p>
        </w:tc>
        <w:tc>
          <w:tcPr>
            <w:tcW w:w="6001" w:type="dxa"/>
            <w:tcBorders>
              <w:left w:val="single" w:sz="6" w:space="0" w:color="FFFFFF" w:themeColor="background1"/>
              <w:right w:val="single" w:sz="6" w:space="0" w:color="FFFFFF" w:themeColor="background1"/>
            </w:tcBorders>
            <w:vAlign w:val="center"/>
          </w:tcPr>
          <w:p w14:paraId="3148AE36" w14:textId="77777777" w:rsidR="003655CD" w:rsidRDefault="003655CD" w:rsidP="00A15F59">
            <w:pPr>
              <w:spacing w:beforeLines="25" w:before="60" w:afterLines="25" w:after="60"/>
              <w:rPr>
                <w:b/>
                <w:bCs/>
                <w:szCs w:val="20"/>
              </w:rPr>
            </w:pPr>
            <w:r w:rsidRPr="00E9510D">
              <w:rPr>
                <w:b/>
                <w:bCs/>
                <w:szCs w:val="20"/>
              </w:rPr>
              <w:t>TRUE</w:t>
            </w:r>
          </w:p>
          <w:p w14:paraId="55E945C6" w14:textId="202F0A59" w:rsidR="00604421" w:rsidRDefault="00C635B4" w:rsidP="00A15F59">
            <w:pPr>
              <w:spacing w:beforeLines="25" w:before="60" w:afterLines="25" w:after="60"/>
              <w:rPr>
                <w:szCs w:val="20"/>
              </w:rPr>
            </w:pPr>
            <w:r w:rsidRPr="002003A3">
              <w:rPr>
                <w:szCs w:val="20"/>
              </w:rPr>
              <w:t>Carbapen</w:t>
            </w:r>
            <w:r w:rsidR="008D5F20">
              <w:rPr>
                <w:szCs w:val="20"/>
              </w:rPr>
              <w:t>e</w:t>
            </w:r>
            <w:r w:rsidRPr="002003A3">
              <w:rPr>
                <w:szCs w:val="20"/>
              </w:rPr>
              <w:t>mase</w:t>
            </w:r>
            <w:r w:rsidR="008D5F20">
              <w:rPr>
                <w:szCs w:val="20"/>
              </w:rPr>
              <w:t>-</w:t>
            </w:r>
            <w:r w:rsidR="007D1429" w:rsidRPr="002003A3">
              <w:rPr>
                <w:szCs w:val="20"/>
              </w:rPr>
              <w:t xml:space="preserve">producing </w:t>
            </w:r>
            <w:r w:rsidR="008D5F20" w:rsidRPr="008D5F20">
              <w:rPr>
                <w:i/>
                <w:iCs/>
                <w:szCs w:val="20"/>
              </w:rPr>
              <w:t>E</w:t>
            </w:r>
            <w:r w:rsidR="007D1429" w:rsidRPr="008D5F20">
              <w:rPr>
                <w:i/>
                <w:iCs/>
                <w:szCs w:val="20"/>
              </w:rPr>
              <w:t>nterobacterales</w:t>
            </w:r>
            <w:r w:rsidR="007D1429" w:rsidRPr="002003A3">
              <w:rPr>
                <w:szCs w:val="20"/>
              </w:rPr>
              <w:t xml:space="preserve"> were the most frequently reported critical antimicrobial resistance (45.1%) in 2024</w:t>
            </w:r>
            <w:r w:rsidR="002003A3" w:rsidRPr="002003A3">
              <w:rPr>
                <w:szCs w:val="20"/>
              </w:rPr>
              <w:t xml:space="preserve"> and </w:t>
            </w:r>
            <w:r w:rsidR="00CE4C60">
              <w:rPr>
                <w:szCs w:val="20"/>
              </w:rPr>
              <w:t>remain</w:t>
            </w:r>
            <w:r w:rsidR="002003A3" w:rsidRPr="002003A3">
              <w:rPr>
                <w:szCs w:val="20"/>
              </w:rPr>
              <w:t xml:space="preserve"> a concern for patient safety. </w:t>
            </w:r>
          </w:p>
          <w:p w14:paraId="7E5BE1DD" w14:textId="77777777" w:rsidR="002003A3" w:rsidRDefault="002003A3" w:rsidP="00A15F59">
            <w:pPr>
              <w:spacing w:beforeLines="25" w:before="60" w:afterLines="25" w:after="60"/>
              <w:rPr>
                <w:szCs w:val="20"/>
              </w:rPr>
            </w:pPr>
            <w:r>
              <w:rPr>
                <w:szCs w:val="20"/>
              </w:rPr>
              <w:t>Reference</w:t>
            </w:r>
          </w:p>
          <w:p w14:paraId="2BCD3982" w14:textId="4CD4616B" w:rsidR="002003A3" w:rsidRPr="002003A3" w:rsidRDefault="002003A3" w:rsidP="00A15F59">
            <w:pPr>
              <w:spacing w:beforeLines="25" w:before="60" w:afterLines="25" w:after="60"/>
              <w:rPr>
                <w:szCs w:val="20"/>
              </w:rPr>
            </w:pPr>
            <w:hyperlink r:id="rId20" w:history="1">
              <w:r w:rsidRPr="00B4466A">
                <w:rPr>
                  <w:rStyle w:val="Hyperlink"/>
                  <w:szCs w:val="20"/>
                </w:rPr>
                <w:t>www.safetyandquality.gov.au/publications-and-resources/resource-library/caralert-annual-report-2024</w:t>
              </w:r>
            </w:hyperlink>
            <w:r>
              <w:rPr>
                <w:szCs w:val="20"/>
              </w:rPr>
              <w:t xml:space="preserve"> </w:t>
            </w:r>
          </w:p>
        </w:tc>
      </w:tr>
    </w:tbl>
    <w:p w14:paraId="35AC6EC2" w14:textId="77777777" w:rsidR="002003A3" w:rsidRDefault="002003A3" w:rsidP="004F4210">
      <w:pPr>
        <w:rPr>
          <w:b/>
          <w:bCs/>
        </w:rPr>
      </w:pPr>
    </w:p>
    <w:p w14:paraId="20F2215B" w14:textId="0032BDEA" w:rsidR="004F4210" w:rsidRPr="004F4210" w:rsidRDefault="004F4210" w:rsidP="004F4210">
      <w:pPr>
        <w:rPr>
          <w:b/>
          <w:bCs/>
        </w:rPr>
      </w:pPr>
      <w:r w:rsidRPr="004F4210">
        <w:rPr>
          <w:b/>
          <w:bCs/>
        </w:rPr>
        <w:t>For more information</w:t>
      </w:r>
    </w:p>
    <w:p w14:paraId="03F66B24" w14:textId="3AC0641A" w:rsidR="004F4210" w:rsidRDefault="004F4210" w:rsidP="004F4210">
      <w:r>
        <w:t xml:space="preserve">Please visit: </w:t>
      </w:r>
      <w:hyperlink r:id="rId21" w:history="1">
        <w:r w:rsidR="00D60665">
          <w:rPr>
            <w:rStyle w:val="Hyperlink"/>
          </w:rPr>
          <w:t>safetyandquality.gov.au/</w:t>
        </w:r>
        <w:r w:rsidR="00AA58C2">
          <w:rPr>
            <w:rStyle w:val="Hyperlink"/>
          </w:rPr>
          <w:t>AMS</w:t>
        </w:r>
      </w:hyperlink>
      <w:r w:rsidR="00753C9D">
        <w:t xml:space="preserve"> </w:t>
      </w:r>
    </w:p>
    <w:p w14:paraId="1F78F7B5" w14:textId="204316AC" w:rsidR="004F4210" w:rsidRDefault="004F4210" w:rsidP="004F4210">
      <w:pPr>
        <w:rPr>
          <w:color w:val="EE0000"/>
        </w:rPr>
      </w:pPr>
      <w:r>
        <w:t xml:space="preserve">© Australian Commission on Safety and Quality in Health Care </w:t>
      </w:r>
      <w:r w:rsidRPr="00753C9D">
        <w:rPr>
          <w:color w:val="auto"/>
        </w:rPr>
        <w:t>20</w:t>
      </w:r>
      <w:r w:rsidR="00753C9D">
        <w:rPr>
          <w:color w:val="auto"/>
        </w:rPr>
        <w:t>25</w:t>
      </w:r>
    </w:p>
    <w:p w14:paraId="30119526" w14:textId="239FD190" w:rsidR="003734D9" w:rsidRPr="003734D9" w:rsidRDefault="003734D9" w:rsidP="004F4210">
      <w:pPr>
        <w:rPr>
          <w:color w:val="EE0000"/>
        </w:rPr>
      </w:pPr>
    </w:p>
    <w:sectPr w:rsidR="003734D9" w:rsidRPr="003734D9" w:rsidSect="00381281">
      <w:headerReference w:type="default" r:id="rId22"/>
      <w:footerReference w:type="default" r:id="rId23"/>
      <w:headerReference w:type="first" r:id="rId24"/>
      <w:footerReference w:type="first" r:id="rId25"/>
      <w:pgSz w:w="11906" w:h="16838" w:code="9"/>
      <w:pgMar w:top="2268" w:right="1531" w:bottom="1361" w:left="153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E62F" w14:textId="77777777" w:rsidR="009E3E25" w:rsidRDefault="009E3E25" w:rsidP="001D0AFC">
      <w:r>
        <w:separator/>
      </w:r>
    </w:p>
    <w:p w14:paraId="13A575C3" w14:textId="77777777" w:rsidR="009E3E25" w:rsidRDefault="009E3E25"/>
    <w:p w14:paraId="4DA387C4" w14:textId="77777777" w:rsidR="009E3E25" w:rsidRDefault="009E3E25"/>
    <w:p w14:paraId="159C4073" w14:textId="77777777" w:rsidR="009E3E25" w:rsidRDefault="009E3E25"/>
  </w:endnote>
  <w:endnote w:type="continuationSeparator" w:id="0">
    <w:p w14:paraId="79C33DC1" w14:textId="77777777" w:rsidR="009E3E25" w:rsidRDefault="009E3E25" w:rsidP="001D0AFC">
      <w:r>
        <w:continuationSeparator/>
      </w:r>
    </w:p>
    <w:p w14:paraId="52251E15" w14:textId="77777777" w:rsidR="009E3E25" w:rsidRDefault="009E3E25"/>
    <w:p w14:paraId="74FFE6F7" w14:textId="77777777" w:rsidR="009E3E25" w:rsidRDefault="009E3E25"/>
    <w:p w14:paraId="184C7BAF" w14:textId="77777777" w:rsidR="009E3E25" w:rsidRDefault="009E3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08EE" w14:textId="7209D008" w:rsidR="00A2648F" w:rsidRPr="00A2648F" w:rsidRDefault="00A2648F" w:rsidP="00A2648F">
    <w:pPr>
      <w:pStyle w:val="Footer"/>
      <w:ind w:left="284"/>
      <w:rPr>
        <w:b/>
        <w:bCs/>
      </w:rPr>
    </w:pPr>
    <w:r w:rsidRPr="002003A3">
      <w:rPr>
        <w:noProof/>
        <w:color w:val="auto"/>
      </w:rPr>
      <w:drawing>
        <wp:anchor distT="0" distB="0" distL="114300" distR="114300" simplePos="0" relativeHeight="251659264" behindDoc="0" locked="0" layoutInCell="1" allowOverlap="1" wp14:anchorId="738E27EB" wp14:editId="2F9E63C6">
          <wp:simplePos x="0" y="0"/>
          <wp:positionH relativeFrom="column">
            <wp:posOffset>0</wp:posOffset>
          </wp:positionH>
          <wp:positionV relativeFrom="paragraph">
            <wp:posOffset>-27432</wp:posOffset>
          </wp:positionV>
          <wp:extent cx="138948" cy="180000"/>
          <wp:effectExtent l="0" t="0" r="0" b="0"/>
          <wp:wrapNone/>
          <wp:docPr id="144122277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277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3A3" w:rsidRPr="002003A3">
      <w:rPr>
        <w:color w:val="auto"/>
      </w:rPr>
      <w:t xml:space="preserve">Clinician quiz with answers </w:t>
    </w:r>
    <w:r w:rsidR="002003A3" w:rsidRPr="002003A3">
      <w:rPr>
        <w:rFonts w:cstheme="minorHAnsi"/>
        <w:color w:val="auto"/>
      </w:rPr>
      <w:t>–</w:t>
    </w:r>
    <w:r w:rsidR="002003A3" w:rsidRPr="002003A3">
      <w:rPr>
        <w:color w:val="auto"/>
      </w:rPr>
      <w:t xml:space="preserve"> World AMR Awareness Week</w:t>
    </w:r>
    <w:r w:rsidR="00E27A46">
      <w:rPr>
        <w:color w:val="auto"/>
      </w:rPr>
      <w:t xml:space="preserve"> 2025</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1</w:t>
    </w:r>
    <w:r w:rsidRPr="00E74653">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EABC" w14:textId="5C57C56B" w:rsidR="00BB429E" w:rsidRPr="00BB429E" w:rsidRDefault="00BB429E" w:rsidP="00BB429E">
    <w:pPr>
      <w:pStyle w:val="Footer"/>
      <w:ind w:left="284"/>
      <w:rPr>
        <w:b/>
        <w:bCs/>
      </w:rPr>
    </w:pPr>
    <w:r w:rsidRPr="00145E92">
      <w:rPr>
        <w:noProof/>
      </w:rPr>
      <w:drawing>
        <wp:anchor distT="0" distB="0" distL="114300" distR="114300" simplePos="0" relativeHeight="251665408" behindDoc="0" locked="0" layoutInCell="1" allowOverlap="1" wp14:anchorId="235310D7" wp14:editId="44B9C7DF">
          <wp:simplePos x="0" y="0"/>
          <wp:positionH relativeFrom="column">
            <wp:posOffset>0</wp:posOffset>
          </wp:positionH>
          <wp:positionV relativeFrom="paragraph">
            <wp:posOffset>-27432</wp:posOffset>
          </wp:positionV>
          <wp:extent cx="138948" cy="180000"/>
          <wp:effectExtent l="0" t="0" r="0" b="0"/>
          <wp:wrapNone/>
          <wp:docPr id="61337974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7974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E92" w:rsidRPr="00145E92">
      <w:t>World AMR Awareness Week – Clinician quiz with answers</w:t>
    </w:r>
    <w:r w:rsidR="00C8732E">
      <w:t xml:space="preserve"> 2025</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3</w:t>
    </w:r>
    <w:r w:rsidRPr="00E7465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9478" w14:textId="77777777" w:rsidR="009E3E25" w:rsidRDefault="009E3E25" w:rsidP="001D0AFC">
      <w:r>
        <w:separator/>
      </w:r>
    </w:p>
    <w:p w14:paraId="3588B6BB" w14:textId="77777777" w:rsidR="009E3E25" w:rsidRDefault="009E3E25"/>
  </w:footnote>
  <w:footnote w:type="continuationSeparator" w:id="0">
    <w:p w14:paraId="49B8B346" w14:textId="77777777" w:rsidR="009E3E25" w:rsidRDefault="009E3E25" w:rsidP="001D0AFC">
      <w:r>
        <w:continuationSeparator/>
      </w:r>
    </w:p>
    <w:p w14:paraId="4DC2720D" w14:textId="77777777" w:rsidR="009E3E25" w:rsidRDefault="009E3E25"/>
  </w:footnote>
  <w:footnote w:type="continuationNotice" w:id="1">
    <w:p w14:paraId="4A21B52F" w14:textId="77777777" w:rsidR="009E3E25" w:rsidRDefault="009E3E25">
      <w:pPr>
        <w:spacing w:before="0" w:after="0"/>
      </w:pPr>
    </w:p>
    <w:p w14:paraId="0A30B07B" w14:textId="77777777" w:rsidR="009E3E25" w:rsidRDefault="009E3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247" w:type="dxa"/>
      <w:tblCellMar>
        <w:left w:w="0" w:type="dxa"/>
        <w:right w:w="0" w:type="dxa"/>
      </w:tblCellMar>
      <w:tblLook w:val="04A0" w:firstRow="1" w:lastRow="0" w:firstColumn="1" w:lastColumn="0" w:noHBand="0" w:noVBand="1"/>
    </w:tblPr>
    <w:tblGrid>
      <w:gridCol w:w="8105"/>
      <w:gridCol w:w="2142"/>
    </w:tblGrid>
    <w:tr w:rsidR="00E6329D" w14:paraId="4648DE05" w14:textId="77777777" w:rsidTr="008450A2">
      <w:trPr>
        <w:trHeight w:hRule="exact" w:val="879"/>
      </w:trPr>
      <w:tc>
        <w:tcPr>
          <w:tcW w:w="8105" w:type="dxa"/>
        </w:tcPr>
        <w:p w14:paraId="72E4699C" w14:textId="77777777" w:rsidR="00E6329D" w:rsidRDefault="00E6329D" w:rsidP="008450A2">
          <w:pPr>
            <w:pStyle w:val="Header"/>
          </w:pPr>
          <w:r w:rsidRPr="009527AE">
            <w:rPr>
              <w:noProof/>
              <w:color w:val="FFFFFF" w:themeColor="background1"/>
              <w:sz w:val="16"/>
              <w:szCs w:val="16"/>
            </w:rPr>
            <w:drawing>
              <wp:inline distT="0" distB="0" distL="0" distR="0" wp14:anchorId="0560D6A7" wp14:editId="6F177FC9">
                <wp:extent cx="1511250" cy="539305"/>
                <wp:effectExtent l="0" t="0" r="0" b="0"/>
                <wp:docPr id="971298621"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8621"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42" w:type="dxa"/>
          <w:vAlign w:val="bottom"/>
        </w:tcPr>
        <w:p w14:paraId="18AB5881" w14:textId="4681225B" w:rsidR="003B3971" w:rsidRPr="003655CD" w:rsidRDefault="00AA58C2" w:rsidP="003B3971">
          <w:pPr>
            <w:pStyle w:val="Header"/>
            <w:rPr>
              <w:b/>
              <w:bCs/>
              <w:color w:val="auto"/>
              <w:sz w:val="18"/>
              <w:szCs w:val="18"/>
            </w:rPr>
          </w:pPr>
          <w:r>
            <w:rPr>
              <w:b/>
              <w:bCs/>
              <w:color w:val="auto"/>
              <w:sz w:val="18"/>
              <w:szCs w:val="18"/>
            </w:rPr>
            <w:t>Quiz</w:t>
          </w:r>
        </w:p>
        <w:p w14:paraId="09D18786" w14:textId="6E312CD8" w:rsidR="00E6329D" w:rsidRDefault="003B3971" w:rsidP="008450A2">
          <w:pPr>
            <w:pStyle w:val="Header"/>
          </w:pPr>
          <w:r w:rsidRPr="003B3971">
            <w:rPr>
              <w:color w:val="auto"/>
              <w:sz w:val="18"/>
              <w:szCs w:val="18"/>
            </w:rPr>
            <w:t xml:space="preserve">World AMR Awareness Week </w:t>
          </w:r>
        </w:p>
      </w:tc>
    </w:tr>
  </w:tbl>
  <w:p w14:paraId="747A4473" w14:textId="77777777" w:rsidR="00E6329D" w:rsidRDefault="00E63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247" w:type="dxa"/>
      <w:tblCellMar>
        <w:left w:w="0" w:type="dxa"/>
        <w:right w:w="0" w:type="dxa"/>
      </w:tblCellMar>
      <w:tblLook w:val="04A0" w:firstRow="1" w:lastRow="0" w:firstColumn="1" w:lastColumn="0" w:noHBand="0" w:noVBand="1"/>
    </w:tblPr>
    <w:tblGrid>
      <w:gridCol w:w="8105"/>
      <w:gridCol w:w="2142"/>
    </w:tblGrid>
    <w:tr w:rsidR="00BB429E" w14:paraId="3253FF14" w14:textId="77777777" w:rsidTr="008450A2">
      <w:trPr>
        <w:trHeight w:hRule="exact" w:val="879"/>
      </w:trPr>
      <w:tc>
        <w:tcPr>
          <w:tcW w:w="8105" w:type="dxa"/>
        </w:tcPr>
        <w:p w14:paraId="75818A40" w14:textId="77777777" w:rsidR="00BB429E" w:rsidRDefault="00BB429E" w:rsidP="008450A2">
          <w:pPr>
            <w:pStyle w:val="Header"/>
          </w:pPr>
          <w:r w:rsidRPr="009527AE">
            <w:rPr>
              <w:noProof/>
              <w:color w:val="FFFFFF" w:themeColor="background1"/>
              <w:sz w:val="16"/>
              <w:szCs w:val="16"/>
            </w:rPr>
            <w:drawing>
              <wp:inline distT="0" distB="0" distL="0" distR="0" wp14:anchorId="6A667114" wp14:editId="770CF769">
                <wp:extent cx="1511250" cy="539305"/>
                <wp:effectExtent l="0" t="0" r="0" b="0"/>
                <wp:docPr id="1453594319"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94319" name="Graphic 11">
                          <a:extLst>
                            <a:ext uri="{FF2B5EF4-FFF2-40B4-BE49-F238E27FC236}">
                              <a16:creationId xmlns:a16="http://schemas.microsoft.com/office/drawing/2014/main" id="{03A7763C-B648-1C2B-592F-16266CACB79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42" w:type="dxa"/>
          <w:vAlign w:val="bottom"/>
        </w:tcPr>
        <w:p w14:paraId="05A19DF5" w14:textId="21CAA72D" w:rsidR="00BB429E" w:rsidRPr="003655CD" w:rsidRDefault="00AA58C2" w:rsidP="008450A2">
          <w:pPr>
            <w:pStyle w:val="Header"/>
            <w:rPr>
              <w:b/>
              <w:bCs/>
              <w:color w:val="auto"/>
              <w:sz w:val="18"/>
              <w:szCs w:val="18"/>
            </w:rPr>
          </w:pPr>
          <w:r>
            <w:rPr>
              <w:b/>
              <w:bCs/>
              <w:color w:val="auto"/>
              <w:sz w:val="18"/>
              <w:szCs w:val="18"/>
            </w:rPr>
            <w:t>Quiz</w:t>
          </w:r>
        </w:p>
        <w:p w14:paraId="24357847" w14:textId="4A18C137" w:rsidR="00BB429E" w:rsidRPr="003655CD" w:rsidRDefault="003655CD" w:rsidP="008450A2">
          <w:pPr>
            <w:pStyle w:val="Header"/>
            <w:rPr>
              <w:color w:val="FF0000"/>
              <w:sz w:val="18"/>
              <w:szCs w:val="18"/>
            </w:rPr>
          </w:pPr>
          <w:r w:rsidRPr="003655CD">
            <w:rPr>
              <w:color w:val="auto"/>
              <w:sz w:val="18"/>
              <w:szCs w:val="18"/>
            </w:rPr>
            <w:t>World AMR Awareness Week</w:t>
          </w:r>
          <w:r w:rsidR="001F5C18">
            <w:rPr>
              <w:color w:val="auto"/>
              <w:sz w:val="18"/>
              <w:szCs w:val="18"/>
            </w:rPr>
            <w:t xml:space="preserve"> 2025</w:t>
          </w:r>
        </w:p>
      </w:tc>
    </w:tr>
  </w:tbl>
  <w:p w14:paraId="5B6D8073" w14:textId="77777777" w:rsidR="00BB429E" w:rsidRPr="00BB429E" w:rsidRDefault="00BB429E" w:rsidP="00BB429E">
    <w:pPr>
      <w:pStyle w:val="Header"/>
    </w:pPr>
    <w:r>
      <w:rPr>
        <w:noProof/>
      </w:rPr>
      <w:drawing>
        <wp:anchor distT="0" distB="0" distL="114300" distR="114300" simplePos="0" relativeHeight="251663360" behindDoc="0" locked="0" layoutInCell="1" allowOverlap="1" wp14:anchorId="477C6D9B" wp14:editId="0B85B3E5">
          <wp:simplePos x="0" y="0"/>
          <wp:positionH relativeFrom="page">
            <wp:align>left</wp:align>
          </wp:positionH>
          <wp:positionV relativeFrom="page">
            <wp:posOffset>1440180</wp:posOffset>
          </wp:positionV>
          <wp:extent cx="7560000" cy="1515600"/>
          <wp:effectExtent l="0" t="0" r="3175" b="8890"/>
          <wp:wrapNone/>
          <wp:docPr id="69882995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2995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D84F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2" w15:restartNumberingAfterBreak="0">
    <w:nsid w:val="4F275FBB"/>
    <w:multiLevelType w:val="hybridMultilevel"/>
    <w:tmpl w:val="52588FA0"/>
    <w:lvl w:ilvl="0" w:tplc="64FC6E1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61F7723"/>
    <w:multiLevelType w:val="multilevel"/>
    <w:tmpl w:val="50D0D142"/>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5" w15:restartNumberingAfterBreak="0">
    <w:nsid w:val="6A477E09"/>
    <w:multiLevelType w:val="hybridMultilevel"/>
    <w:tmpl w:val="6CDEEF0A"/>
    <w:lvl w:ilvl="0" w:tplc="DACECAE8">
      <w:start w:val="1"/>
      <w:numFmt w:val="decimal"/>
      <w:lvlText w:val="%1."/>
      <w:lvlJc w:val="left"/>
      <w:pPr>
        <w:ind w:left="360" w:hanging="360"/>
      </w:pPr>
      <w:rPr>
        <w:rFonts w:hint="default"/>
        <w:b/>
        <w:bCs/>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1F6279A"/>
    <w:multiLevelType w:val="hybridMultilevel"/>
    <w:tmpl w:val="BE428D4E"/>
    <w:lvl w:ilvl="0" w:tplc="70DE524C">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7E4D88"/>
    <w:multiLevelType w:val="multilevel"/>
    <w:tmpl w:val="CA804B2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1"/>
  </w:num>
  <w:num w:numId="2" w16cid:durableId="1231190212">
    <w:abstractNumId w:val="4"/>
  </w:num>
  <w:num w:numId="3" w16cid:durableId="579215263">
    <w:abstractNumId w:val="3"/>
  </w:num>
  <w:num w:numId="4" w16cid:durableId="327100884">
    <w:abstractNumId w:val="7"/>
  </w:num>
  <w:num w:numId="5" w16cid:durableId="844396454">
    <w:abstractNumId w:val="0"/>
  </w:num>
  <w:num w:numId="6" w16cid:durableId="2069956620">
    <w:abstractNumId w:val="6"/>
  </w:num>
  <w:num w:numId="7" w16cid:durableId="1399741967">
    <w:abstractNumId w:val="2"/>
  </w:num>
  <w:num w:numId="8" w16cid:durableId="25343609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3655CD"/>
    <w:rsid w:val="00011EBE"/>
    <w:rsid w:val="000121BA"/>
    <w:rsid w:val="000134CB"/>
    <w:rsid w:val="000136A5"/>
    <w:rsid w:val="00013E33"/>
    <w:rsid w:val="00015555"/>
    <w:rsid w:val="0001627D"/>
    <w:rsid w:val="000164A5"/>
    <w:rsid w:val="00020CF3"/>
    <w:rsid w:val="0002234B"/>
    <w:rsid w:val="000237BA"/>
    <w:rsid w:val="00024813"/>
    <w:rsid w:val="0003148E"/>
    <w:rsid w:val="00032388"/>
    <w:rsid w:val="00033439"/>
    <w:rsid w:val="00034043"/>
    <w:rsid w:val="00035A79"/>
    <w:rsid w:val="000369EA"/>
    <w:rsid w:val="00036FE5"/>
    <w:rsid w:val="00037DE5"/>
    <w:rsid w:val="00041055"/>
    <w:rsid w:val="00044054"/>
    <w:rsid w:val="00046136"/>
    <w:rsid w:val="00053982"/>
    <w:rsid w:val="000555D8"/>
    <w:rsid w:val="00056BC0"/>
    <w:rsid w:val="00061B61"/>
    <w:rsid w:val="00062951"/>
    <w:rsid w:val="000635BC"/>
    <w:rsid w:val="0006369F"/>
    <w:rsid w:val="000658B5"/>
    <w:rsid w:val="00065F7E"/>
    <w:rsid w:val="00072AF5"/>
    <w:rsid w:val="000760F4"/>
    <w:rsid w:val="00080037"/>
    <w:rsid w:val="00081BFA"/>
    <w:rsid w:val="00081F7D"/>
    <w:rsid w:val="00083A58"/>
    <w:rsid w:val="00083FD2"/>
    <w:rsid w:val="0008584C"/>
    <w:rsid w:val="000872A3"/>
    <w:rsid w:val="000904C0"/>
    <w:rsid w:val="00091A80"/>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5598"/>
    <w:rsid w:val="000B5729"/>
    <w:rsid w:val="000B69DC"/>
    <w:rsid w:val="000C0CA6"/>
    <w:rsid w:val="000C1B92"/>
    <w:rsid w:val="000C4291"/>
    <w:rsid w:val="000C5879"/>
    <w:rsid w:val="000D19FF"/>
    <w:rsid w:val="000D22A8"/>
    <w:rsid w:val="000D793D"/>
    <w:rsid w:val="000D7D92"/>
    <w:rsid w:val="000D7F92"/>
    <w:rsid w:val="000E24BA"/>
    <w:rsid w:val="000E552A"/>
    <w:rsid w:val="000E76FA"/>
    <w:rsid w:val="000F0455"/>
    <w:rsid w:val="000F2461"/>
    <w:rsid w:val="000F2EDC"/>
    <w:rsid w:val="000F5A29"/>
    <w:rsid w:val="000F5CB5"/>
    <w:rsid w:val="000F6463"/>
    <w:rsid w:val="000F6579"/>
    <w:rsid w:val="000F7990"/>
    <w:rsid w:val="00100584"/>
    <w:rsid w:val="001010A9"/>
    <w:rsid w:val="00103B28"/>
    <w:rsid w:val="0010640F"/>
    <w:rsid w:val="001068B2"/>
    <w:rsid w:val="00106F60"/>
    <w:rsid w:val="00113EA9"/>
    <w:rsid w:val="001141D0"/>
    <w:rsid w:val="001175CB"/>
    <w:rsid w:val="00117894"/>
    <w:rsid w:val="001178D7"/>
    <w:rsid w:val="0012062F"/>
    <w:rsid w:val="00120E3D"/>
    <w:rsid w:val="001239E7"/>
    <w:rsid w:val="0012449A"/>
    <w:rsid w:val="001279BB"/>
    <w:rsid w:val="00131D34"/>
    <w:rsid w:val="00133783"/>
    <w:rsid w:val="001338BA"/>
    <w:rsid w:val="001368BE"/>
    <w:rsid w:val="00136B50"/>
    <w:rsid w:val="001425A7"/>
    <w:rsid w:val="001432FE"/>
    <w:rsid w:val="00144282"/>
    <w:rsid w:val="00144718"/>
    <w:rsid w:val="00144E74"/>
    <w:rsid w:val="001457C0"/>
    <w:rsid w:val="00145B28"/>
    <w:rsid w:val="00145E92"/>
    <w:rsid w:val="00151F47"/>
    <w:rsid w:val="00152AC1"/>
    <w:rsid w:val="00153AEF"/>
    <w:rsid w:val="001547CB"/>
    <w:rsid w:val="00154C1A"/>
    <w:rsid w:val="00156042"/>
    <w:rsid w:val="001567DD"/>
    <w:rsid w:val="00156D02"/>
    <w:rsid w:val="00157AB6"/>
    <w:rsid w:val="00157CE7"/>
    <w:rsid w:val="00165F83"/>
    <w:rsid w:val="001714D3"/>
    <w:rsid w:val="00174708"/>
    <w:rsid w:val="00182D27"/>
    <w:rsid w:val="00187C93"/>
    <w:rsid w:val="00191178"/>
    <w:rsid w:val="00191513"/>
    <w:rsid w:val="00191CC2"/>
    <w:rsid w:val="00192329"/>
    <w:rsid w:val="00193699"/>
    <w:rsid w:val="00197290"/>
    <w:rsid w:val="0019759D"/>
    <w:rsid w:val="00197ADC"/>
    <w:rsid w:val="00197E66"/>
    <w:rsid w:val="001A03FE"/>
    <w:rsid w:val="001A0E88"/>
    <w:rsid w:val="001A2B7F"/>
    <w:rsid w:val="001A41EB"/>
    <w:rsid w:val="001A4611"/>
    <w:rsid w:val="001A5727"/>
    <w:rsid w:val="001A7D74"/>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7528"/>
    <w:rsid w:val="001D76E4"/>
    <w:rsid w:val="001E3A54"/>
    <w:rsid w:val="001E41E5"/>
    <w:rsid w:val="001E49C9"/>
    <w:rsid w:val="001E50A1"/>
    <w:rsid w:val="001E5108"/>
    <w:rsid w:val="001E5F8E"/>
    <w:rsid w:val="001E7DAF"/>
    <w:rsid w:val="001F1430"/>
    <w:rsid w:val="001F25C8"/>
    <w:rsid w:val="001F3C12"/>
    <w:rsid w:val="001F40EE"/>
    <w:rsid w:val="001F5C18"/>
    <w:rsid w:val="002003A3"/>
    <w:rsid w:val="00202C71"/>
    <w:rsid w:val="00202F7F"/>
    <w:rsid w:val="00207CBE"/>
    <w:rsid w:val="00210409"/>
    <w:rsid w:val="002105F2"/>
    <w:rsid w:val="00210E8D"/>
    <w:rsid w:val="0021123A"/>
    <w:rsid w:val="0021134B"/>
    <w:rsid w:val="00216854"/>
    <w:rsid w:val="00217D19"/>
    <w:rsid w:val="0022009C"/>
    <w:rsid w:val="00223F37"/>
    <w:rsid w:val="00225572"/>
    <w:rsid w:val="00226249"/>
    <w:rsid w:val="00227152"/>
    <w:rsid w:val="002307E1"/>
    <w:rsid w:val="00231BB5"/>
    <w:rsid w:val="002320CE"/>
    <w:rsid w:val="00233385"/>
    <w:rsid w:val="002333C5"/>
    <w:rsid w:val="002349BF"/>
    <w:rsid w:val="00236201"/>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69C7"/>
    <w:rsid w:val="00272AAC"/>
    <w:rsid w:val="00274521"/>
    <w:rsid w:val="00275504"/>
    <w:rsid w:val="002776FA"/>
    <w:rsid w:val="00277E47"/>
    <w:rsid w:val="002803D0"/>
    <w:rsid w:val="0028070D"/>
    <w:rsid w:val="002871D8"/>
    <w:rsid w:val="00291082"/>
    <w:rsid w:val="002934C0"/>
    <w:rsid w:val="00295234"/>
    <w:rsid w:val="00296ADC"/>
    <w:rsid w:val="00297206"/>
    <w:rsid w:val="00297CB5"/>
    <w:rsid w:val="002A02B1"/>
    <w:rsid w:val="002A1211"/>
    <w:rsid w:val="002A12DA"/>
    <w:rsid w:val="002A1929"/>
    <w:rsid w:val="002A50AE"/>
    <w:rsid w:val="002A521B"/>
    <w:rsid w:val="002A66E5"/>
    <w:rsid w:val="002B0323"/>
    <w:rsid w:val="002B1417"/>
    <w:rsid w:val="002B161A"/>
    <w:rsid w:val="002B16A7"/>
    <w:rsid w:val="002B38C1"/>
    <w:rsid w:val="002B3C79"/>
    <w:rsid w:val="002C0BE4"/>
    <w:rsid w:val="002C147F"/>
    <w:rsid w:val="002C1E4B"/>
    <w:rsid w:val="002C2769"/>
    <w:rsid w:val="002C2E1B"/>
    <w:rsid w:val="002C3AFC"/>
    <w:rsid w:val="002C4209"/>
    <w:rsid w:val="002D291F"/>
    <w:rsid w:val="002D374F"/>
    <w:rsid w:val="002D521E"/>
    <w:rsid w:val="002D5552"/>
    <w:rsid w:val="002D62CE"/>
    <w:rsid w:val="002D67D3"/>
    <w:rsid w:val="002D7462"/>
    <w:rsid w:val="002E001E"/>
    <w:rsid w:val="002E038B"/>
    <w:rsid w:val="002E1998"/>
    <w:rsid w:val="002E2CB1"/>
    <w:rsid w:val="002E2F01"/>
    <w:rsid w:val="002E41A9"/>
    <w:rsid w:val="002E6D7C"/>
    <w:rsid w:val="002E7E37"/>
    <w:rsid w:val="002F0E89"/>
    <w:rsid w:val="002F208B"/>
    <w:rsid w:val="002F2926"/>
    <w:rsid w:val="002F2993"/>
    <w:rsid w:val="002F52F7"/>
    <w:rsid w:val="002F6F32"/>
    <w:rsid w:val="003004FA"/>
    <w:rsid w:val="00303CD4"/>
    <w:rsid w:val="0030669E"/>
    <w:rsid w:val="0030795C"/>
    <w:rsid w:val="00313F81"/>
    <w:rsid w:val="00320667"/>
    <w:rsid w:val="003233EA"/>
    <w:rsid w:val="003262C4"/>
    <w:rsid w:val="00327466"/>
    <w:rsid w:val="003300BD"/>
    <w:rsid w:val="00336E8A"/>
    <w:rsid w:val="00337255"/>
    <w:rsid w:val="00337769"/>
    <w:rsid w:val="0033785B"/>
    <w:rsid w:val="0034210B"/>
    <w:rsid w:val="00342671"/>
    <w:rsid w:val="00342B0C"/>
    <w:rsid w:val="00343C87"/>
    <w:rsid w:val="003450AC"/>
    <w:rsid w:val="00351CED"/>
    <w:rsid w:val="00351F5D"/>
    <w:rsid w:val="0035330E"/>
    <w:rsid w:val="00353DC5"/>
    <w:rsid w:val="00360BC0"/>
    <w:rsid w:val="00361ED7"/>
    <w:rsid w:val="0036434E"/>
    <w:rsid w:val="003655CD"/>
    <w:rsid w:val="00373406"/>
    <w:rsid w:val="003734D9"/>
    <w:rsid w:val="00375370"/>
    <w:rsid w:val="00380AA5"/>
    <w:rsid w:val="00381281"/>
    <w:rsid w:val="0038259F"/>
    <w:rsid w:val="00383855"/>
    <w:rsid w:val="00384233"/>
    <w:rsid w:val="003845DF"/>
    <w:rsid w:val="00387AAC"/>
    <w:rsid w:val="00397A3B"/>
    <w:rsid w:val="003A0533"/>
    <w:rsid w:val="003A5810"/>
    <w:rsid w:val="003A5F1D"/>
    <w:rsid w:val="003A67D8"/>
    <w:rsid w:val="003A68CB"/>
    <w:rsid w:val="003B3971"/>
    <w:rsid w:val="003B3D1A"/>
    <w:rsid w:val="003B551F"/>
    <w:rsid w:val="003B5C68"/>
    <w:rsid w:val="003C1731"/>
    <w:rsid w:val="003C17BB"/>
    <w:rsid w:val="003C27E2"/>
    <w:rsid w:val="003C3CC4"/>
    <w:rsid w:val="003C469B"/>
    <w:rsid w:val="003C7643"/>
    <w:rsid w:val="003C7C1B"/>
    <w:rsid w:val="003D0D9C"/>
    <w:rsid w:val="003D17FB"/>
    <w:rsid w:val="003D2652"/>
    <w:rsid w:val="003D2B5A"/>
    <w:rsid w:val="003D3C6D"/>
    <w:rsid w:val="003D5D9E"/>
    <w:rsid w:val="003D70C7"/>
    <w:rsid w:val="003E0987"/>
    <w:rsid w:val="003E0F3F"/>
    <w:rsid w:val="003E14DC"/>
    <w:rsid w:val="003E19F9"/>
    <w:rsid w:val="003E1AC6"/>
    <w:rsid w:val="003E37B6"/>
    <w:rsid w:val="003E3CF0"/>
    <w:rsid w:val="003E4D00"/>
    <w:rsid w:val="003E7795"/>
    <w:rsid w:val="003F0176"/>
    <w:rsid w:val="003F0791"/>
    <w:rsid w:val="003F09C1"/>
    <w:rsid w:val="003F0DE2"/>
    <w:rsid w:val="003F4615"/>
    <w:rsid w:val="003F4678"/>
    <w:rsid w:val="004003DB"/>
    <w:rsid w:val="00401788"/>
    <w:rsid w:val="00402E02"/>
    <w:rsid w:val="00402F1C"/>
    <w:rsid w:val="00407E7F"/>
    <w:rsid w:val="00411636"/>
    <w:rsid w:val="00411B7D"/>
    <w:rsid w:val="00416267"/>
    <w:rsid w:val="00416788"/>
    <w:rsid w:val="0042039D"/>
    <w:rsid w:val="00421E99"/>
    <w:rsid w:val="004223ED"/>
    <w:rsid w:val="00424406"/>
    <w:rsid w:val="004252F4"/>
    <w:rsid w:val="00425C5C"/>
    <w:rsid w:val="004265BE"/>
    <w:rsid w:val="00431975"/>
    <w:rsid w:val="00433093"/>
    <w:rsid w:val="004339D6"/>
    <w:rsid w:val="00435303"/>
    <w:rsid w:val="0044217F"/>
    <w:rsid w:val="004438AC"/>
    <w:rsid w:val="00444B74"/>
    <w:rsid w:val="00445F6A"/>
    <w:rsid w:val="0044750A"/>
    <w:rsid w:val="00447F86"/>
    <w:rsid w:val="00450AEF"/>
    <w:rsid w:val="0045454F"/>
    <w:rsid w:val="0045567D"/>
    <w:rsid w:val="004562F3"/>
    <w:rsid w:val="004622D6"/>
    <w:rsid w:val="004624F7"/>
    <w:rsid w:val="00462C1E"/>
    <w:rsid w:val="004642D9"/>
    <w:rsid w:val="00466AF8"/>
    <w:rsid w:val="00467B74"/>
    <w:rsid w:val="00467CE7"/>
    <w:rsid w:val="0047130C"/>
    <w:rsid w:val="00473D7E"/>
    <w:rsid w:val="004753EA"/>
    <w:rsid w:val="0048437F"/>
    <w:rsid w:val="00495969"/>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6084"/>
    <w:rsid w:val="004C6C62"/>
    <w:rsid w:val="004D0DC8"/>
    <w:rsid w:val="004D181B"/>
    <w:rsid w:val="004D1D34"/>
    <w:rsid w:val="004D1FE3"/>
    <w:rsid w:val="004D3380"/>
    <w:rsid w:val="004D7430"/>
    <w:rsid w:val="004E0042"/>
    <w:rsid w:val="004E06CD"/>
    <w:rsid w:val="004E0750"/>
    <w:rsid w:val="004E169F"/>
    <w:rsid w:val="004E18F2"/>
    <w:rsid w:val="004E2765"/>
    <w:rsid w:val="004E38D4"/>
    <w:rsid w:val="004E5861"/>
    <w:rsid w:val="004E5EEB"/>
    <w:rsid w:val="004F16FA"/>
    <w:rsid w:val="004F4210"/>
    <w:rsid w:val="004F6546"/>
    <w:rsid w:val="005019E5"/>
    <w:rsid w:val="00504AE4"/>
    <w:rsid w:val="00505381"/>
    <w:rsid w:val="005062D4"/>
    <w:rsid w:val="0050706D"/>
    <w:rsid w:val="005071B9"/>
    <w:rsid w:val="00507D3A"/>
    <w:rsid w:val="00507DED"/>
    <w:rsid w:val="00510A99"/>
    <w:rsid w:val="00512BE7"/>
    <w:rsid w:val="005138A5"/>
    <w:rsid w:val="00515751"/>
    <w:rsid w:val="00520281"/>
    <w:rsid w:val="00521C5A"/>
    <w:rsid w:val="00521CCB"/>
    <w:rsid w:val="005234AB"/>
    <w:rsid w:val="005266C3"/>
    <w:rsid w:val="00527D0A"/>
    <w:rsid w:val="005316C5"/>
    <w:rsid w:val="00537ECB"/>
    <w:rsid w:val="005410C1"/>
    <w:rsid w:val="005520BC"/>
    <w:rsid w:val="00552F86"/>
    <w:rsid w:val="005532C6"/>
    <w:rsid w:val="005559C1"/>
    <w:rsid w:val="00562DF0"/>
    <w:rsid w:val="005634B4"/>
    <w:rsid w:val="0056463F"/>
    <w:rsid w:val="005646CD"/>
    <w:rsid w:val="0056489B"/>
    <w:rsid w:val="00570151"/>
    <w:rsid w:val="0057293F"/>
    <w:rsid w:val="005743DF"/>
    <w:rsid w:val="005761FD"/>
    <w:rsid w:val="00582037"/>
    <w:rsid w:val="00583BF3"/>
    <w:rsid w:val="00584EA0"/>
    <w:rsid w:val="00585314"/>
    <w:rsid w:val="00585FC6"/>
    <w:rsid w:val="00586756"/>
    <w:rsid w:val="005915AE"/>
    <w:rsid w:val="0059331F"/>
    <w:rsid w:val="00593C4E"/>
    <w:rsid w:val="005943E4"/>
    <w:rsid w:val="00594996"/>
    <w:rsid w:val="00595909"/>
    <w:rsid w:val="005963C4"/>
    <w:rsid w:val="005A22A5"/>
    <w:rsid w:val="005A647D"/>
    <w:rsid w:val="005B158F"/>
    <w:rsid w:val="005B1BD1"/>
    <w:rsid w:val="005B3A1A"/>
    <w:rsid w:val="005B4808"/>
    <w:rsid w:val="005B5231"/>
    <w:rsid w:val="005C317B"/>
    <w:rsid w:val="005C3BCC"/>
    <w:rsid w:val="005C3C53"/>
    <w:rsid w:val="005C3D26"/>
    <w:rsid w:val="005C76E3"/>
    <w:rsid w:val="005D1997"/>
    <w:rsid w:val="005D32BE"/>
    <w:rsid w:val="005D65FE"/>
    <w:rsid w:val="005D7DCC"/>
    <w:rsid w:val="005E3C4D"/>
    <w:rsid w:val="005E3E4E"/>
    <w:rsid w:val="005F08D9"/>
    <w:rsid w:val="005F110C"/>
    <w:rsid w:val="005F36C3"/>
    <w:rsid w:val="005F4740"/>
    <w:rsid w:val="005F59AA"/>
    <w:rsid w:val="0060327D"/>
    <w:rsid w:val="00603D3A"/>
    <w:rsid w:val="00604421"/>
    <w:rsid w:val="00606ED1"/>
    <w:rsid w:val="0060777F"/>
    <w:rsid w:val="00607D8E"/>
    <w:rsid w:val="00610149"/>
    <w:rsid w:val="0061259C"/>
    <w:rsid w:val="00616063"/>
    <w:rsid w:val="00616A8F"/>
    <w:rsid w:val="0062006A"/>
    <w:rsid w:val="00620692"/>
    <w:rsid w:val="00622A8D"/>
    <w:rsid w:val="0062348C"/>
    <w:rsid w:val="006330DA"/>
    <w:rsid w:val="006367D6"/>
    <w:rsid w:val="00640006"/>
    <w:rsid w:val="0064041E"/>
    <w:rsid w:val="00640B02"/>
    <w:rsid w:val="00644F41"/>
    <w:rsid w:val="006454C7"/>
    <w:rsid w:val="006458A1"/>
    <w:rsid w:val="0064638E"/>
    <w:rsid w:val="00647F38"/>
    <w:rsid w:val="00652DDC"/>
    <w:rsid w:val="00656D2E"/>
    <w:rsid w:val="0065754D"/>
    <w:rsid w:val="00662B82"/>
    <w:rsid w:val="00663A07"/>
    <w:rsid w:val="00663EB2"/>
    <w:rsid w:val="00664625"/>
    <w:rsid w:val="00665F53"/>
    <w:rsid w:val="006666F0"/>
    <w:rsid w:val="00675308"/>
    <w:rsid w:val="006761D1"/>
    <w:rsid w:val="0068065E"/>
    <w:rsid w:val="006818CB"/>
    <w:rsid w:val="00681DC4"/>
    <w:rsid w:val="00682690"/>
    <w:rsid w:val="00686747"/>
    <w:rsid w:val="006869E7"/>
    <w:rsid w:val="00687FC3"/>
    <w:rsid w:val="006909B3"/>
    <w:rsid w:val="006910B9"/>
    <w:rsid w:val="00691B1E"/>
    <w:rsid w:val="00692D43"/>
    <w:rsid w:val="00693793"/>
    <w:rsid w:val="00693A71"/>
    <w:rsid w:val="00693D43"/>
    <w:rsid w:val="006A0D5B"/>
    <w:rsid w:val="006A261D"/>
    <w:rsid w:val="006A35DD"/>
    <w:rsid w:val="006A3CDA"/>
    <w:rsid w:val="006A3D01"/>
    <w:rsid w:val="006A780A"/>
    <w:rsid w:val="006A7FC2"/>
    <w:rsid w:val="006B0C33"/>
    <w:rsid w:val="006B3A4B"/>
    <w:rsid w:val="006B6CB3"/>
    <w:rsid w:val="006C1340"/>
    <w:rsid w:val="006C1E76"/>
    <w:rsid w:val="006C2813"/>
    <w:rsid w:val="006C2EEC"/>
    <w:rsid w:val="006C3EE5"/>
    <w:rsid w:val="006C3FCD"/>
    <w:rsid w:val="006C4497"/>
    <w:rsid w:val="006C5560"/>
    <w:rsid w:val="006C5BC4"/>
    <w:rsid w:val="006C643E"/>
    <w:rsid w:val="006D0E06"/>
    <w:rsid w:val="006D118B"/>
    <w:rsid w:val="006D16CC"/>
    <w:rsid w:val="006D2526"/>
    <w:rsid w:val="006D41CA"/>
    <w:rsid w:val="006D6392"/>
    <w:rsid w:val="006E0022"/>
    <w:rsid w:val="006E281A"/>
    <w:rsid w:val="006E362E"/>
    <w:rsid w:val="006E546F"/>
    <w:rsid w:val="006E5981"/>
    <w:rsid w:val="006E6195"/>
    <w:rsid w:val="006E777C"/>
    <w:rsid w:val="006E7EA8"/>
    <w:rsid w:val="006F0D69"/>
    <w:rsid w:val="006F169C"/>
    <w:rsid w:val="006F297E"/>
    <w:rsid w:val="006F3439"/>
    <w:rsid w:val="006F50F5"/>
    <w:rsid w:val="006F5C6F"/>
    <w:rsid w:val="006F7CB3"/>
    <w:rsid w:val="007023B2"/>
    <w:rsid w:val="0070784B"/>
    <w:rsid w:val="00707B0F"/>
    <w:rsid w:val="00710AEE"/>
    <w:rsid w:val="00711370"/>
    <w:rsid w:val="00716958"/>
    <w:rsid w:val="007175A9"/>
    <w:rsid w:val="0072344E"/>
    <w:rsid w:val="00724799"/>
    <w:rsid w:val="00732675"/>
    <w:rsid w:val="00732F33"/>
    <w:rsid w:val="00733BB6"/>
    <w:rsid w:val="00734448"/>
    <w:rsid w:val="007345C6"/>
    <w:rsid w:val="0073698E"/>
    <w:rsid w:val="007369FD"/>
    <w:rsid w:val="00740F95"/>
    <w:rsid w:val="00742A2A"/>
    <w:rsid w:val="00742D15"/>
    <w:rsid w:val="00743223"/>
    <w:rsid w:val="00743F2B"/>
    <w:rsid w:val="007454B9"/>
    <w:rsid w:val="00745876"/>
    <w:rsid w:val="007467E3"/>
    <w:rsid w:val="00746F21"/>
    <w:rsid w:val="00751B97"/>
    <w:rsid w:val="00752D37"/>
    <w:rsid w:val="007531C4"/>
    <w:rsid w:val="00753C9D"/>
    <w:rsid w:val="00754945"/>
    <w:rsid w:val="00755A69"/>
    <w:rsid w:val="00756E38"/>
    <w:rsid w:val="007577DB"/>
    <w:rsid w:val="00760E66"/>
    <w:rsid w:val="00762818"/>
    <w:rsid w:val="00763211"/>
    <w:rsid w:val="007641A7"/>
    <w:rsid w:val="0076540B"/>
    <w:rsid w:val="0077172B"/>
    <w:rsid w:val="00772BCA"/>
    <w:rsid w:val="0077668B"/>
    <w:rsid w:val="007776CE"/>
    <w:rsid w:val="00780046"/>
    <w:rsid w:val="00780A83"/>
    <w:rsid w:val="007819DD"/>
    <w:rsid w:val="00781D4D"/>
    <w:rsid w:val="00794B20"/>
    <w:rsid w:val="00796DE6"/>
    <w:rsid w:val="007A049D"/>
    <w:rsid w:val="007A63DD"/>
    <w:rsid w:val="007B03B8"/>
    <w:rsid w:val="007B20FE"/>
    <w:rsid w:val="007B3904"/>
    <w:rsid w:val="007B5FB6"/>
    <w:rsid w:val="007B730B"/>
    <w:rsid w:val="007C0D01"/>
    <w:rsid w:val="007C13F1"/>
    <w:rsid w:val="007C5286"/>
    <w:rsid w:val="007C5B4F"/>
    <w:rsid w:val="007C5FAE"/>
    <w:rsid w:val="007C68A4"/>
    <w:rsid w:val="007D0359"/>
    <w:rsid w:val="007D1429"/>
    <w:rsid w:val="007D1CC1"/>
    <w:rsid w:val="007D302D"/>
    <w:rsid w:val="007E25D9"/>
    <w:rsid w:val="007E4792"/>
    <w:rsid w:val="007E6C0C"/>
    <w:rsid w:val="007F1006"/>
    <w:rsid w:val="007F15BC"/>
    <w:rsid w:val="007F6088"/>
    <w:rsid w:val="007F7338"/>
    <w:rsid w:val="007F7683"/>
    <w:rsid w:val="007F7F9B"/>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54F9"/>
    <w:rsid w:val="00825F78"/>
    <w:rsid w:val="00826D89"/>
    <w:rsid w:val="0082700C"/>
    <w:rsid w:val="00831855"/>
    <w:rsid w:val="008326EB"/>
    <w:rsid w:val="008327AB"/>
    <w:rsid w:val="00833A11"/>
    <w:rsid w:val="00834459"/>
    <w:rsid w:val="00835736"/>
    <w:rsid w:val="00835D56"/>
    <w:rsid w:val="008375B1"/>
    <w:rsid w:val="008450A2"/>
    <w:rsid w:val="008520E2"/>
    <w:rsid w:val="00853537"/>
    <w:rsid w:val="0086000C"/>
    <w:rsid w:val="008603FF"/>
    <w:rsid w:val="00862CD1"/>
    <w:rsid w:val="00862D9B"/>
    <w:rsid w:val="0086323A"/>
    <w:rsid w:val="00864F9E"/>
    <w:rsid w:val="00867C7F"/>
    <w:rsid w:val="00867FD1"/>
    <w:rsid w:val="0087248E"/>
    <w:rsid w:val="00872DBB"/>
    <w:rsid w:val="00873EEA"/>
    <w:rsid w:val="00875B30"/>
    <w:rsid w:val="00880FAF"/>
    <w:rsid w:val="008877E5"/>
    <w:rsid w:val="0088797B"/>
    <w:rsid w:val="00894893"/>
    <w:rsid w:val="008969F7"/>
    <w:rsid w:val="00896BFF"/>
    <w:rsid w:val="00897C17"/>
    <w:rsid w:val="008A0298"/>
    <w:rsid w:val="008A1F47"/>
    <w:rsid w:val="008A6F64"/>
    <w:rsid w:val="008B0557"/>
    <w:rsid w:val="008B1EDB"/>
    <w:rsid w:val="008B4110"/>
    <w:rsid w:val="008B41E5"/>
    <w:rsid w:val="008B4594"/>
    <w:rsid w:val="008B513E"/>
    <w:rsid w:val="008B6BA7"/>
    <w:rsid w:val="008C20AC"/>
    <w:rsid w:val="008C3C5D"/>
    <w:rsid w:val="008D1C45"/>
    <w:rsid w:val="008D1DE2"/>
    <w:rsid w:val="008D5EA6"/>
    <w:rsid w:val="008D5F20"/>
    <w:rsid w:val="008D6976"/>
    <w:rsid w:val="008D7966"/>
    <w:rsid w:val="008E0BDC"/>
    <w:rsid w:val="008E2748"/>
    <w:rsid w:val="008E37C3"/>
    <w:rsid w:val="008E6310"/>
    <w:rsid w:val="008E6B08"/>
    <w:rsid w:val="008E76B2"/>
    <w:rsid w:val="008F22DF"/>
    <w:rsid w:val="008F348D"/>
    <w:rsid w:val="008F68E6"/>
    <w:rsid w:val="00901E44"/>
    <w:rsid w:val="009042B2"/>
    <w:rsid w:val="00905EE7"/>
    <w:rsid w:val="00907414"/>
    <w:rsid w:val="009078A0"/>
    <w:rsid w:val="00907D31"/>
    <w:rsid w:val="009148B4"/>
    <w:rsid w:val="009173AC"/>
    <w:rsid w:val="00917DA1"/>
    <w:rsid w:val="00924284"/>
    <w:rsid w:val="00930132"/>
    <w:rsid w:val="00930D4E"/>
    <w:rsid w:val="00932857"/>
    <w:rsid w:val="00934F89"/>
    <w:rsid w:val="009363FF"/>
    <w:rsid w:val="0093688A"/>
    <w:rsid w:val="00943667"/>
    <w:rsid w:val="00944B83"/>
    <w:rsid w:val="00944E01"/>
    <w:rsid w:val="00950CB7"/>
    <w:rsid w:val="00951EA7"/>
    <w:rsid w:val="009527AE"/>
    <w:rsid w:val="0095289A"/>
    <w:rsid w:val="00953AB2"/>
    <w:rsid w:val="0095480D"/>
    <w:rsid w:val="00957C0B"/>
    <w:rsid w:val="009643B7"/>
    <w:rsid w:val="0096683E"/>
    <w:rsid w:val="009673AA"/>
    <w:rsid w:val="009720E5"/>
    <w:rsid w:val="00973C07"/>
    <w:rsid w:val="0097559E"/>
    <w:rsid w:val="009805D1"/>
    <w:rsid w:val="00983A0C"/>
    <w:rsid w:val="0098562A"/>
    <w:rsid w:val="00985941"/>
    <w:rsid w:val="009875F1"/>
    <w:rsid w:val="0099378F"/>
    <w:rsid w:val="009939C2"/>
    <w:rsid w:val="009949CF"/>
    <w:rsid w:val="009951D1"/>
    <w:rsid w:val="009967DA"/>
    <w:rsid w:val="00996A28"/>
    <w:rsid w:val="009A1343"/>
    <w:rsid w:val="009A244B"/>
    <w:rsid w:val="009A3301"/>
    <w:rsid w:val="009A4CF8"/>
    <w:rsid w:val="009A7E7C"/>
    <w:rsid w:val="009B08C9"/>
    <w:rsid w:val="009B2BD5"/>
    <w:rsid w:val="009B626A"/>
    <w:rsid w:val="009B6A74"/>
    <w:rsid w:val="009C0985"/>
    <w:rsid w:val="009C3454"/>
    <w:rsid w:val="009C6862"/>
    <w:rsid w:val="009C69D1"/>
    <w:rsid w:val="009D04F8"/>
    <w:rsid w:val="009D18FC"/>
    <w:rsid w:val="009D27F9"/>
    <w:rsid w:val="009D354D"/>
    <w:rsid w:val="009D5542"/>
    <w:rsid w:val="009D5614"/>
    <w:rsid w:val="009D6BAB"/>
    <w:rsid w:val="009D7365"/>
    <w:rsid w:val="009E0D5D"/>
    <w:rsid w:val="009E0E0C"/>
    <w:rsid w:val="009E3ABE"/>
    <w:rsid w:val="009E3E25"/>
    <w:rsid w:val="009E5530"/>
    <w:rsid w:val="009F1238"/>
    <w:rsid w:val="009F1578"/>
    <w:rsid w:val="009F3EB9"/>
    <w:rsid w:val="009F4403"/>
    <w:rsid w:val="009F5E32"/>
    <w:rsid w:val="009F724D"/>
    <w:rsid w:val="00A002B2"/>
    <w:rsid w:val="00A0390D"/>
    <w:rsid w:val="00A040B2"/>
    <w:rsid w:val="00A049AD"/>
    <w:rsid w:val="00A05877"/>
    <w:rsid w:val="00A05B14"/>
    <w:rsid w:val="00A05CB3"/>
    <w:rsid w:val="00A10C8D"/>
    <w:rsid w:val="00A11010"/>
    <w:rsid w:val="00A121BE"/>
    <w:rsid w:val="00A124BD"/>
    <w:rsid w:val="00A15F59"/>
    <w:rsid w:val="00A169E0"/>
    <w:rsid w:val="00A1740D"/>
    <w:rsid w:val="00A2102A"/>
    <w:rsid w:val="00A21250"/>
    <w:rsid w:val="00A237CC"/>
    <w:rsid w:val="00A239E9"/>
    <w:rsid w:val="00A23CEE"/>
    <w:rsid w:val="00A24E7E"/>
    <w:rsid w:val="00A26237"/>
    <w:rsid w:val="00A263AC"/>
    <w:rsid w:val="00A2648F"/>
    <w:rsid w:val="00A270F4"/>
    <w:rsid w:val="00A27D1A"/>
    <w:rsid w:val="00A305C0"/>
    <w:rsid w:val="00A30B24"/>
    <w:rsid w:val="00A30B2F"/>
    <w:rsid w:val="00A30CA2"/>
    <w:rsid w:val="00A311EC"/>
    <w:rsid w:val="00A31F47"/>
    <w:rsid w:val="00A3271C"/>
    <w:rsid w:val="00A34054"/>
    <w:rsid w:val="00A3563F"/>
    <w:rsid w:val="00A36F6E"/>
    <w:rsid w:val="00A37834"/>
    <w:rsid w:val="00A379D0"/>
    <w:rsid w:val="00A406C2"/>
    <w:rsid w:val="00A40702"/>
    <w:rsid w:val="00A40E79"/>
    <w:rsid w:val="00A41D2C"/>
    <w:rsid w:val="00A436C0"/>
    <w:rsid w:val="00A438DA"/>
    <w:rsid w:val="00A45CA9"/>
    <w:rsid w:val="00A549C7"/>
    <w:rsid w:val="00A54B77"/>
    <w:rsid w:val="00A554CC"/>
    <w:rsid w:val="00A57BEE"/>
    <w:rsid w:val="00A60798"/>
    <w:rsid w:val="00A608A2"/>
    <w:rsid w:val="00A61580"/>
    <w:rsid w:val="00A62057"/>
    <w:rsid w:val="00A62BBD"/>
    <w:rsid w:val="00A6586C"/>
    <w:rsid w:val="00A6719F"/>
    <w:rsid w:val="00A72917"/>
    <w:rsid w:val="00A738DB"/>
    <w:rsid w:val="00A76331"/>
    <w:rsid w:val="00A80C22"/>
    <w:rsid w:val="00A8239E"/>
    <w:rsid w:val="00A82C5F"/>
    <w:rsid w:val="00A857C9"/>
    <w:rsid w:val="00A866B8"/>
    <w:rsid w:val="00A91389"/>
    <w:rsid w:val="00A9727D"/>
    <w:rsid w:val="00A97298"/>
    <w:rsid w:val="00A97EE7"/>
    <w:rsid w:val="00AA095B"/>
    <w:rsid w:val="00AA58C2"/>
    <w:rsid w:val="00AB0BBD"/>
    <w:rsid w:val="00AB0D0F"/>
    <w:rsid w:val="00AB2B6D"/>
    <w:rsid w:val="00AB3114"/>
    <w:rsid w:val="00AB3259"/>
    <w:rsid w:val="00AB396A"/>
    <w:rsid w:val="00AB3C56"/>
    <w:rsid w:val="00AB3E03"/>
    <w:rsid w:val="00AB6449"/>
    <w:rsid w:val="00AB64A7"/>
    <w:rsid w:val="00AB6816"/>
    <w:rsid w:val="00AC04BB"/>
    <w:rsid w:val="00AC2041"/>
    <w:rsid w:val="00AC2C84"/>
    <w:rsid w:val="00AC4303"/>
    <w:rsid w:val="00AC4B47"/>
    <w:rsid w:val="00AC4CF0"/>
    <w:rsid w:val="00AC6350"/>
    <w:rsid w:val="00AC75DC"/>
    <w:rsid w:val="00AD10B5"/>
    <w:rsid w:val="00AD374F"/>
    <w:rsid w:val="00AD3B5E"/>
    <w:rsid w:val="00AD54DB"/>
    <w:rsid w:val="00AD587F"/>
    <w:rsid w:val="00AD5C27"/>
    <w:rsid w:val="00AE0D1B"/>
    <w:rsid w:val="00AE2702"/>
    <w:rsid w:val="00AE5580"/>
    <w:rsid w:val="00AE5EDF"/>
    <w:rsid w:val="00AE6670"/>
    <w:rsid w:val="00AE7D1E"/>
    <w:rsid w:val="00AF1121"/>
    <w:rsid w:val="00AF72A3"/>
    <w:rsid w:val="00AF74B0"/>
    <w:rsid w:val="00AF79CB"/>
    <w:rsid w:val="00B014AA"/>
    <w:rsid w:val="00B01D4F"/>
    <w:rsid w:val="00B0201E"/>
    <w:rsid w:val="00B03FC2"/>
    <w:rsid w:val="00B044AE"/>
    <w:rsid w:val="00B0751F"/>
    <w:rsid w:val="00B10760"/>
    <w:rsid w:val="00B12398"/>
    <w:rsid w:val="00B12ADD"/>
    <w:rsid w:val="00B146CB"/>
    <w:rsid w:val="00B22EE5"/>
    <w:rsid w:val="00B232F6"/>
    <w:rsid w:val="00B23442"/>
    <w:rsid w:val="00B3112C"/>
    <w:rsid w:val="00B33686"/>
    <w:rsid w:val="00B36484"/>
    <w:rsid w:val="00B36C02"/>
    <w:rsid w:val="00B41440"/>
    <w:rsid w:val="00B41C57"/>
    <w:rsid w:val="00B42F1B"/>
    <w:rsid w:val="00B46E65"/>
    <w:rsid w:val="00B504AC"/>
    <w:rsid w:val="00B52143"/>
    <w:rsid w:val="00B543B5"/>
    <w:rsid w:val="00B57046"/>
    <w:rsid w:val="00B5778A"/>
    <w:rsid w:val="00B6203C"/>
    <w:rsid w:val="00B62340"/>
    <w:rsid w:val="00B64364"/>
    <w:rsid w:val="00B67DE1"/>
    <w:rsid w:val="00B71030"/>
    <w:rsid w:val="00B715FF"/>
    <w:rsid w:val="00B72F90"/>
    <w:rsid w:val="00B761FF"/>
    <w:rsid w:val="00B81FB3"/>
    <w:rsid w:val="00B846A2"/>
    <w:rsid w:val="00B848DC"/>
    <w:rsid w:val="00B9092E"/>
    <w:rsid w:val="00B93D2E"/>
    <w:rsid w:val="00B94743"/>
    <w:rsid w:val="00B949E0"/>
    <w:rsid w:val="00B94A36"/>
    <w:rsid w:val="00BA28F9"/>
    <w:rsid w:val="00BA2B7C"/>
    <w:rsid w:val="00BA2D5F"/>
    <w:rsid w:val="00BA2E9D"/>
    <w:rsid w:val="00BA32F1"/>
    <w:rsid w:val="00BA39FF"/>
    <w:rsid w:val="00BA6AD7"/>
    <w:rsid w:val="00BA7EF2"/>
    <w:rsid w:val="00BB03F1"/>
    <w:rsid w:val="00BB1DCF"/>
    <w:rsid w:val="00BB3E60"/>
    <w:rsid w:val="00BB4210"/>
    <w:rsid w:val="00BB429E"/>
    <w:rsid w:val="00BB7373"/>
    <w:rsid w:val="00BC05DE"/>
    <w:rsid w:val="00BC2986"/>
    <w:rsid w:val="00BC4040"/>
    <w:rsid w:val="00BC4754"/>
    <w:rsid w:val="00BC488E"/>
    <w:rsid w:val="00BC4E55"/>
    <w:rsid w:val="00BD37B2"/>
    <w:rsid w:val="00BD5153"/>
    <w:rsid w:val="00BD68A2"/>
    <w:rsid w:val="00BE29D9"/>
    <w:rsid w:val="00BE2A20"/>
    <w:rsid w:val="00BE2DF2"/>
    <w:rsid w:val="00BE55DC"/>
    <w:rsid w:val="00BE5DF1"/>
    <w:rsid w:val="00BE6AD3"/>
    <w:rsid w:val="00BF1405"/>
    <w:rsid w:val="00BF4B63"/>
    <w:rsid w:val="00BF5F0E"/>
    <w:rsid w:val="00BF6B6C"/>
    <w:rsid w:val="00BF6D6A"/>
    <w:rsid w:val="00C02412"/>
    <w:rsid w:val="00C02EA8"/>
    <w:rsid w:val="00C05C65"/>
    <w:rsid w:val="00C064C8"/>
    <w:rsid w:val="00C10D9D"/>
    <w:rsid w:val="00C115C2"/>
    <w:rsid w:val="00C11AB0"/>
    <w:rsid w:val="00C11EC4"/>
    <w:rsid w:val="00C1216D"/>
    <w:rsid w:val="00C1257C"/>
    <w:rsid w:val="00C127FA"/>
    <w:rsid w:val="00C1515C"/>
    <w:rsid w:val="00C162F2"/>
    <w:rsid w:val="00C16318"/>
    <w:rsid w:val="00C17953"/>
    <w:rsid w:val="00C2062C"/>
    <w:rsid w:val="00C207DA"/>
    <w:rsid w:val="00C213C2"/>
    <w:rsid w:val="00C217DF"/>
    <w:rsid w:val="00C21834"/>
    <w:rsid w:val="00C227EC"/>
    <w:rsid w:val="00C238D8"/>
    <w:rsid w:val="00C24FE9"/>
    <w:rsid w:val="00C31329"/>
    <w:rsid w:val="00C31441"/>
    <w:rsid w:val="00C328CC"/>
    <w:rsid w:val="00C34E35"/>
    <w:rsid w:val="00C409A5"/>
    <w:rsid w:val="00C459D3"/>
    <w:rsid w:val="00C45B5E"/>
    <w:rsid w:val="00C46294"/>
    <w:rsid w:val="00C46F97"/>
    <w:rsid w:val="00C471C4"/>
    <w:rsid w:val="00C50FF3"/>
    <w:rsid w:val="00C51AC0"/>
    <w:rsid w:val="00C51F57"/>
    <w:rsid w:val="00C5647F"/>
    <w:rsid w:val="00C56A46"/>
    <w:rsid w:val="00C57E87"/>
    <w:rsid w:val="00C635B4"/>
    <w:rsid w:val="00C646A8"/>
    <w:rsid w:val="00C6547C"/>
    <w:rsid w:val="00C66147"/>
    <w:rsid w:val="00C663C0"/>
    <w:rsid w:val="00C671BA"/>
    <w:rsid w:val="00C72800"/>
    <w:rsid w:val="00C76B8E"/>
    <w:rsid w:val="00C77E67"/>
    <w:rsid w:val="00C80AA9"/>
    <w:rsid w:val="00C80B2D"/>
    <w:rsid w:val="00C80DDE"/>
    <w:rsid w:val="00C8199C"/>
    <w:rsid w:val="00C8232A"/>
    <w:rsid w:val="00C840D8"/>
    <w:rsid w:val="00C84E10"/>
    <w:rsid w:val="00C85349"/>
    <w:rsid w:val="00C86AF1"/>
    <w:rsid w:val="00C8732E"/>
    <w:rsid w:val="00C87D99"/>
    <w:rsid w:val="00C9029F"/>
    <w:rsid w:val="00C9039F"/>
    <w:rsid w:val="00C92477"/>
    <w:rsid w:val="00C92A32"/>
    <w:rsid w:val="00C9668B"/>
    <w:rsid w:val="00C96C49"/>
    <w:rsid w:val="00CA27B7"/>
    <w:rsid w:val="00CA2E95"/>
    <w:rsid w:val="00CA7572"/>
    <w:rsid w:val="00CA7F74"/>
    <w:rsid w:val="00CB0C32"/>
    <w:rsid w:val="00CB1248"/>
    <w:rsid w:val="00CB16D2"/>
    <w:rsid w:val="00CB1DFC"/>
    <w:rsid w:val="00CB2A32"/>
    <w:rsid w:val="00CB2D65"/>
    <w:rsid w:val="00CB3ED2"/>
    <w:rsid w:val="00CB6246"/>
    <w:rsid w:val="00CC0759"/>
    <w:rsid w:val="00CC3160"/>
    <w:rsid w:val="00CC4243"/>
    <w:rsid w:val="00CD2DBF"/>
    <w:rsid w:val="00CD4E24"/>
    <w:rsid w:val="00CD6207"/>
    <w:rsid w:val="00CD72A6"/>
    <w:rsid w:val="00CE39B8"/>
    <w:rsid w:val="00CE4A83"/>
    <w:rsid w:val="00CE4C60"/>
    <w:rsid w:val="00CE525E"/>
    <w:rsid w:val="00CF1591"/>
    <w:rsid w:val="00CF1689"/>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67D0"/>
    <w:rsid w:val="00D16B6B"/>
    <w:rsid w:val="00D177A0"/>
    <w:rsid w:val="00D20092"/>
    <w:rsid w:val="00D2069B"/>
    <w:rsid w:val="00D2293A"/>
    <w:rsid w:val="00D22E65"/>
    <w:rsid w:val="00D22EAF"/>
    <w:rsid w:val="00D2430E"/>
    <w:rsid w:val="00D251B7"/>
    <w:rsid w:val="00D2705A"/>
    <w:rsid w:val="00D2717B"/>
    <w:rsid w:val="00D3078B"/>
    <w:rsid w:val="00D3118E"/>
    <w:rsid w:val="00D34BC5"/>
    <w:rsid w:val="00D36BA1"/>
    <w:rsid w:val="00D36C76"/>
    <w:rsid w:val="00D37F07"/>
    <w:rsid w:val="00D41BB8"/>
    <w:rsid w:val="00D432BC"/>
    <w:rsid w:val="00D444E3"/>
    <w:rsid w:val="00D52AFA"/>
    <w:rsid w:val="00D5566B"/>
    <w:rsid w:val="00D57CA5"/>
    <w:rsid w:val="00D605D2"/>
    <w:rsid w:val="00D60665"/>
    <w:rsid w:val="00D6102D"/>
    <w:rsid w:val="00D63381"/>
    <w:rsid w:val="00D643F8"/>
    <w:rsid w:val="00D66D7C"/>
    <w:rsid w:val="00D67892"/>
    <w:rsid w:val="00D7119E"/>
    <w:rsid w:val="00D71BF6"/>
    <w:rsid w:val="00D7590F"/>
    <w:rsid w:val="00D75ED8"/>
    <w:rsid w:val="00D85001"/>
    <w:rsid w:val="00D85656"/>
    <w:rsid w:val="00DA0143"/>
    <w:rsid w:val="00DA0378"/>
    <w:rsid w:val="00DA0EA5"/>
    <w:rsid w:val="00DA1664"/>
    <w:rsid w:val="00DA258B"/>
    <w:rsid w:val="00DA33AC"/>
    <w:rsid w:val="00DA4D73"/>
    <w:rsid w:val="00DB13D3"/>
    <w:rsid w:val="00DB2247"/>
    <w:rsid w:val="00DB62E8"/>
    <w:rsid w:val="00DB65A3"/>
    <w:rsid w:val="00DB78FC"/>
    <w:rsid w:val="00DB7E4B"/>
    <w:rsid w:val="00DC0F37"/>
    <w:rsid w:val="00DC18AE"/>
    <w:rsid w:val="00DC57CD"/>
    <w:rsid w:val="00DC58F4"/>
    <w:rsid w:val="00DC5BFB"/>
    <w:rsid w:val="00DC6912"/>
    <w:rsid w:val="00DD3EA6"/>
    <w:rsid w:val="00DD588C"/>
    <w:rsid w:val="00DD5CF9"/>
    <w:rsid w:val="00DD7706"/>
    <w:rsid w:val="00DE0022"/>
    <w:rsid w:val="00DE019E"/>
    <w:rsid w:val="00DE08B3"/>
    <w:rsid w:val="00DE0E97"/>
    <w:rsid w:val="00DE1D8B"/>
    <w:rsid w:val="00DE251A"/>
    <w:rsid w:val="00DE29A8"/>
    <w:rsid w:val="00DE2C1D"/>
    <w:rsid w:val="00DE4533"/>
    <w:rsid w:val="00DE49E1"/>
    <w:rsid w:val="00DE596C"/>
    <w:rsid w:val="00DE7206"/>
    <w:rsid w:val="00DF0CB9"/>
    <w:rsid w:val="00DF172C"/>
    <w:rsid w:val="00DF5286"/>
    <w:rsid w:val="00DF7FFC"/>
    <w:rsid w:val="00E01D1F"/>
    <w:rsid w:val="00E055E6"/>
    <w:rsid w:val="00E05B3F"/>
    <w:rsid w:val="00E06A9D"/>
    <w:rsid w:val="00E07146"/>
    <w:rsid w:val="00E0783E"/>
    <w:rsid w:val="00E15F80"/>
    <w:rsid w:val="00E206B7"/>
    <w:rsid w:val="00E23775"/>
    <w:rsid w:val="00E238C6"/>
    <w:rsid w:val="00E26DB0"/>
    <w:rsid w:val="00E277FE"/>
    <w:rsid w:val="00E27A46"/>
    <w:rsid w:val="00E315FC"/>
    <w:rsid w:val="00E345A7"/>
    <w:rsid w:val="00E352A5"/>
    <w:rsid w:val="00E364A7"/>
    <w:rsid w:val="00E36B78"/>
    <w:rsid w:val="00E40C21"/>
    <w:rsid w:val="00E40DD3"/>
    <w:rsid w:val="00E410F8"/>
    <w:rsid w:val="00E41313"/>
    <w:rsid w:val="00E433F1"/>
    <w:rsid w:val="00E442CC"/>
    <w:rsid w:val="00E46236"/>
    <w:rsid w:val="00E47469"/>
    <w:rsid w:val="00E5573E"/>
    <w:rsid w:val="00E570B7"/>
    <w:rsid w:val="00E573AC"/>
    <w:rsid w:val="00E579E2"/>
    <w:rsid w:val="00E6120F"/>
    <w:rsid w:val="00E63092"/>
    <w:rsid w:val="00E6329D"/>
    <w:rsid w:val="00E65AC2"/>
    <w:rsid w:val="00E66116"/>
    <w:rsid w:val="00E74247"/>
    <w:rsid w:val="00E74653"/>
    <w:rsid w:val="00E7489D"/>
    <w:rsid w:val="00E753E2"/>
    <w:rsid w:val="00E7548B"/>
    <w:rsid w:val="00E75C04"/>
    <w:rsid w:val="00E768ED"/>
    <w:rsid w:val="00E76C1B"/>
    <w:rsid w:val="00E7711C"/>
    <w:rsid w:val="00E773FF"/>
    <w:rsid w:val="00E77A3D"/>
    <w:rsid w:val="00E80627"/>
    <w:rsid w:val="00E817BE"/>
    <w:rsid w:val="00E82472"/>
    <w:rsid w:val="00E93EE9"/>
    <w:rsid w:val="00E9510D"/>
    <w:rsid w:val="00E956CF"/>
    <w:rsid w:val="00EA114E"/>
    <w:rsid w:val="00EA1341"/>
    <w:rsid w:val="00EA1B2E"/>
    <w:rsid w:val="00EA1C66"/>
    <w:rsid w:val="00EA73F8"/>
    <w:rsid w:val="00EB09A8"/>
    <w:rsid w:val="00EB4D1D"/>
    <w:rsid w:val="00EC21BE"/>
    <w:rsid w:val="00EC3938"/>
    <w:rsid w:val="00EC4D13"/>
    <w:rsid w:val="00EC4F17"/>
    <w:rsid w:val="00EC643A"/>
    <w:rsid w:val="00EC6B5C"/>
    <w:rsid w:val="00ED244D"/>
    <w:rsid w:val="00ED353A"/>
    <w:rsid w:val="00ED3AA0"/>
    <w:rsid w:val="00ED42AE"/>
    <w:rsid w:val="00ED7ED8"/>
    <w:rsid w:val="00EE0E86"/>
    <w:rsid w:val="00EE36E8"/>
    <w:rsid w:val="00EE49E7"/>
    <w:rsid w:val="00EE54B9"/>
    <w:rsid w:val="00EE5A67"/>
    <w:rsid w:val="00EF11B5"/>
    <w:rsid w:val="00EF4E2A"/>
    <w:rsid w:val="00EF53BF"/>
    <w:rsid w:val="00EF5E63"/>
    <w:rsid w:val="00F0134F"/>
    <w:rsid w:val="00F0366B"/>
    <w:rsid w:val="00F05DDD"/>
    <w:rsid w:val="00F07DC3"/>
    <w:rsid w:val="00F07E01"/>
    <w:rsid w:val="00F1198E"/>
    <w:rsid w:val="00F12B0C"/>
    <w:rsid w:val="00F138F0"/>
    <w:rsid w:val="00F13AC6"/>
    <w:rsid w:val="00F14231"/>
    <w:rsid w:val="00F15CD5"/>
    <w:rsid w:val="00F16059"/>
    <w:rsid w:val="00F16393"/>
    <w:rsid w:val="00F20C42"/>
    <w:rsid w:val="00F210BE"/>
    <w:rsid w:val="00F21464"/>
    <w:rsid w:val="00F23D4B"/>
    <w:rsid w:val="00F2533F"/>
    <w:rsid w:val="00F306EF"/>
    <w:rsid w:val="00F30EEE"/>
    <w:rsid w:val="00F3483C"/>
    <w:rsid w:val="00F348CF"/>
    <w:rsid w:val="00F35E47"/>
    <w:rsid w:val="00F36D7A"/>
    <w:rsid w:val="00F37592"/>
    <w:rsid w:val="00F400A4"/>
    <w:rsid w:val="00F400EF"/>
    <w:rsid w:val="00F41EF2"/>
    <w:rsid w:val="00F42218"/>
    <w:rsid w:val="00F43D14"/>
    <w:rsid w:val="00F44DA9"/>
    <w:rsid w:val="00F4572A"/>
    <w:rsid w:val="00F45ABD"/>
    <w:rsid w:val="00F46CFF"/>
    <w:rsid w:val="00F47F82"/>
    <w:rsid w:val="00F515E6"/>
    <w:rsid w:val="00F52BFF"/>
    <w:rsid w:val="00F538A1"/>
    <w:rsid w:val="00F53A43"/>
    <w:rsid w:val="00F53E64"/>
    <w:rsid w:val="00F540B3"/>
    <w:rsid w:val="00F545EB"/>
    <w:rsid w:val="00F56218"/>
    <w:rsid w:val="00F56615"/>
    <w:rsid w:val="00F601E2"/>
    <w:rsid w:val="00F676E2"/>
    <w:rsid w:val="00F71556"/>
    <w:rsid w:val="00F72E68"/>
    <w:rsid w:val="00F73845"/>
    <w:rsid w:val="00F76366"/>
    <w:rsid w:val="00F82439"/>
    <w:rsid w:val="00F834B3"/>
    <w:rsid w:val="00F85300"/>
    <w:rsid w:val="00F866F9"/>
    <w:rsid w:val="00F87AFD"/>
    <w:rsid w:val="00F90A25"/>
    <w:rsid w:val="00F90B8D"/>
    <w:rsid w:val="00F92588"/>
    <w:rsid w:val="00F92885"/>
    <w:rsid w:val="00F93B56"/>
    <w:rsid w:val="00F95BEA"/>
    <w:rsid w:val="00FA1B12"/>
    <w:rsid w:val="00FA1ED8"/>
    <w:rsid w:val="00FA35D8"/>
    <w:rsid w:val="00FB0353"/>
    <w:rsid w:val="00FB5748"/>
    <w:rsid w:val="00FB5DAB"/>
    <w:rsid w:val="00FB67B6"/>
    <w:rsid w:val="00FB6ACA"/>
    <w:rsid w:val="00FC2C83"/>
    <w:rsid w:val="00FC3883"/>
    <w:rsid w:val="00FC3CB8"/>
    <w:rsid w:val="00FC3E07"/>
    <w:rsid w:val="00FC6061"/>
    <w:rsid w:val="00FD0EEF"/>
    <w:rsid w:val="00FD2908"/>
    <w:rsid w:val="00FD3AC0"/>
    <w:rsid w:val="00FD59F8"/>
    <w:rsid w:val="00FD662D"/>
    <w:rsid w:val="00FD7896"/>
    <w:rsid w:val="00FE0D43"/>
    <w:rsid w:val="00FE13CD"/>
    <w:rsid w:val="00FE19A6"/>
    <w:rsid w:val="00FE1E79"/>
    <w:rsid w:val="00FE5BFC"/>
    <w:rsid w:val="00FF2332"/>
    <w:rsid w:val="00FF302B"/>
    <w:rsid w:val="00FF4975"/>
    <w:rsid w:val="00FF4A25"/>
    <w:rsid w:val="00FF4D6B"/>
    <w:rsid w:val="00FF52CA"/>
    <w:rsid w:val="00FF5897"/>
    <w:rsid w:val="00FF5FE1"/>
    <w:rsid w:val="00FF6A46"/>
    <w:rsid w:val="00FF7A53"/>
    <w:rsid w:val="00FF7B07"/>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D655"/>
  <w15:docId w15:val="{E480DB58-89D0-466C-AE97-49BA5703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C4"/>
  </w:style>
  <w:style w:type="paragraph" w:styleId="Heading1">
    <w:name w:val="heading 1"/>
    <w:basedOn w:val="Normal"/>
    <w:next w:val="Normal"/>
    <w:link w:val="Heading1Char"/>
    <w:autoRedefine/>
    <w:uiPriority w:val="9"/>
    <w:qFormat/>
    <w:rsid w:val="007D302D"/>
    <w:pPr>
      <w:keepNext/>
      <w:keepLines/>
      <w:spacing w:before="36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7D302D"/>
    <w:pPr>
      <w:keepNext/>
      <w:keepLines/>
      <w:spacing w:before="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A2648F"/>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7D302D"/>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rsid w:val="00A2648F"/>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uiPriority w:val="9"/>
    <w:rsid w:val="00A2648F"/>
    <w:pPr>
      <w:keepNext/>
      <w:keepLines/>
      <w:spacing w:before="240"/>
      <w:contextualSpacing/>
      <w:outlineLvl w:val="5"/>
    </w:pPr>
    <w:rPr>
      <w:rFonts w:asciiTheme="majorHAnsi" w:eastAsiaTheme="majorEastAsia" w:hAnsiTheme="majorHAnsi" w:cstheme="majorBid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77172B"/>
    <w:pPr>
      <w:spacing w:before="0" w:after="0" w:line="240" w:lineRule="auto"/>
      <w:ind w:right="567"/>
    </w:pPr>
    <w:rPr>
      <w:b/>
      <w:sz w:val="28"/>
      <w:szCs w:val="24"/>
    </w:rPr>
  </w:style>
  <w:style w:type="character" w:customStyle="1" w:styleId="SubtitleChar">
    <w:name w:val="Subtitle Char"/>
    <w:basedOn w:val="DefaultParagraphFont"/>
    <w:link w:val="Subtitle"/>
    <w:uiPriority w:val="18"/>
    <w:rsid w:val="0077172B"/>
    <w:rPr>
      <w:b/>
      <w:sz w:val="28"/>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11EC4"/>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C11EC4"/>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17"/>
    <w:rsid w:val="0077172B"/>
    <w:pPr>
      <w:spacing w:before="0" w:after="240" w:line="240" w:lineRule="auto"/>
      <w:ind w:right="567"/>
      <w:contextualSpacing/>
    </w:pPr>
    <w:rPr>
      <w:sz w:val="56"/>
      <w:szCs w:val="82"/>
    </w:rPr>
  </w:style>
  <w:style w:type="character" w:customStyle="1" w:styleId="TitleChar">
    <w:name w:val="Title Char"/>
    <w:basedOn w:val="DefaultParagraphFont"/>
    <w:link w:val="Title"/>
    <w:uiPriority w:val="17"/>
    <w:rsid w:val="0077172B"/>
    <w:rPr>
      <w:sz w:val="56"/>
      <w:szCs w:val="82"/>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7D302D"/>
    <w:rPr>
      <w:rFonts w:asciiTheme="majorHAnsi" w:hAnsiTheme="majorHAnsi"/>
      <w:b/>
      <w:sz w:val="30"/>
      <w:szCs w:val="44"/>
    </w:rPr>
  </w:style>
  <w:style w:type="character" w:customStyle="1" w:styleId="Heading2Char">
    <w:name w:val="Heading 2 Char"/>
    <w:basedOn w:val="DefaultParagraphFont"/>
    <w:link w:val="Heading2"/>
    <w:uiPriority w:val="9"/>
    <w:rsid w:val="007D302D"/>
    <w:rPr>
      <w:rFonts w:asciiTheme="majorHAnsi" w:hAnsiTheme="majorHAnsi"/>
      <w:b/>
      <w:sz w:val="26"/>
      <w:szCs w:val="28"/>
    </w:rPr>
  </w:style>
  <w:style w:type="character" w:customStyle="1" w:styleId="Heading3Char">
    <w:name w:val="Heading 3 Char"/>
    <w:basedOn w:val="DefaultParagraphFont"/>
    <w:link w:val="Heading3"/>
    <w:uiPriority w:val="9"/>
    <w:rsid w:val="00A2648F"/>
    <w:rPr>
      <w:rFonts w:asciiTheme="majorHAnsi" w:hAnsiTheme="majorHAnsi"/>
      <w:b/>
      <w:color w:val="auto"/>
      <w:sz w:val="22"/>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5F110C"/>
    <w:rPr>
      <w:b w:val="0"/>
      <w:color w:val="282EA0"/>
      <w:u w:val="single"/>
    </w:rPr>
  </w:style>
  <w:style w:type="paragraph" w:styleId="ListBullet">
    <w:name w:val="List Bullet"/>
    <w:basedOn w:val="Normal"/>
    <w:uiPriority w:val="2"/>
    <w:qFormat/>
    <w:rsid w:val="008B1EDB"/>
    <w:pPr>
      <w:numPr>
        <w:numId w:val="4"/>
      </w:numPr>
    </w:pPr>
    <w:rPr>
      <w:rFonts w:eastAsia="Times New Roman"/>
      <w:lang w:eastAsia="en-AU"/>
    </w:rPr>
  </w:style>
  <w:style w:type="paragraph" w:styleId="ListNumber">
    <w:name w:val="List Number"/>
    <w:basedOn w:val="Normal"/>
    <w:uiPriority w:val="2"/>
    <w:qFormat/>
    <w:rsid w:val="00F71556"/>
    <w:pPr>
      <w:numPr>
        <w:numId w:val="2"/>
      </w:numPr>
    </w:pPr>
    <w:rPr>
      <w:rFonts w:eastAsia="Times New Roman"/>
      <w:lang w:eastAsia="en-AU"/>
    </w:rPr>
  </w:style>
  <w:style w:type="table" w:customStyle="1" w:styleId="SQHTable">
    <w:name w:val="SQH Table"/>
    <w:basedOn w:val="TableNormal"/>
    <w:uiPriority w:val="99"/>
    <w:rsid w:val="00BA2E9D"/>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8B1EDB"/>
    <w:pPr>
      <w:numPr>
        <w:ilvl w:val="1"/>
        <w:numId w:val="4"/>
      </w:numPr>
    </w:pPr>
    <w:rPr>
      <w:rFonts w:eastAsia="Times New Roman"/>
      <w:lang w:eastAsia="en-AU"/>
    </w:rPr>
  </w:style>
  <w:style w:type="character" w:customStyle="1" w:styleId="Heading4Char">
    <w:name w:val="Heading 4 Char"/>
    <w:basedOn w:val="DefaultParagraphFont"/>
    <w:link w:val="Heading4"/>
    <w:uiPriority w:val="9"/>
    <w:rsid w:val="007D302D"/>
    <w:rPr>
      <w:rFonts w:asciiTheme="majorHAnsi" w:eastAsiaTheme="majorEastAsia" w:hAnsiTheme="majorHAnsi" w:cstheme="majorBidi"/>
      <w:b/>
      <w:i/>
      <w:iCs/>
    </w:rPr>
  </w:style>
  <w:style w:type="paragraph" w:styleId="ListBullet3">
    <w:name w:val="List Bullet 3"/>
    <w:basedOn w:val="Normal"/>
    <w:uiPriority w:val="2"/>
    <w:semiHidden/>
    <w:rsid w:val="008B1EDB"/>
    <w:pPr>
      <w:numPr>
        <w:ilvl w:val="2"/>
        <w:numId w:val="4"/>
      </w:numPr>
    </w:pPr>
    <w:rPr>
      <w:rFonts w:eastAsia="Times New Roman"/>
      <w:lang w:eastAsia="en-AU"/>
    </w:rPr>
  </w:style>
  <w:style w:type="paragraph" w:styleId="ListBullet4">
    <w:name w:val="List Bullet 4"/>
    <w:basedOn w:val="Normal"/>
    <w:uiPriority w:val="2"/>
    <w:semiHidden/>
    <w:rsid w:val="008B1EDB"/>
    <w:pPr>
      <w:numPr>
        <w:ilvl w:val="3"/>
        <w:numId w:val="4"/>
      </w:numPr>
    </w:pPr>
    <w:rPr>
      <w:rFonts w:eastAsia="Times New Roman"/>
      <w:lang w:eastAsia="en-AU"/>
    </w:rPr>
  </w:style>
  <w:style w:type="paragraph" w:styleId="ListBullet5">
    <w:name w:val="List Bullet 5"/>
    <w:basedOn w:val="Normal"/>
    <w:uiPriority w:val="2"/>
    <w:semiHidden/>
    <w:rsid w:val="008B1EDB"/>
    <w:pPr>
      <w:numPr>
        <w:ilvl w:val="4"/>
        <w:numId w:val="4"/>
      </w:numPr>
    </w:pPr>
    <w:rPr>
      <w:rFonts w:eastAsia="Times New Roman"/>
      <w:lang w:eastAsia="en-AU"/>
    </w:rPr>
  </w:style>
  <w:style w:type="paragraph" w:styleId="ListNumber2">
    <w:name w:val="List Number 2"/>
    <w:basedOn w:val="Normal"/>
    <w:uiPriority w:val="2"/>
    <w:semiHidden/>
    <w:rsid w:val="00F71556"/>
    <w:pPr>
      <w:numPr>
        <w:ilvl w:val="1"/>
        <w:numId w:val="2"/>
      </w:numPr>
    </w:pPr>
    <w:rPr>
      <w:rFonts w:eastAsia="Times New Roman"/>
      <w:lang w:eastAsia="en-AU"/>
    </w:rPr>
  </w:style>
  <w:style w:type="paragraph" w:styleId="ListNumber3">
    <w:name w:val="List Number 3"/>
    <w:basedOn w:val="Normal"/>
    <w:uiPriority w:val="2"/>
    <w:semiHidden/>
    <w:rsid w:val="00F71556"/>
    <w:pPr>
      <w:numPr>
        <w:ilvl w:val="2"/>
        <w:numId w:val="2"/>
      </w:numPr>
    </w:pPr>
    <w:rPr>
      <w:rFonts w:eastAsia="Times New Roman"/>
      <w:lang w:eastAsia="en-AU"/>
    </w:rPr>
  </w:style>
  <w:style w:type="paragraph" w:styleId="ListNumber4">
    <w:name w:val="List Number 4"/>
    <w:basedOn w:val="Normal"/>
    <w:uiPriority w:val="2"/>
    <w:semiHidden/>
    <w:rsid w:val="00F71556"/>
    <w:pPr>
      <w:numPr>
        <w:ilvl w:val="3"/>
        <w:numId w:val="2"/>
      </w:numPr>
    </w:pPr>
    <w:rPr>
      <w:rFonts w:eastAsia="Times New Roman"/>
      <w:lang w:eastAsia="en-AU"/>
    </w:rPr>
  </w:style>
  <w:style w:type="paragraph" w:styleId="ListNumber5">
    <w:name w:val="List Number 5"/>
    <w:basedOn w:val="Normal"/>
    <w:uiPriority w:val="2"/>
    <w:semiHidden/>
    <w:rsid w:val="00F71556"/>
    <w:pPr>
      <w:numPr>
        <w:ilvl w:val="4"/>
        <w:numId w:val="2"/>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4438AC"/>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A2648F"/>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2648F"/>
    <w:rPr>
      <w:rFonts w:asciiTheme="majorHAnsi" w:eastAsiaTheme="majorEastAsia" w:hAnsiTheme="majorHAnsi" w:cstheme="majorBidi"/>
      <w:i/>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BD5153"/>
    <w:pPr>
      <w:spacing w:before="360" w:after="360"/>
      <w:contextualSpacing/>
    </w:pPr>
    <w:rPr>
      <w:sz w:val="26"/>
      <w:szCs w:val="26"/>
    </w:rPr>
  </w:style>
  <w:style w:type="paragraph" w:customStyle="1" w:styleId="Tablecaption">
    <w:name w:val="Table caption"/>
    <w:basedOn w:val="Caption"/>
    <w:link w:val="TablecaptionChar"/>
    <w:autoRedefine/>
    <w:qFormat/>
    <w:rsid w:val="004438AC"/>
    <w:pPr>
      <w:numPr>
        <w:numId w:val="6"/>
      </w:numPr>
      <w:ind w:left="0" w:firstLine="0"/>
    </w:pPr>
  </w:style>
  <w:style w:type="character" w:customStyle="1" w:styleId="CaptionChar">
    <w:name w:val="Caption Char"/>
    <w:basedOn w:val="DefaultParagraphFont"/>
    <w:link w:val="Caption"/>
    <w:uiPriority w:val="12"/>
    <w:rsid w:val="004438AC"/>
    <w:rPr>
      <w:iCs/>
      <w:sz w:val="20"/>
    </w:rPr>
  </w:style>
  <w:style w:type="character" w:customStyle="1" w:styleId="TablecaptionChar">
    <w:name w:val="Table caption Char"/>
    <w:basedOn w:val="CaptionChar"/>
    <w:link w:val="Tablecaption"/>
    <w:rsid w:val="004438AC"/>
    <w:rPr>
      <w:iCs/>
      <w:sz w:val="20"/>
    </w:rPr>
  </w:style>
  <w:style w:type="paragraph" w:styleId="ListParagraph">
    <w:name w:val="List Paragraph"/>
    <w:basedOn w:val="Normal"/>
    <w:uiPriority w:val="34"/>
    <w:rsid w:val="003655CD"/>
    <w:pPr>
      <w:ind w:left="720"/>
      <w:contextualSpacing/>
    </w:pPr>
  </w:style>
  <w:style w:type="character" w:styleId="FollowedHyperlink">
    <w:name w:val="FollowedHyperlink"/>
    <w:basedOn w:val="DefaultParagraphFont"/>
    <w:uiPriority w:val="99"/>
    <w:semiHidden/>
    <w:unhideWhenUsed/>
    <w:rsid w:val="00901E44"/>
    <w:rPr>
      <w:color w:val="000000" w:themeColor="followedHyperlink"/>
      <w:u w:val="single"/>
    </w:rPr>
  </w:style>
  <w:style w:type="character" w:styleId="CommentReference">
    <w:name w:val="annotation reference"/>
    <w:basedOn w:val="DefaultParagraphFont"/>
    <w:uiPriority w:val="99"/>
    <w:semiHidden/>
    <w:unhideWhenUsed/>
    <w:rsid w:val="00F44DA9"/>
    <w:rPr>
      <w:sz w:val="16"/>
      <w:szCs w:val="16"/>
    </w:rPr>
  </w:style>
  <w:style w:type="paragraph" w:styleId="CommentText">
    <w:name w:val="annotation text"/>
    <w:basedOn w:val="Normal"/>
    <w:link w:val="CommentTextChar"/>
    <w:uiPriority w:val="99"/>
    <w:unhideWhenUsed/>
    <w:rsid w:val="00F44DA9"/>
    <w:pPr>
      <w:spacing w:line="240" w:lineRule="auto"/>
    </w:pPr>
    <w:rPr>
      <w:sz w:val="20"/>
      <w:szCs w:val="20"/>
    </w:rPr>
  </w:style>
  <w:style w:type="character" w:customStyle="1" w:styleId="CommentTextChar">
    <w:name w:val="Comment Text Char"/>
    <w:basedOn w:val="DefaultParagraphFont"/>
    <w:link w:val="CommentText"/>
    <w:uiPriority w:val="99"/>
    <w:rsid w:val="00F44DA9"/>
    <w:rPr>
      <w:sz w:val="20"/>
      <w:szCs w:val="20"/>
    </w:rPr>
  </w:style>
  <w:style w:type="paragraph" w:styleId="CommentSubject">
    <w:name w:val="annotation subject"/>
    <w:basedOn w:val="CommentText"/>
    <w:next w:val="CommentText"/>
    <w:link w:val="CommentSubjectChar"/>
    <w:uiPriority w:val="99"/>
    <w:semiHidden/>
    <w:unhideWhenUsed/>
    <w:rsid w:val="00F44DA9"/>
    <w:rPr>
      <w:b/>
      <w:bCs/>
    </w:rPr>
  </w:style>
  <w:style w:type="character" w:customStyle="1" w:styleId="CommentSubjectChar">
    <w:name w:val="Comment Subject Char"/>
    <w:basedOn w:val="CommentTextChar"/>
    <w:link w:val="CommentSubject"/>
    <w:uiPriority w:val="99"/>
    <w:semiHidden/>
    <w:rsid w:val="00F44D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lancet.com/journals/lancet/article/PIIS0140-6736(24)01867-1/fulltext" TargetMode="External"/><Relationship Id="rId18" Type="http://schemas.openxmlformats.org/officeDocument/2006/relationships/hyperlink" Target="https://www.health.gov.au/resources/publications/national-health-and-climate-strategy?language=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fetyandquality.gov.au/ams" TargetMode="External"/><Relationship Id="rId7" Type="http://schemas.openxmlformats.org/officeDocument/2006/relationships/settings" Target="settings.xml"/><Relationship Id="rId12" Type="http://schemas.openxmlformats.org/officeDocument/2006/relationships/hyperlink" Target="https://www.ama.com.au/antimicrobial-resistance" TargetMode="External"/><Relationship Id="rId17" Type="http://schemas.openxmlformats.org/officeDocument/2006/relationships/hyperlink" Target="https://safetyandquality.gov.au/community-antimicrobial-use-202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g.org.au/" TargetMode="External"/><Relationship Id="rId20" Type="http://schemas.openxmlformats.org/officeDocument/2006/relationships/hyperlink" Target="https://www.safetyandquality.gov.au/publications-and-resources/resource-library/caralert-annual-report-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campaigns/world-amr-awareness-week/2025"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g.org.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tg.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org.au/"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KY\AppData\Roaming\Micro%20focus\content%20manager\TRIM\TEMP\HPTRIM.26996\D25-28526%20%20Template%20-%20ACSQHC%20-%20Fact%20sheet%20-%20Corporate%20-%204%20page%20max%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38B132FD-DB8A-4E73-99EF-46D0D2A817A1}">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707F60A6-171E-40CD-A237-6262928436ED}">
  <ds:schemaRefs>
    <ds:schemaRef ds:uri="http://schemas.microsoft.com/sharepoint/v3/contenttype/forms"/>
  </ds:schemaRefs>
</ds:datastoreItem>
</file>

<file path=customXml/itemProps4.xml><?xml version="1.0" encoding="utf-8"?>
<ds:datastoreItem xmlns:ds="http://schemas.openxmlformats.org/officeDocument/2006/customXml" ds:itemID="{28095A4E-0D56-41A7-9EDA-F2E6ABAB7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D25-28526  Template - ACSQHC - Fact sheet - Corporate - 4 page max - July 2025.DOTX</Template>
  <TotalTime>0</TotalTime>
  <Pages>2</Pages>
  <Words>490</Words>
  <Characters>3374</Characters>
  <Application>Microsoft Office Word</Application>
  <DocSecurity>0</DocSecurity>
  <Lines>128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Kylie</dc:creator>
  <cp:keywords/>
  <cp:lastModifiedBy>JESSOP, Tommy</cp:lastModifiedBy>
  <cp:revision>2</cp:revision>
  <cp:lastPrinted>2025-05-27T01:51:00Z</cp:lastPrinted>
  <dcterms:created xsi:type="dcterms:W3CDTF">2025-10-21T04:58:00Z</dcterms:created>
  <dcterms:modified xsi:type="dcterms:W3CDTF">2025-10-21T04:58:00Z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ies>
</file>